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spacing w:after="48" w:before="0" w:line="100" w:lineRule="atLeast"/>
      </w:pPr>
      <w:bookmarkStart w:id="0" w:name="_GoBack"/>
      <w:bookmarkEnd w:id="0"/>
      <w:r>
        <w:rPr>
          <w:rFonts w:ascii="Arial" w:cs="Arial" w:eastAsia="Times New Roman" w:hAnsi="Arial"/>
          <w:b/>
          <w:bCs/>
          <w:color w:val="000000"/>
          <w:sz w:val="36"/>
          <w:szCs w:val="36"/>
          <w:lang w:eastAsia="de-CH"/>
        </w:rPr>
        <w:t>Sinovial® HighVisc 1,6%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b/>
          <w:bCs/>
          <w:i/>
          <w:iCs/>
          <w:color w:val="000000"/>
          <w:sz w:val="24"/>
          <w:szCs w:val="24"/>
          <w:lang w:eastAsia="de-CH"/>
        </w:rPr>
        <w:t>  </w:t>
      </w:r>
    </w:p>
    <w:p>
      <w:pPr>
        <w:pStyle w:val="style0"/>
        <w:shd w:fill="FFFFFF" w:val="clear"/>
        <w:spacing w:line="100" w:lineRule="atLeast"/>
        <w:jc w:val="right"/>
      </w:pPr>
      <w:r>
        <w:rPr>
          <w:rFonts w:ascii="Arial" w:cs="Arial" w:eastAsia="Times New Roman" w:hAnsi="Arial"/>
          <w:b/>
          <w:bCs/>
          <w:i/>
          <w:iCs/>
          <w:color w:val="000000"/>
          <w:sz w:val="24"/>
          <w:szCs w:val="24"/>
          <w:lang w:eastAsia="de-CH"/>
        </w:rPr>
        <w:t>IBSA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i/>
          <w:iCs/>
          <w:color w:val="000000"/>
          <w:sz w:val="24"/>
          <w:szCs w:val="24"/>
          <w:lang w:eastAsia="de-CH"/>
        </w:rPr>
        <w:t>Medizinprodukt</w:t>
      </w:r>
    </w:p>
    <w:p>
      <w:pPr>
        <w:pStyle w:val="style0"/>
        <w:shd w:fill="FFFFFF" w:val="clear"/>
        <w:spacing w:after="90" w:before="100" w:line="100" w:lineRule="atLeast"/>
      </w:pPr>
      <w:bookmarkStart w:id="1" w:name="7000"/>
      <w:bookmarkEnd w:id="1"/>
      <w:r>
        <w:rPr>
          <w:rFonts w:ascii="Arial" w:cs="Arial" w:eastAsia="Times New Roman" w:hAnsi="Arial"/>
          <w:b/>
          <w:bCs/>
          <w:i/>
          <w:iCs/>
          <w:color w:val="000000"/>
          <w:sz w:val="24"/>
          <w:szCs w:val="24"/>
          <w:lang w:eastAsia="de-CH"/>
        </w:rPr>
        <w:t>Zusammensetzung</w:t>
      </w:r>
    </w:p>
    <w:p>
      <w:pPr>
        <w:pStyle w:val="style0"/>
        <w:shd w:fill="FFFFFF" w:val="clear"/>
        <w:spacing w:after="60" w:before="0" w:line="100" w:lineRule="atLeast"/>
      </w:pPr>
      <w:bookmarkStart w:id="2" w:name="7000"/>
      <w:bookmarkEnd w:id="2"/>
      <w:r>
        <w:rPr>
          <w:rFonts w:ascii="Arial" w:cs="Arial" w:eastAsia="Times New Roman" w:hAnsi="Arial"/>
          <w:i/>
          <w:iCs/>
          <w:color w:val="000000"/>
          <w:sz w:val="24"/>
          <w:szCs w:val="24"/>
          <w:lang w:eastAsia="de-CH"/>
        </w:rPr>
        <w:t>1 vorgefüllte 2,25 ml-Einweg-Fertigspritze aus Glas</w:t>
      </w:r>
      <w:r>
        <w:rPr>
          <w:rFonts w:ascii="Arial" w:cs="Arial" w:eastAsia="Times New Roman" w:hAnsi="Arial"/>
          <w:color w:val="000000"/>
          <w:sz w:val="24"/>
          <w:szCs w:val="24"/>
          <w:lang w:eastAsia="de-CH"/>
        </w:rPr>
        <w:t> enthält: 32 mg Hyaluronsäure-Natriumsalz in 2 ml gepufferter physiologischer Lösung.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000000"/>
          <w:sz w:val="24"/>
          <w:szCs w:val="24"/>
          <w:lang w:eastAsia="de-CH"/>
        </w:rPr>
        <w:t>Der Inhalt der Spritzen ist steril und pyrogenfrei.</w:t>
      </w:r>
    </w:p>
    <w:p>
      <w:pPr>
        <w:pStyle w:val="style0"/>
        <w:shd w:fill="FFFFFF" w:val="clear"/>
        <w:spacing w:after="90" w:before="100" w:line="100" w:lineRule="atLeast"/>
      </w:pPr>
      <w:bookmarkStart w:id="3" w:name="8000"/>
      <w:bookmarkEnd w:id="3"/>
      <w:r>
        <w:rPr>
          <w:rFonts w:ascii="Arial" w:cs="Arial" w:eastAsia="Times New Roman" w:hAnsi="Arial"/>
          <w:b/>
          <w:bCs/>
          <w:i/>
          <w:iCs/>
          <w:color w:val="000000"/>
          <w:sz w:val="24"/>
          <w:szCs w:val="24"/>
          <w:lang w:eastAsia="de-CH"/>
        </w:rPr>
        <w:t>Stand der Information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000000"/>
          <w:sz w:val="24"/>
          <w:szCs w:val="24"/>
          <w:lang w:eastAsia="de-CH"/>
        </w:rPr>
        <w:t>April 2010.</w:t>
      </w:r>
    </w:p>
    <w:p>
      <w:pPr>
        <w:pStyle w:val="style0"/>
        <w:shd w:fill="FFFFFF" w:val="clear"/>
        <w:spacing w:after="90" w:before="100" w:line="100" w:lineRule="atLeast"/>
      </w:pPr>
      <w:r>
        <w:rPr>
          <w:rFonts w:ascii="Arial" w:cs="Arial" w:eastAsia="Times New Roman" w:hAnsi="Arial"/>
          <w:b/>
          <w:bCs/>
          <w:i/>
          <w:iCs/>
          <w:color w:val="000000"/>
          <w:sz w:val="24"/>
          <w:szCs w:val="24"/>
          <w:lang w:eastAsia="de-CH"/>
        </w:rPr>
      </w:r>
    </w:p>
    <w:p>
      <w:pPr>
        <w:pStyle w:val="style0"/>
        <w:shd w:fill="FFFFFF" w:val="clear"/>
        <w:spacing w:after="90" w:before="100" w:line="100" w:lineRule="atLeast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" w:eastAsia="Droid Sans" w:hAnsi="Calibri"/>
      <w:color w:val="auto"/>
      <w:sz w:val="22"/>
      <w:szCs w:val="22"/>
      <w:lang w:bidi="ar-SA" w:eastAsia="en-US" w:val="de-CH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paragraph">
    <w:name w:val="Überschrift"/>
    <w:basedOn w:val="style0"/>
    <w:next w:val="style18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8" w:type="paragraph">
    <w:name w:val="Textkörper"/>
    <w:basedOn w:val="style0"/>
    <w:next w:val="style18"/>
    <w:pPr>
      <w:spacing w:after="120" w:before="0"/>
    </w:pPr>
    <w:rPr/>
  </w:style>
  <w:style w:styleId="style19" w:type="paragraph">
    <w:name w:val="Liste"/>
    <w:basedOn w:val="style18"/>
    <w:next w:val="style19"/>
    <w:pPr/>
    <w:rPr>
      <w:rFonts w:cs="FreeSans"/>
    </w:rPr>
  </w:style>
  <w:style w:styleId="style20" w:type="paragraph">
    <w:name w:val="Beschriftung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Verzeichnis"/>
    <w:basedOn w:val="style0"/>
    <w:next w:val="style21"/>
    <w:pPr>
      <w:suppressLineNumbers/>
    </w:pPr>
    <w:rPr>
      <w:rFonts w:cs="FreeSans"/>
    </w:rPr>
  </w:style>
  <w:style w:styleId="style22" w:type="paragraph">
    <w:name w:val="nospacing"/>
    <w:basedOn w:val="style0"/>
    <w:next w:val="style22"/>
    <w:pPr>
      <w:spacing w:after="100" w:before="100" w:line="100" w:lineRule="atLeast"/>
    </w:pPr>
    <w:rPr>
      <w:rFonts w:ascii="Times New Roman" w:cs="Times New Roman" w:eastAsia="Times New Roman" w:hAnsi="Times New Roman"/>
      <w:sz w:val="24"/>
      <w:szCs w:val="24"/>
      <w:lang w:eastAsia="de-CH"/>
    </w:rPr>
  </w:style>
  <w:style w:styleId="style23" w:type="paragraph">
    <w:name w:val="Normal (Web)"/>
    <w:basedOn w:val="style0"/>
    <w:next w:val="style23"/>
    <w:pPr>
      <w:spacing w:after="100" w:before="100" w:line="100" w:lineRule="atLeast"/>
    </w:pPr>
    <w:rPr>
      <w:rFonts w:ascii="Times New Roman" w:cs="Times New Roman" w:eastAsia="Times New Roman" w:hAnsi="Times New Roman"/>
      <w:sz w:val="24"/>
      <w:szCs w:val="24"/>
      <w:lang w:eastAsia="de-CH"/>
    </w:rPr>
  </w:style>
  <w:style w:styleId="style24" w:type="paragraph">
    <w:name w:val="spacing1"/>
    <w:basedOn w:val="style0"/>
    <w:next w:val="style24"/>
    <w:pPr>
      <w:spacing w:after="100" w:before="100" w:line="100" w:lineRule="atLeast"/>
    </w:pPr>
    <w:rPr>
      <w:rFonts w:ascii="Times New Roman" w:cs="Times New Roman" w:eastAsia="Times New Roman" w:hAnsi="Times New Roman"/>
      <w:sz w:val="24"/>
      <w:szCs w:val="24"/>
      <w:lang w:eastAsia="de-C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2014-02-17T09:58:00.00Z</dcterms:created>
  <dc:creator>Microsoft-Konto</dc:creator>
  <cp:lastModifiedBy>Microsoft-Konto</cp:lastModifiedBy>
  <dcterms:modified xsi:type="dcterms:W3CDTF">2014-02-17T09:58:00.00Z</dcterms:modified>
  <cp:revision>2</cp:revision>
</cp:coreProperties>
</file>