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and Cryptographic Exploitations in Tier-0 Financial Infrastructures (2010–2026)</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Synthesis of Systemic Vulnerabilities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architectural evolution of global financial infrastructure between 2010 and 2026 has been characterized by a relentless drive toward decentralized consensus, microsecond latency execution, and highly concurrent transaction processing. This paradigm shift—transitioning from monolithic, heavily intermediated banking mainframes relying on centralized relational databases to decentralized, high-frequency Tier-0 engines built in systems programming languages like Go and Rust—has fundamentally altered the threat landscape. The most devastating cyberattacks against global banks, SWIFT networks, cryptocurrency exchanges, and fintech clearinghouses during this sixteen-year period have not relied on the exploitation of human psychology or the theft of employee credentials. Instead, they have been executed through profound mechanical manipulation of the underlying deterministic logic, memory management paradigms, and cryptographic implementations that govern digital value transfer.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exhaustive research report delivers a highly technical, mechanic-focused decomposition of these deep-system vulnerabilities. The intelligence synthesized herein isolates architectural and mathematical exploits, systematically categorizing them into state machine desynchronization, kernel-bypass memory injection, non-canonical cryptographic representations, concurrency starvation protocols, and emerging adversarial vectors targeting algorithmic inference pipelines. The objective is to provide an uncompromising analytical foundation for simulating an advanced Red Team audit against custom Go and Rust-based Tier-0 core banking engines. By mapping historical exploits to contemporary architectural flaws, this report illuminates the precise mathematical and memory-bound conditions under which digital scarcity and transaction integrity mathematically collapse.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State Machine and Ledger Desynchronization Mechanisms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Financial ledgers, whether instantiated as centralized core banking databases or distributed consensus blockchains, are fundamentally deterministic state machines. They rely on the inviolable invariant that the sum of all transaction inputs must strictly equal the sum of all transaction outputs plus associated processing fees. Desynchronization occurs when an attacker manipulates the execution environment, memory boundaries, or cryptographic payload structures to force a mathematical divergence between the authoritative ledger state and the application’s internal execution logic.</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Integer Overflows and Boundary Wrapping in Value Genesis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foundational mechanism of digital value creation relies entirely on memory-bound integer representations within the physical constraints of computing hardware. The most catastrophic protocol-level failure of this mechanism occurred in August 2010 within the Bitcoin network, fundamentally threatening the architecture's core monetary policy of a 21-million asset cap.</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event, operating at block height 74,638, serves as the archetypal study of integer overflow exploitation in financial state machines.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vulnerability was localized within the CheckTransaction function of the protocol's C++ implementation.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systems programming languages, integers possess fixed memory allocations; for example, a standard 64-bit unsigned integer (uint64_t) can represent values up to </w:t>
      </w:r>
      <w:r w:rsidDel="00000000" w:rsidR="00000000" w:rsidRPr="00000000">
        <w:rPr>
          <w:rFonts w:ascii="Google Sans" w:cs="Google Sans" w:eastAsia="Google Sans" w:hAnsi="Google Sans"/>
          <w:color w:val="1f1f1f"/>
        </w:rPr>
        <w:drawing>
          <wp:inline distB="19050" distT="19050" distL="19050" distR="19050">
            <wp:extent cx="876003" cy="219001"/>
            <wp:effectExtent b="0" l="0" r="0" t="0"/>
            <wp:docPr id="31"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876003" cy="2190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validation logic of the CheckTransaction function was designed to iterate through the outputs of a transaction, sum their total value, and subsequently verify that this total did not exceed the sum of the provided inputs. The attacker meticulously crafted a transaction containing two outputs with astronomically large values. When the arithmetic logic unit (ALU) of the processing node attempted to add these two values together, the resulting sum exceeded the maximum contiguous memory space allocated for the 64-bit integer.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Due to the fundamental properties of binary arithmetic, this boundary violation did not result in an application crash; rather, the integer silently overflowed, wrapping around the memory boundary to register as a near-zero or small positive value. The validation logic evaluated this mathematically wrapped, artificially small total against the inputs, erroneously concluding that the outputs were lesser than the inputs, and returned a boolean true.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Consequently, the state machine validated the malicious transaction, allowing the attacker to successfully mint 184 billion unbacked units of the asset out of thin air, a direct violation of the fundamental laws of digital scarcity.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necessitated a hard network rollback—the only protocol-level chain rewinding in the history of the asset—to purge the illicitly generated funds.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applying this historical vector to modern Tier-0 core banking engines written in Rust and Go, the threat of integer-based state desynchronization remains acutely relevant at the deserialization boundaries. While Rust provides built-in overflow protections that trigger a thread panic during debug builds, standard production deployments compile with optimizations that cause integers to silently wrap unless operations are explicitly protected via checked_add() or saturating_add() methodologies. In Go architectures, arithmetic operations on uint64 types natively wrap around without triggering panics. An advanced adversary targeting a custom Go/Rust banking core will systematically fuzz the Foreign Function Interface (FFI) boundaries, application programming interfaces (APIs), and cross-language serialization layers (such as Protocol Buffers or FlatBuffers) seeking discrepancies in how distinct microservices interpret integer boundaries. If a Rust-based risk engine utilizes a checked_add() validation but passes the data to a Go-based settlement engine that relies on implicit wrapping, the attacker can force a state divergence where the risk engine approves a computationally valid but maliciously wrapped transaction that the settlement engine executes as a catastrophic over-issuance of capital.</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Transaction Malleability and Cryptographic Polling Failures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Transaction malleability represents a critical flaw in the canonical structuring of cryptographic data, culminating most famously in the 2014 collapse of the Mt. Gox exchange.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At its zenith, Mt. Gox processed approximately 70% of global market volume, and its systemic collapse was triggered not by the cracking of private keys, but by the exploitation of mathematical flexibility within the Elliptic Curve Digital Signature Algorithm (ECDSA) to alter the cryptographic hash of a transaction without invalidating the digital signature authorizing the movement of those funds.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understand the mechanics of this exploitation, one must deconstruct the mathematical properties of ECDSA. An ECDSA signature is composed of a pair of large integers, denoted as </w:t>
      </w:r>
      <w:r w:rsidDel="00000000" w:rsidR="00000000" w:rsidRPr="00000000">
        <w:rPr>
          <w:rFonts w:ascii="Google Sans" w:cs="Google Sans" w:eastAsia="Google Sans" w:hAnsi="Google Sans"/>
          <w:color w:val="1f1f1f"/>
        </w:rPr>
        <w:drawing>
          <wp:inline distB="19050" distT="19050" distL="19050" distR="19050">
            <wp:extent cx="400347" cy="228770"/>
            <wp:effectExtent b="0" l="0" r="0" t="0"/>
            <wp:docPr id="33"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400347" cy="2287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Due to the inherent geometric symmetry of the elliptic curve operating over a finite field, for any valid signature </w:t>
      </w:r>
      <w:r w:rsidDel="00000000" w:rsidR="00000000" w:rsidRPr="00000000">
        <w:rPr>
          <w:rFonts w:ascii="Google Sans" w:cs="Google Sans" w:eastAsia="Google Sans" w:hAnsi="Google Sans"/>
          <w:color w:val="1f1f1f"/>
        </w:rPr>
        <w:drawing>
          <wp:inline distB="19050" distT="19050" distL="19050" distR="19050">
            <wp:extent cx="400347" cy="228770"/>
            <wp:effectExtent b="0" l="0" r="0" t="0"/>
            <wp:docPr id="32"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400347" cy="2287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corresponding to a specific message and public key, the inverted value </w:t>
      </w:r>
      <w:r w:rsidDel="00000000" w:rsidR="00000000" w:rsidRPr="00000000">
        <w:rPr>
          <w:rFonts w:ascii="Google Sans" w:cs="Google Sans" w:eastAsia="Google Sans" w:hAnsi="Google Sans"/>
          <w:color w:val="1f1f1f"/>
        </w:rPr>
        <w:drawing>
          <wp:inline distB="19050" distT="19050" distL="19050" distR="19050">
            <wp:extent cx="1289599" cy="229262"/>
            <wp:effectExtent b="0" l="0" r="0" t="0"/>
            <wp:docPr id="35" name="image25.png"/>
            <a:graphic>
              <a:graphicData uri="http://schemas.openxmlformats.org/drawingml/2006/picture">
                <pic:pic>
                  <pic:nvPicPr>
                    <pic:cNvPr id="0" name="image25.png"/>
                    <pic:cNvPicPr preferRelativeResize="0"/>
                  </pic:nvPicPr>
                  <pic:blipFill>
                    <a:blip r:embed="rId8"/>
                    <a:srcRect b="0" l="0" r="0" t="0"/>
                    <a:stretch>
                      <a:fillRect/>
                    </a:stretch>
                  </pic:blipFill>
                  <pic:spPr>
                    <a:xfrm>
                      <a:off x="0" y="0"/>
                      <a:ext cx="1289599" cy="2292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110728" cy="221456"/>
            <wp:effectExtent b="0" l="0" r="0" t="0"/>
            <wp:docPr id="34"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110728" cy="2214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prime order of the curve—is also a mathematically valid signature for the exact same message.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original OpenSSL implementation, upon which early financial exchanges relied, treated signatures with different leading zeros or mathematically equivalent inverted </w:t>
      </w:r>
      <w:r w:rsidDel="00000000" w:rsidR="00000000" w:rsidRPr="00000000">
        <w:rPr>
          <w:rFonts w:ascii="Google Sans" w:cs="Google Sans" w:eastAsia="Google Sans" w:hAnsi="Google Sans"/>
          <w:color w:val="1f1f1f"/>
        </w:rPr>
        <w:drawing>
          <wp:inline distB="19050" distT="19050" distL="19050" distR="19050">
            <wp:extent cx="86618" cy="230981"/>
            <wp:effectExtent b="0" l="0" r="0" t="0"/>
            <wp:docPr id="38"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86618" cy="2309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values as perfectly valid for authorization purposes.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However, because the underlying binary string of the signature was structurally different, hashing the transaction data payload (which included the signature) resulted in an entirely novel transaction identifier (TXID).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adversarial execution sequence designed to drain the exchange operated as follows. The attacker initiated a legitimate withdrawal request from the Mt. Gox automated hot wallet, transferring funds to an external account.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exchange's core engine constructed the transaction, applied the cryptographic signature, calculated the expected TXID by hashing the payload, broadcasted the transaction to the mempool, and updated its internal state machine to poll the network for the confirmation of that specific TXID.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Before the transaction could be permanently committed to the ledger, the attacker intercepted the broadcast network traffic. Utilizing the symmetric properties of ECDSA, the attacker programmatically modified the signature to its mathematically equivalent, non-canonical form, effectively changing the binary payload without invalidating the authorization.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attacker then rebroadcast the manipulated transaction with a higher fee to ensure miners prioritized it.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network validators, recognizing the signature as mathematically valid under OpenSSL rules, confirmed the attacker's modified transaction and committed it to the authoritative ledger.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Crucially, this confirmed transaction possessed a completely different TXID than the one originally calculated by the exchange.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attacker successfully received the digital assets.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However, the internal Mt. Gox state machine continued polling the network for the original TXID. Upon failing to find the expected hash after a predetermined timeout window, the automated system erroneously concluded that the transaction had failed due to network congestion.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attacker subsequently queried the exchange's customer service or automated refund API. The internal system, viewing an incomplete local state that was mathematically desynchronized from the global authoritative ledger, re-issued the withdrawal transaction, resulting in a systemic and unrecoverable double-spend execution.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vulnerability forced the widespread adoption of architectural mitigations such as Segregated Witness (SegWit), which fundamentally separated the cryptographic signature from the data payload used to calculate the transaction hash, ensuring that signature malleability could no longer alter the TXID.</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For Red Team auditors evaluating modern Tier-0 systems, the audit must verify that any custom implementation of cryptographic signing strictly enforces canonical representations of the signature scalar, rejecting any inverted or padded values at the ingress gateway before they can interact with the internal state machine.</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Concurrency Race Conditions and Lock-Free Queue Desynchronization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pursuit of microsecond execution speeds in High-Frequency Trading (HFT) and contemporary fintech architectures has necessitated the abandonment of traditional, kernel-mediated mutual exclusion locks (mutexes). Instead, high-performance engines heavily utilize lock-free and wait-free data structures—such as ring buffers inspired by the LMAX Disruptor pattern—to bypass the severe latency overhead associated with thread context switching.</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These systems achieve high throughput by relying on atomic compare-and-swap (CAS) operations executed directly at the CPU cache level. However, in distributed ledger environments or optimistic locking databases, the improper implementation of these concurrency models leaves the state machine highly susceptible to nanosecond-precision race conditions.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fundamental law of digital scarcity dictates that an asset must be unequivocally verified as unspent before a transfer is authorized. If two withdrawal requests for the exact same digital asset are submitted concurrently from different geographic nodes, a race condition manifests if the memory read operations (state validation) and the memory write operations (state mutation) are not atomically bound across the entirety of the distributed architecture.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In highly concurrent Go environments leveraging unbuffered channels, or Rust implementations employing sophisticated lock-free structures like crossbeam epochs, the core vulnerability lies in improper memory ordering semantics.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Modern processors utilize relaxed memory models where different hardware threads may hold loosely consistent views of shared memory due to L1/L2 cache propagation delays.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If a Rust developer utilizes Ordering::Relaxed or Ordering::Acquire/Release instead of the strictly necessary, but computationally expensive, Ordering::SeqCst (Sequential Consistency) during critical state mutations, the compiler and the CPU hardware are permitted to reorder memory operations for optimization. This allows thread execution paths to imperceptibly overlap. An advanced adversary orchestrates a distributed attack, precision-timing multiple withdrawal payloads to arrive at the load balancer within the exact microsecond window between the engine's read validation and its subsequent write execution.</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Both threads read the local cache, confirm the asset is unspent, and simultaneously execute the transfer logic before the CAS operation can forcefully invalidate the cache line of the competing thread. This tricks the state machine into authorizing a double-spend, physically duplicating capital within the ledger.</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remediation of this vector requires architecture-wide optimistic concurrency control (OCC), double-entry immutable bookkeeping patterns, and the absolute enforcement of sequential consistency across all memory boundaries handling asset transfers.</w:t>
      </w:r>
      <w:r w:rsidDel="00000000" w:rsidR="00000000" w:rsidRPr="00000000">
        <w:rPr>
          <w:rFonts w:ascii="Google Sans" w:cs="Google Sans" w:eastAsia="Google Sans" w:hAnsi="Google Sans"/>
          <w:color w:val="444746"/>
          <w:sz w:val="24"/>
          <w:szCs w:val="24"/>
          <w:vertAlign w:val="superscript"/>
          <w:rtl w:val="0"/>
        </w:rPr>
        <w:t xml:space="preserve">8</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State Desynchronization Vector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Core Mechanical Trigger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Impact on Tier-0 Architecture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Remediation Pattern in Go/Rust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Integer Boundary Overflow</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Binary memory wrap-around bypassing arithmetic bounds validation.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Unbacked asset minting, arbitrary internal state mutation.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Enforced checked_add() in Rust, strict FFI boundary data typing.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Transaction Malleability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Ingestion of non-canonical ECDSA/EdDSA scalars altering the payload hash.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TXID polling failure leading to automated double-issuance of assets.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Cryptographic payload segregation (SegWit), strict canonical enforcement.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Concurrency Race Condition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Overlapping non-atomic read/write cycles in lock-free memory models.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Nanosecond-precision double-spend execution, ledger state forking.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SeqCst memory ordering enforcement, deterministic database optimistic locking.</w:t>
            </w:r>
          </w:p>
        </w:tc>
      </w:tr>
    </w:tbl>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IPC and Shared Memory Bypasses via Kernel Evasion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achieve the sub-millisecond latency demanded by modern algorithmic trading and core banking, financial infrastructures have architecturally bypassed the operating system kernel entirely. By utilizing specialized frameworks to map Network Interface Card (NIC) memory directly into user space, these systems eliminate the computational overhead of system calls and context switching. While this structural decision enables unparalleled throughput, it forces the application to assume complex hardware management responsibilities traditionally enforced by the kernel's memory management unit (MMU), introducing severe, highly exploitable Inter-Process Communication (IPC) and shared memory vulnerabilities.</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Kernel Bypass and the Sub-Page Hardware Isolation Dilemma</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Tier-0 trading engines and core banking gateways rely heavily on kernel-bypass frameworks such as the Data Plane Development Kit (DPDK), Remote Direct Memory Access (RDMA) over Converged Ethernet (RoCE), and Solarflare OpenOnload to process high-speed incoming data feeds and UDP multicast streams.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These frameworks function by mapping the physical memory of the networking device directly into the virtual address space of the application process.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fundamental architectural vulnerability within this paradigm stems from a systemic mismatch in hardware granularity.</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Standard hardware MMUs deployed in modern processors operate on fixed virtual memory page boundaries, typically spanning 4 kilobytes (4KB). However, the memory-mapped I/O (MMIO) registers required to interact with high-speed hardware devices frequently exist at a much finer, sub-page level of granularity. It is mechanically impossible for the operating system to selectively expose safe, data-path device registers to the user-space application without simultaneously exposing highly sensitive hardware control registers that happen to be co-located on that exact same 4KB memory page.</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Consequently, standard solutions for driver isolation enforce an isolation model that is physically incapable of protecting sub-page device resources.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Attackers who achieve even minimal, unprivileged remote code execution (RCE) on an adjacent process or a co-located container within the same physical hardware can exploit this structural deficiency. Because kernel-bypass networking architectures rely extensively on ring buffers allocated within shared memory spaces (such as /dev/shm in Linux environments) to pass messages seamlessly between the network interface and the trading application without employing blocking mutexes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shared memory segment effectively transforms into a highly privileged, completely unmonitored conduit.</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Shared Memory Payload Injection and Application Firewall Evasion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adversarial exploitation of Inter-Process Communication mechanisms has evolved from simple buffer overflows into sophisticated data-plane hijacking. In high-performance financial systems, attackers execute IPC bypasses by manipulating the shared memory directories (/dev/shm, /run/shm, /var/run) that the operating system maps directly to volatile RAM rather than persistent disk storage.</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a Rust or Go financial engine utilizes Externally-attached Shared Memory Devices (ESMD) or the Compute Express Link (CXL) standard to facilitate microsecond host-to-host data communication, the absence of strict, hardware-enforced sub-page isolation becomes a critical attack vector.</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An attacker capable of manipulating memory pointers, or exploiting a localized out-of-bounds (OOB) write vulnerability within a peripheral Linux driver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can physically overwrite the read/write sequence numbers governing the lock-free disruptor ring.</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By shifting these sequence barriers, the attacker forces the core trading engine's consumer threads to ingest maliciously crafted memory payloads directly from the buffer.</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mechanism allows the attacker to synthesize and inject fraudulent Financial Information eXchange (FIX) messages, unauthorized trade executions, or malicious ledger updates directly into the application's memory space. Crucially, because the enterprise application firewall and intrusion detection systems (IDS) are architected to inspect only packets arriving over standard, kernel-mediated TCP/IP sockets, they are completely blind to payloads injected horizontally through IPC shared memory.</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Furthermore, dynamic data exchange (DDE) protocols and XPC services on specific operating architectures allow malicious daemons to hijack local code execution by providing crafted content directly to IPC components running with root or elevated system privileges.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UDP Multicast Injection in Colocated HFT Environments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Within the highly specialized domain of High-Frequency Trading, the ingestion of market data is predominantly facilitated via UDP multicast protocols. For instance, the Options Price Reporting Authority (OPRA) feed, which provides a consolidated stream of all options trading data, is distributed via UDP multicast to optimize latency, frequently bursting to data rates exceeding 17 Gigabits per second (Gbps).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UDP is an inherently connectionless protocol, completely devoid of the handshakes, sequence tracking, and transport-layer authentication mechanisms that characterize TCP.</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process these massive data volumes without inducing microsecond delays, algorithmic trading systems utilize dedicated networking hardware to pull the UDP multicast packets directly from the wire into shared memory log buffers, completely bypassing the OS kernel stack.</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If a sophisticated adversary compromises a colocation node or penetrates a switch operating within the physical boundary of the exchange's data center, they can inject spoofed UDP multicast packets directly into the colocation network.</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the transport layer lacks native cryptographic authentication, and because the kernel-bypass framework routes the data directly into the application's memory space to save microseconds, the spoofed packets are immediately processed by the engine as legitimate market ticks.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automated trading algorithm, operating deterministically on the manipulated data stream, executes errant, high-volume trades based on phantom market conditions. The exploitation logic here relies entirely on circumventing the kernel's defensive network stack and injecting malicious intelligence directly into the shared memory channels that feed the automated decision engines, triggering a cascade of catastrophic financial executions.</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Cryptographic Failures: The Ed25519 and Nonce Reuse Vectors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integration of advanced elliptic curve cryptography into financial infrastructure was ostensibly designed to provide unforgeable, mathematically guaranteed authorization for asset transfers. However, profound implementation flaws—particularly concerning the handling of non-canonical representations in the Ed25519 signature scheme, batch verification algorithms, and flawed API designs—have facilitated catastrophic private key exposures and widespread consensus failures.</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EdDSA Malleability and the Mathematics of Cofactor Flaws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Ed25519 is a highly performant, deterministic signature scheme instantiated over the twisted Edwards curve (Edwards25519).</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While it was engineered to be faster and more secure against side-channel attacks than standard ECDSA, its underlying mathematical properties render it vulnerable to severe malleability and consensus fracturing if implemented without strict canonical enforcement.</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fundamental issue arises from the curve's geometry. The Edwards25519 curve possesses a cofactor of </w:t>
      </w:r>
      <w:r w:rsidDel="00000000" w:rsidR="00000000" w:rsidRPr="00000000">
        <w:rPr>
          <w:rFonts w:ascii="Google Sans" w:cs="Google Sans" w:eastAsia="Google Sans" w:hAnsi="Google Sans"/>
          <w:color w:val="1f1f1f"/>
        </w:rPr>
        <w:drawing>
          <wp:inline distB="19050" distT="19050" distL="19050" distR="19050">
            <wp:extent cx="92273" cy="212229"/>
            <wp:effectExtent b="0" l="0" r="0" t="0"/>
            <wp:docPr id="37"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92273" cy="2122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This indicates that the total number of points on the curve (the curve order) is equal to </w:t>
      </w:r>
      <w:r w:rsidDel="00000000" w:rsidR="00000000" w:rsidRPr="00000000">
        <w:rPr>
          <w:rFonts w:ascii="Google Sans" w:cs="Google Sans" w:eastAsia="Google Sans" w:hAnsi="Google Sans"/>
          <w:color w:val="1f1f1f"/>
        </w:rPr>
        <w:drawing>
          <wp:inline distB="19050" distT="19050" distL="19050" distR="19050">
            <wp:extent cx="406450" cy="226856"/>
            <wp:effectExtent b="0" l="0" r="0" t="0"/>
            <wp:docPr id="43"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406450" cy="2268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w:t>
      </w:r>
      <w:r w:rsidDel="00000000" w:rsidR="00000000" w:rsidRPr="00000000">
        <w:rPr>
          <w:rFonts w:ascii="Google Sans" w:cs="Google Sans" w:eastAsia="Google Sans" w:hAnsi="Google Sans"/>
          <w:color w:val="1f1f1f"/>
        </w:rPr>
        <w:drawing>
          <wp:inline distB="19050" distT="19050" distL="19050" distR="19050">
            <wp:extent cx="88850" cy="236934"/>
            <wp:effectExtent b="0" l="0" r="0" t="0"/>
            <wp:docPr id="41" name="image24.png"/>
            <a:graphic>
              <a:graphicData uri="http://schemas.openxmlformats.org/drawingml/2006/picture">
                <pic:pic>
                  <pic:nvPicPr>
                    <pic:cNvPr id="0" name="image24.png"/>
                    <pic:cNvPicPr preferRelativeResize="0"/>
                  </pic:nvPicPr>
                  <pic:blipFill>
                    <a:blip r:embed="rId13"/>
                    <a:srcRect b="0" l="0" r="0" t="0"/>
                    <a:stretch>
                      <a:fillRect/>
                    </a:stretch>
                  </pic:blipFill>
                  <pic:spPr>
                    <a:xfrm>
                      <a:off x="0" y="0"/>
                      <a:ext cx="88850" cy="2369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 large prime number. In cryptographic systems that do not rigorously enforce canonical representations of the signature scalar </w:t>
      </w:r>
      <w:r w:rsidDel="00000000" w:rsidR="00000000" w:rsidRPr="00000000">
        <w:rPr>
          <w:rFonts w:ascii="Google Sans" w:cs="Google Sans" w:eastAsia="Google Sans" w:hAnsi="Google Sans"/>
          <w:color w:val="1f1f1f"/>
        </w:rPr>
        <w:drawing>
          <wp:inline distB="19050" distT="19050" distL="19050" distR="19050">
            <wp:extent cx="123676" cy="228326"/>
            <wp:effectExtent b="0" l="0" r="0" t="0"/>
            <wp:docPr id="47"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123676" cy="2283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 attacker can exploit this cofactor. Specifically, an adversary can take a valid signature and mathematically add the prime curve order </w:t>
      </w:r>
      <w:r w:rsidDel="00000000" w:rsidR="00000000" w:rsidRPr="00000000">
        <w:rPr>
          <w:rFonts w:ascii="Google Sans" w:cs="Google Sans" w:eastAsia="Google Sans" w:hAnsi="Google Sans"/>
          <w:color w:val="1f1f1f"/>
        </w:rPr>
        <w:drawing>
          <wp:inline distB="19050" distT="19050" distL="19050" distR="19050">
            <wp:extent cx="88850" cy="236934"/>
            <wp:effectExtent b="0" l="0" r="0" t="0"/>
            <wp:docPr id="44" name="image24.png"/>
            <a:graphic>
              <a:graphicData uri="http://schemas.openxmlformats.org/drawingml/2006/picture">
                <pic:pic>
                  <pic:nvPicPr>
                    <pic:cNvPr id="0" name="image24.png"/>
                    <pic:cNvPicPr preferRelativeResize="0"/>
                  </pic:nvPicPr>
                  <pic:blipFill>
                    <a:blip r:embed="rId13"/>
                    <a:srcRect b="0" l="0" r="0" t="0"/>
                    <a:stretch>
                      <a:fillRect/>
                    </a:stretch>
                  </pic:blipFill>
                  <pic:spPr>
                    <a:xfrm>
                      <a:off x="0" y="0"/>
                      <a:ext cx="88850" cy="2369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the scalar component </w:t>
      </w:r>
      <w:r w:rsidDel="00000000" w:rsidR="00000000" w:rsidRPr="00000000">
        <w:rPr>
          <w:rFonts w:ascii="Google Sans" w:cs="Google Sans" w:eastAsia="Google Sans" w:hAnsi="Google Sans"/>
          <w:color w:val="1f1f1f"/>
        </w:rPr>
        <w:drawing>
          <wp:inline distB="19050" distT="19050" distL="19050" distR="19050">
            <wp:extent cx="123676" cy="228326"/>
            <wp:effectExtent b="0" l="0" r="0" t="0"/>
            <wp:docPr id="46"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123676" cy="2283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resulting in an </w:t>
      </w:r>
      <w:r w:rsidDel="00000000" w:rsidR="00000000" w:rsidRPr="00000000">
        <w:rPr>
          <w:rFonts w:ascii="Google Sans" w:cs="Google Sans" w:eastAsia="Google Sans" w:hAnsi="Google Sans"/>
          <w:color w:val="1f1f1f"/>
        </w:rPr>
        <w:drawing>
          <wp:inline distB="19050" distT="19050" distL="19050" distR="19050">
            <wp:extent cx="168325" cy="224433"/>
            <wp:effectExtent b="0" l="0" r="0" t="0"/>
            <wp:docPr id="48" name="image22.png"/>
            <a:graphic>
              <a:graphicData uri="http://schemas.openxmlformats.org/drawingml/2006/picture">
                <pic:pic>
                  <pic:nvPicPr>
                    <pic:cNvPr id="0" name="image22.png"/>
                    <pic:cNvPicPr preferRelativeResize="0"/>
                  </pic:nvPicPr>
                  <pic:blipFill>
                    <a:blip r:embed="rId15"/>
                    <a:srcRect b="0" l="0" r="0" t="0"/>
                    <a:stretch>
                      <a:fillRect/>
                    </a:stretch>
                  </pic:blipFill>
                  <pic:spPr>
                    <a:xfrm>
                      <a:off x="0" y="0"/>
                      <a:ext cx="168325" cy="2244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value where </w:t>
      </w:r>
      <w:r w:rsidDel="00000000" w:rsidR="00000000" w:rsidRPr="00000000">
        <w:rPr>
          <w:rFonts w:ascii="Google Sans" w:cs="Google Sans" w:eastAsia="Google Sans" w:hAnsi="Google Sans"/>
          <w:color w:val="1f1f1f"/>
        </w:rPr>
        <w:drawing>
          <wp:inline distB="19050" distT="19050" distL="19050" distR="19050">
            <wp:extent cx="503039" cy="227791"/>
            <wp:effectExtent b="0" l="0" r="0" t="0"/>
            <wp:docPr id="49"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503039" cy="2277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This produces a signature that is mathematically valid under loose verification rules, yet represents an entirely different binary payload.</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If a Tier-0 engine uses the binary representation of this signature as a unique transaction identifier, adding </w:t>
      </w:r>
      <w:r w:rsidDel="00000000" w:rsidR="00000000" w:rsidRPr="00000000">
        <w:rPr>
          <w:rFonts w:ascii="Google Sans" w:cs="Google Sans" w:eastAsia="Google Sans" w:hAnsi="Google Sans"/>
          <w:color w:val="1f1f1f"/>
        </w:rPr>
        <w:drawing>
          <wp:inline distB="19050" distT="19050" distL="19050" distR="19050">
            <wp:extent cx="88850" cy="236934"/>
            <wp:effectExtent b="0" l="0" r="0" t="0"/>
            <wp:docPr id="50" name="image24.png"/>
            <a:graphic>
              <a:graphicData uri="http://schemas.openxmlformats.org/drawingml/2006/picture">
                <pic:pic>
                  <pic:nvPicPr>
                    <pic:cNvPr id="0" name="image24.png"/>
                    <pic:cNvPicPr preferRelativeResize="0"/>
                  </pic:nvPicPr>
                  <pic:blipFill>
                    <a:blip r:embed="rId13"/>
                    <a:srcRect b="0" l="0" r="0" t="0"/>
                    <a:stretch>
                      <a:fillRect/>
                    </a:stretch>
                  </pic:blipFill>
                  <pic:spPr>
                    <a:xfrm>
                      <a:off x="0" y="0"/>
                      <a:ext cx="88850" cy="2369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imperceptibly alters the identifier, recreating the exact transaction malleability desynchronization previously observed in the Mt. Gox ECDSA exploit.</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mathematical nuance becomes exponentially more dangerous when systems attempt to scale. To handle thousands of transactions per second, high-throughput financial networks implement batch verification—a cryptographic technique used to amortize the immense computational cost of verifying multiple signatures simultaneously by combining them into a single mathematical equation.</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If an attacker intentionally injects signatures containing small-order or mixed-order points (exploiting the cofactor </w:t>
      </w:r>
      <w:r w:rsidDel="00000000" w:rsidR="00000000" w:rsidRPr="00000000">
        <w:rPr>
          <w:rFonts w:ascii="Google Sans" w:cs="Google Sans" w:eastAsia="Google Sans" w:hAnsi="Google Sans"/>
          <w:color w:val="1f1f1f"/>
        </w:rPr>
        <w:drawing>
          <wp:inline distB="19050" distT="19050" distL="19050" distR="19050">
            <wp:extent cx="92273" cy="212229"/>
            <wp:effectExtent b="0" l="0" r="0" t="0"/>
            <wp:docPr id="51"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92273" cy="2122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into the verification batch, and the specific software implementation fails to multiply the verification equation by the cofactor </w:t>
      </w:r>
      <w:r w:rsidDel="00000000" w:rsidR="00000000" w:rsidRPr="00000000">
        <w:rPr>
          <w:rFonts w:ascii="Google Sans" w:cs="Google Sans" w:eastAsia="Google Sans" w:hAnsi="Google Sans"/>
          <w:color w:val="1f1f1f"/>
        </w:rPr>
        <w:drawing>
          <wp:inline distB="19050" distT="19050" distL="19050" distR="19050">
            <wp:extent cx="92273" cy="212229"/>
            <wp:effectExtent b="0" l="0" r="0" t="0"/>
            <wp:docPr id="52"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92273" cy="2122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during processing, the entire batch validation will fail indeterministically.</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decentralized ledger networks and distributed banking nodes, this specific mathematical failure allows an attacker to intentionally trigger consensus forks. By broadcasting a transaction with a manipulated cofactor to the network, the attacker forces a scenario where 50% of the nodes (running software that strictly rejects non-canonical values) reject the block, while the other 50% (running looser verification logic) confirm it.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creates an instantaneous parallel ledger, presenting massive arbitrage and double-spend opportunities. Industry audits reveal that over 50 widely deployed Ed25519 software libraries have exhibited these vulnerabilities due to subtle, highly technical inconsistencies between the original academic papers defining the cryptography, the RFC 8032 standard, and the individual library implementations.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The Signer Oracle Attack on Fintech APIs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One of the most devastating and mathematically elegant cryptographic exploits executed against modern fintech infrastructure is the Signer Oracle Attack. This vulnerability permits the complete extraction of a highly guarded private key from a system without requiring physical access, memory dumping, or side-channel power analysis.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standard EdDSA protocol, a signature consists of a pair </w:t>
      </w:r>
      <w:r w:rsidDel="00000000" w:rsidR="00000000" w:rsidRPr="00000000">
        <w:rPr>
          <w:rFonts w:ascii="Google Sans" w:cs="Google Sans" w:eastAsia="Google Sans" w:hAnsi="Google Sans"/>
          <w:color w:val="1f1f1f"/>
        </w:rPr>
        <w:drawing>
          <wp:inline distB="19050" distT="19050" distL="19050" distR="19050">
            <wp:extent cx="490538" cy="226402"/>
            <wp:effectExtent b="0" l="0" r="0" t="0"/>
            <wp:docPr id="53"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490538" cy="2264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These values are generated deterministically based on a secret private key </w:t>
      </w:r>
      <w:r w:rsidDel="00000000" w:rsidR="00000000" w:rsidRPr="00000000">
        <w:rPr>
          <w:rFonts w:ascii="Google Sans" w:cs="Google Sans" w:eastAsia="Google Sans" w:hAnsi="Google Sans"/>
          <w:color w:val="1f1f1f"/>
        </w:rPr>
        <w:drawing>
          <wp:inline distB="19050" distT="19050" distL="19050" distR="19050">
            <wp:extent cx="86618" cy="230981"/>
            <wp:effectExtent b="0" l="0" r="0" t="0"/>
            <wp:docPr id="5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86618" cy="2309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 public key </w:t>
      </w:r>
      <w:r w:rsidDel="00000000" w:rsidR="00000000" w:rsidRPr="00000000">
        <w:rPr>
          <w:rFonts w:ascii="Google Sans" w:cs="Google Sans" w:eastAsia="Google Sans" w:hAnsi="Google Sans"/>
          <w:color w:val="1f1f1f"/>
        </w:rPr>
        <w:drawing>
          <wp:inline distB="19050" distT="19050" distL="19050" distR="19050">
            <wp:extent cx="138410" cy="221455"/>
            <wp:effectExtent b="0" l="0" r="0" t="0"/>
            <wp:docPr id="55"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138410" cy="2214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message being signed </w:t>
      </w:r>
      <w:r w:rsidDel="00000000" w:rsidR="00000000" w:rsidRPr="00000000">
        <w:rPr>
          <w:rFonts w:ascii="Google Sans" w:cs="Google Sans" w:eastAsia="Google Sans" w:hAnsi="Google Sans"/>
          <w:color w:val="1f1f1f"/>
        </w:rPr>
        <w:drawing>
          <wp:inline distB="19050" distT="19050" distL="19050" distR="19050">
            <wp:extent cx="198983" cy="227409"/>
            <wp:effectExtent b="0" l="0" r="0" t="0"/>
            <wp:docPr id="21"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198983" cy="2274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mathematical formulation governing the generation of the scalar </w:t>
      </w:r>
      <w:r w:rsidDel="00000000" w:rsidR="00000000" w:rsidRPr="00000000">
        <w:rPr>
          <w:rFonts w:ascii="Google Sans" w:cs="Google Sans" w:eastAsia="Google Sans" w:hAnsi="Google Sans"/>
          <w:color w:val="1f1f1f"/>
        </w:rPr>
        <w:drawing>
          <wp:inline distB="19050" distT="19050" distL="19050" distR="19050">
            <wp:extent cx="123676" cy="228326"/>
            <wp:effectExtent b="0" l="0" r="0" t="0"/>
            <wp:docPr id="22"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123676" cy="2283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defined as: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22327"/>
            <wp:effectExtent b="0" l="0" r="0" t="0"/>
            <wp:docPr id="23"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5905500" cy="322327"/>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88255" cy="235347"/>
            <wp:effectExtent b="0" l="0" r="0" t="0"/>
            <wp:docPr id="24"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88255" cy="2353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 deterministic secret nonce derived from the private key and the message, and </w:t>
      </w:r>
      <w:r w:rsidDel="00000000" w:rsidR="00000000" w:rsidRPr="00000000">
        <w:rPr>
          <w:rFonts w:ascii="Google Sans" w:cs="Google Sans" w:eastAsia="Google Sans" w:hAnsi="Google Sans"/>
          <w:color w:val="1f1f1f"/>
        </w:rPr>
        <w:drawing>
          <wp:inline distB="19050" distT="19050" distL="19050" distR="19050">
            <wp:extent cx="168175" cy="224234"/>
            <wp:effectExtent b="0" l="0" r="0" t="0"/>
            <wp:docPr id="25"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168175" cy="2242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 cryptographic hash function (typically SHA-512).</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catastrophic architectural vulnerability emerges when a fintech application programming interface (API) or a poorly configured Hardware Security Module (HSM) is designed to accept the public key </w:t>
      </w:r>
      <w:r w:rsidDel="00000000" w:rsidR="00000000" w:rsidRPr="00000000">
        <w:rPr>
          <w:rFonts w:ascii="Google Sans" w:cs="Google Sans" w:eastAsia="Google Sans" w:hAnsi="Google Sans"/>
          <w:color w:val="1f1f1f"/>
        </w:rPr>
        <w:drawing>
          <wp:inline distB="19050" distT="19050" distL="19050" distR="19050">
            <wp:extent cx="138410" cy="221455"/>
            <wp:effectExtent b="0" l="0" r="0" t="0"/>
            <wp:docPr id="26"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138410" cy="2214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as an input parameter supplied by an external database or the user, rather than deriving it internally from the secured private key.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is known as the Chalkias double pub-key API vulnerability.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If the external database storing these public keys lacks strict cryptographic integrity protection, an attacker with basic write access can execute the following mathematical deduction:</w:t>
      </w:r>
    </w:p>
    <w:p w:rsidR="00000000" w:rsidDel="00000000" w:rsidP="00000000" w:rsidRDefault="00000000" w:rsidRPr="00000000" w14:paraId="00000042">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The attacker accesses the database and replaces the legitimate public key </w:t>
      </w:r>
      <w:r w:rsidDel="00000000" w:rsidR="00000000" w:rsidRPr="00000000">
        <w:rPr>
          <w:rFonts w:ascii="Google Sans" w:cs="Google Sans" w:eastAsia="Google Sans" w:hAnsi="Google Sans"/>
          <w:color w:val="1f1f1f"/>
        </w:rPr>
        <w:drawing>
          <wp:inline distB="19050" distT="19050" distL="19050" distR="19050">
            <wp:extent cx="138410" cy="221455"/>
            <wp:effectExtent b="0" l="0" r="0" t="0"/>
            <wp:docPr id="27"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138410" cy="2214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associated with a target user with a maliciously manipulated key </w:t>
      </w:r>
      <w:r w:rsidDel="00000000" w:rsidR="00000000" w:rsidRPr="00000000">
        <w:rPr>
          <w:rFonts w:ascii="Google Sans" w:cs="Google Sans" w:eastAsia="Google Sans" w:hAnsi="Google Sans"/>
          <w:color w:val="1f1f1f"/>
        </w:rPr>
        <w:drawing>
          <wp:inline distB="19050" distT="19050" distL="19050" distR="19050">
            <wp:extent cx="183059" cy="231233"/>
            <wp:effectExtent b="0" l="0" r="0" t="0"/>
            <wp:docPr id="28"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183059" cy="2312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The attacker triggers the API to generate a signature for a known message </w:t>
      </w:r>
      <w:r w:rsidDel="00000000" w:rsidR="00000000" w:rsidRPr="00000000">
        <w:rPr>
          <w:rFonts w:ascii="Google Sans" w:cs="Google Sans" w:eastAsia="Google Sans" w:hAnsi="Google Sans"/>
          <w:color w:val="1f1f1f"/>
        </w:rPr>
        <w:drawing>
          <wp:inline distB="19050" distT="19050" distL="19050" distR="19050">
            <wp:extent cx="198983" cy="227409"/>
            <wp:effectExtent b="0" l="0" r="0" t="0"/>
            <wp:docPr id="29"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198983" cy="2274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Because the EdDSA protocol generates the nonce </w:t>
      </w:r>
      <w:r w:rsidDel="00000000" w:rsidR="00000000" w:rsidRPr="00000000">
        <w:rPr>
          <w:rFonts w:ascii="Google Sans" w:cs="Google Sans" w:eastAsia="Google Sans" w:hAnsi="Google Sans"/>
          <w:color w:val="1f1f1f"/>
        </w:rPr>
        <w:drawing>
          <wp:inline distB="19050" distT="19050" distL="19050" distR="19050">
            <wp:extent cx="88255" cy="235347"/>
            <wp:effectExtent b="0" l="0" r="0" t="0"/>
            <wp:docPr id="30"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88255" cy="2353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value </w:t>
      </w:r>
      <w:r w:rsidDel="00000000" w:rsidR="00000000" w:rsidRPr="00000000">
        <w:rPr>
          <w:rFonts w:ascii="Google Sans" w:cs="Google Sans" w:eastAsia="Google Sans" w:hAnsi="Google Sans"/>
          <w:color w:val="1f1f1f"/>
        </w:rPr>
        <w:drawing>
          <wp:inline distB="19050" distT="19050" distL="19050" distR="19050">
            <wp:extent cx="141387" cy="226220"/>
            <wp:effectExtent b="0" l="0" r="0" t="0"/>
            <wp:docPr id="11"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141387" cy="2262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deterministically based </w:t>
      </w:r>
      <w:r w:rsidDel="00000000" w:rsidR="00000000" w:rsidRPr="00000000">
        <w:rPr>
          <w:rFonts w:ascii="Google Sans" w:cs="Google Sans" w:eastAsia="Google Sans" w:hAnsi="Google Sans"/>
          <w:i w:val="1"/>
          <w:iCs w:val="1"/>
          <w:color w:val="1f1f1f"/>
          <w:rtl w:val="0"/>
        </w:rPr>
        <w:t xml:space="preserve">only</w:t>
      </w:r>
      <w:r w:rsidDel="00000000" w:rsidR="00000000" w:rsidRPr="00000000">
        <w:rPr>
          <w:rFonts w:ascii="Google Sans" w:cs="Google Sans" w:eastAsia="Google Sans" w:hAnsi="Google Sans"/>
          <w:color w:val="1f1f1f"/>
          <w:rtl w:val="0"/>
        </w:rPr>
        <w:t xml:space="preserve"> on the message </w:t>
      </w:r>
      <w:r w:rsidDel="00000000" w:rsidR="00000000" w:rsidRPr="00000000">
        <w:rPr>
          <w:rFonts w:ascii="Google Sans" w:cs="Google Sans" w:eastAsia="Google Sans" w:hAnsi="Google Sans"/>
          <w:color w:val="1f1f1f"/>
        </w:rPr>
        <w:drawing>
          <wp:inline distB="19050" distT="19050" distL="19050" distR="19050">
            <wp:extent cx="198983" cy="227409"/>
            <wp:effectExtent b="0" l="0" r="0" t="0"/>
            <wp:docPr id="12"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198983" cy="2274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private key </w:t>
      </w:r>
      <w:r w:rsidDel="00000000" w:rsidR="00000000" w:rsidRPr="00000000">
        <w:rPr>
          <w:rFonts w:ascii="Google Sans" w:cs="Google Sans" w:eastAsia="Google Sans" w:hAnsi="Google Sans"/>
          <w:color w:val="1f1f1f"/>
        </w:rPr>
        <w:drawing>
          <wp:inline distB="19050" distT="19050" distL="19050" distR="19050">
            <wp:extent cx="86618" cy="230981"/>
            <wp:effectExtent b="0" l="0" r="0" t="0"/>
            <wp:docPr id="1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86618" cy="2309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system generates a signature using the exact same </w:t>
      </w:r>
      <w:r w:rsidDel="00000000" w:rsidR="00000000" w:rsidRPr="00000000">
        <w:rPr>
          <w:rFonts w:ascii="Google Sans" w:cs="Google Sans" w:eastAsia="Google Sans" w:hAnsi="Google Sans"/>
          <w:color w:val="1f1f1f"/>
        </w:rPr>
        <w:drawing>
          <wp:inline distB="19050" distT="19050" distL="19050" distR="19050">
            <wp:extent cx="141387" cy="226220"/>
            <wp:effectExtent b="0" l="0" r="0" t="0"/>
            <wp:docPr id="14"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141387" cy="2262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value as it would for a normal transaction. However, the calculation of </w:t>
      </w:r>
      <w:r w:rsidDel="00000000" w:rsidR="00000000" w:rsidRPr="00000000">
        <w:rPr>
          <w:rFonts w:ascii="Google Sans" w:cs="Google Sans" w:eastAsia="Google Sans" w:hAnsi="Google Sans"/>
          <w:color w:val="1f1f1f"/>
        </w:rPr>
        <w:drawing>
          <wp:inline distB="19050" distT="19050" distL="19050" distR="19050">
            <wp:extent cx="123676" cy="228326"/>
            <wp:effectExtent b="0" l="0" r="0" t="0"/>
            <wp:docPr id="15"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123676" cy="2283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incorporates the attacker's manipulated public key, resulting in a unique hash </w:t>
      </w:r>
      <w:r w:rsidDel="00000000" w:rsidR="00000000" w:rsidRPr="00000000">
        <w:rPr>
          <w:rFonts w:ascii="Google Sans" w:cs="Google Sans" w:eastAsia="Google Sans" w:hAnsi="Google Sans"/>
          <w:color w:val="1f1f1f"/>
        </w:rPr>
        <w:drawing>
          <wp:inline distB="19050" distT="19050" distL="19050" distR="19050">
            <wp:extent cx="999087" cy="228363"/>
            <wp:effectExtent b="0" l="0" r="0" t="0"/>
            <wp:docPr id="16"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999087" cy="2283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The API outputs the manipulated signature scalar: </w:t>
      </w:r>
      <w:r w:rsidDel="00000000" w:rsidR="00000000" w:rsidRPr="00000000">
        <w:rPr>
          <w:rFonts w:ascii="Google Sans" w:cs="Google Sans" w:eastAsia="Google Sans" w:hAnsi="Google Sans"/>
          <w:color w:val="1f1f1f"/>
        </w:rPr>
        <w:drawing>
          <wp:inline distB="19050" distT="19050" distL="19050" distR="19050">
            <wp:extent cx="2799455" cy="228527"/>
            <wp:effectExtent b="0" l="0" r="0" t="0"/>
            <wp:docPr id="17" name="image23.png"/>
            <a:graphic>
              <a:graphicData uri="http://schemas.openxmlformats.org/drawingml/2006/picture">
                <pic:pic>
                  <pic:nvPicPr>
                    <pic:cNvPr id="0" name="image23.png"/>
                    <pic:cNvPicPr preferRelativeResize="0"/>
                  </pic:nvPicPr>
                  <pic:blipFill>
                    <a:blip r:embed="rId26"/>
                    <a:srcRect b="0" l="0" r="0" t="0"/>
                    <a:stretch>
                      <a:fillRect/>
                    </a:stretch>
                  </pic:blipFill>
                  <pic:spPr>
                    <a:xfrm>
                      <a:off x="0" y="0"/>
                      <a:ext cx="2799455" cy="2285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The attacker then restores the original, legitimate public key </w:t>
      </w:r>
      <w:r w:rsidDel="00000000" w:rsidR="00000000" w:rsidRPr="00000000">
        <w:rPr>
          <w:rFonts w:ascii="Google Sans" w:cs="Google Sans" w:eastAsia="Google Sans" w:hAnsi="Google Sans"/>
          <w:color w:val="1f1f1f"/>
        </w:rPr>
        <w:drawing>
          <wp:inline distB="19050" distT="19050" distL="19050" distR="19050">
            <wp:extent cx="138410" cy="221455"/>
            <wp:effectExtent b="0" l="0" r="0" t="0"/>
            <wp:docPr id="18"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138410" cy="2214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the database and requests a second signature for the exact same message </w:t>
      </w:r>
      <w:r w:rsidDel="00000000" w:rsidR="00000000" w:rsidRPr="00000000">
        <w:rPr>
          <w:rFonts w:ascii="Google Sans" w:cs="Google Sans" w:eastAsia="Google Sans" w:hAnsi="Google Sans"/>
          <w:color w:val="1f1f1f"/>
        </w:rPr>
        <w:drawing>
          <wp:inline distB="19050" distT="19050" distL="19050" distR="19050">
            <wp:extent cx="198983" cy="227409"/>
            <wp:effectExtent b="0" l="0" r="0" t="0"/>
            <wp:docPr id="19"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198983" cy="2274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API outputs the legitimate scalar: </w:t>
      </w:r>
      <w:r w:rsidDel="00000000" w:rsidR="00000000" w:rsidRPr="00000000">
        <w:rPr>
          <w:rFonts w:ascii="Google Sans" w:cs="Google Sans" w:eastAsia="Google Sans" w:hAnsi="Google Sans"/>
          <w:color w:val="1f1f1f"/>
        </w:rPr>
        <w:drawing>
          <wp:inline distB="19050" distT="19050" distL="19050" distR="19050">
            <wp:extent cx="2710158" cy="228224"/>
            <wp:effectExtent b="0" l="0" r="0" t="0"/>
            <wp:docPr id="20"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2710158" cy="2282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The attacker now possesses two distinct mathematical equations representing the two signatures. Both equations share the exact same secret variables (</w:t>
      </w:r>
      <w:r w:rsidDel="00000000" w:rsidR="00000000" w:rsidRPr="00000000">
        <w:rPr>
          <w:rFonts w:ascii="Google Sans" w:cs="Google Sans" w:eastAsia="Google Sans" w:hAnsi="Google Sans"/>
          <w:color w:val="1f1f1f"/>
        </w:rPr>
        <w:drawing>
          <wp:inline distB="19050" distT="19050" distL="19050" distR="19050">
            <wp:extent cx="88255" cy="235347"/>
            <wp:effectExtent b="0" l="0" r="0" t="0"/>
            <wp:docPr id="1"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88255" cy="2353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target private key </w:t>
      </w:r>
      <w:r w:rsidDel="00000000" w:rsidR="00000000" w:rsidRPr="00000000">
        <w:rPr>
          <w:rFonts w:ascii="Google Sans" w:cs="Google Sans" w:eastAsia="Google Sans" w:hAnsi="Google Sans"/>
          <w:color w:val="1f1f1f"/>
        </w:rPr>
        <w:drawing>
          <wp:inline distB="19050" distT="19050" distL="19050" distR="19050">
            <wp:extent cx="86618" cy="230981"/>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86618" cy="2309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By subtracting the first equation from the second, the secret nonce </w:t>
      </w:r>
      <w:r w:rsidDel="00000000" w:rsidR="00000000" w:rsidRPr="00000000">
        <w:rPr>
          <w:rFonts w:ascii="Google Sans" w:cs="Google Sans" w:eastAsia="Google Sans" w:hAnsi="Google Sans"/>
          <w:color w:val="1f1f1f"/>
        </w:rPr>
        <w:drawing>
          <wp:inline distB="19050" distT="19050" distL="19050" distR="19050">
            <wp:extent cx="88255" cy="235347"/>
            <wp:effectExtent b="0" l="0" r="0" t="0"/>
            <wp:docPr id="3"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88255" cy="2353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mathematically eliminated. The attacker is left with a simple linear equation containing only one unknown variable: the highly sensitive private key </w:t>
      </w:r>
      <w:r w:rsidDel="00000000" w:rsidR="00000000" w:rsidRPr="00000000">
        <w:rPr>
          <w:rFonts w:ascii="Google Sans" w:cs="Google Sans" w:eastAsia="Google Sans" w:hAnsi="Google Sans"/>
          <w:color w:val="1f1f1f"/>
        </w:rPr>
        <w:drawing>
          <wp:inline distB="19050" distT="19050" distL="19050" distR="19050">
            <wp:extent cx="86618" cy="230981"/>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86618" cy="2309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By applying modular arithmetic inversion, the attacker trivially solves the equation and extracts the private key in plaintext.</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architectural flaw proves that even if a master private key is securely locked within an isolated Trusted Computing Base (TCB) or an air-gapped HSM, a failure to strictly authenticate the integrity of public inputs fundamentally turns the cryptographic engine into a decryption oracle, surrendering the keys to the kingdom.</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Nonce Predictability and Replay Attacks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mathematical security of the ECDSA signature scheme relies absolutely on the generation of a perfectly random, entirely unique cryptographic nonce (denoted as </w:t>
      </w:r>
      <w:r w:rsidDel="00000000" w:rsidR="00000000" w:rsidRPr="00000000">
        <w:rPr>
          <w:rFonts w:ascii="Google Sans" w:cs="Google Sans" w:eastAsia="Google Sans" w:hAnsi="Google Sans"/>
          <w:color w:val="1f1f1f"/>
        </w:rPr>
        <w:drawing>
          <wp:inline distB="19050" distT="19050" distL="19050" distR="19050">
            <wp:extent cx="101947" cy="222430"/>
            <wp:effectExtent b="0" l="0" r="0" t="0"/>
            <wp:docPr id="5"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101947" cy="2224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every single signature generated. If a core banking system fails to utilize deterministic nonces (a security feature implemented by design in Ed25519) and instead relies on flawed Pseudo-Random Number Generators (PRNGs) for ECDSA, the system becomes catastrophically vulnerable to nonce reuse.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an attacker observes two distinct transactions on the network that were signed using the exact same random value </w:t>
      </w:r>
      <w:r w:rsidDel="00000000" w:rsidR="00000000" w:rsidRPr="00000000">
        <w:rPr>
          <w:rFonts w:ascii="Google Sans" w:cs="Google Sans" w:eastAsia="Google Sans" w:hAnsi="Google Sans"/>
          <w:color w:val="1f1f1f"/>
        </w:rPr>
        <w:drawing>
          <wp:inline distB="19050" distT="19050" distL="19050" distR="19050">
            <wp:extent cx="101947" cy="222430"/>
            <wp:effectExtent b="0" l="0" r="0" t="0"/>
            <wp:docPr id="6"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101947" cy="2224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mathematical protection of the elliptic curve collapses entirely. Similar to the Oracle attack, possessing two signatures that share the same </w:t>
      </w:r>
      <w:r w:rsidDel="00000000" w:rsidR="00000000" w:rsidRPr="00000000">
        <w:rPr>
          <w:rFonts w:ascii="Google Sans" w:cs="Google Sans" w:eastAsia="Google Sans" w:hAnsi="Google Sans"/>
          <w:color w:val="1f1f1f"/>
        </w:rPr>
        <w:drawing>
          <wp:inline distB="19050" distT="19050" distL="19050" distR="19050">
            <wp:extent cx="101947" cy="222430"/>
            <wp:effectExtent b="0" l="0" r="0" t="0"/>
            <wp:docPr id="7"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101947" cy="2224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allows the attacker to isolate the variable and extract the private key through basic modular algebra.</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This vulnerability has repeatedly surfaced in environments where virtual machines are cloned or where constrained IoT payment devices reset their internal state machines, causing the PRNG seed to repeat.</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Additionally, replay attacks frequently devastate stateless financial APIs that lack strict timestamp validation mechanisms or monotonic sequence counters. An attacker intercepts a fully encrypted, mathematically valid authorization token from the network stream and simply resends it to the target server.</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If the Tier-0 engine's state machine relies on eventual consistency, or fails to maintain a highly available, globally synchronized cache of previously consumed nonces, the application processes the replayed request as a net-new authorization. This forces the system to repeatedly execute the exact same fund transfer, rapidly draining the target account until the balance is exhausted.</w:t>
      </w:r>
      <w:r w:rsidDel="00000000" w:rsidR="00000000" w:rsidRPr="00000000">
        <w:rPr>
          <w:rFonts w:ascii="Google Sans" w:cs="Google Sans" w:eastAsia="Google Sans" w:hAnsi="Google Sans"/>
          <w:color w:val="444746"/>
          <w:sz w:val="24"/>
          <w:szCs w:val="24"/>
          <w:vertAlign w:val="superscript"/>
          <w:rtl w:val="0"/>
        </w:rPr>
        <w:t xml:space="preserve">8</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Cryptographic Flaw</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Mechanical Exploit Vector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Systemic Impact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Mathematical Target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Cofactor Malleability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Exploiting non-canonical </w:t>
            </w:r>
            <w:r w:rsidDel="00000000" w:rsidR="00000000" w:rsidRPr="00000000">
              <w:rPr>
                <w:rFonts w:ascii="Google Sans" w:cs="Google Sans" w:eastAsia="Google Sans" w:hAnsi="Google Sans"/>
                <w:color w:val="1f1f1f"/>
              </w:rPr>
              <w:drawing>
                <wp:inline distB="19050" distT="19050" distL="19050" distR="19050">
                  <wp:extent cx="123676" cy="228326"/>
                  <wp:effectExtent b="0" l="0" r="0" t="0"/>
                  <wp:docPr id="8"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123676" cy="2283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values and mixed-order points in batch verification.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Network consensus forks, transaction malleability, ledger desynchronization.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Curve cofactor 8, </w:t>
            </w:r>
            <w:r w:rsidDel="00000000" w:rsidR="00000000" w:rsidRPr="00000000">
              <w:rPr>
                <w:rFonts w:ascii="Google Sans" w:cs="Google Sans" w:eastAsia="Google Sans" w:hAnsi="Google Sans"/>
                <w:color w:val="1f1f1f"/>
              </w:rPr>
              <w:drawing>
                <wp:inline distB="19050" distT="19050" distL="19050" distR="19050">
                  <wp:extent cx="458391" cy="229195"/>
                  <wp:effectExtent b="0" l="0" r="0" t="0"/>
                  <wp:docPr id="9"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458391" cy="2291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boundary check failures.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Signer Oracle API Flaw</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Tampering with public key API inputs to force deterministic </w:t>
            </w:r>
            <w:r w:rsidDel="00000000" w:rsidR="00000000" w:rsidRPr="00000000">
              <w:rPr>
                <w:rFonts w:ascii="Google Sans" w:cs="Google Sans" w:eastAsia="Google Sans" w:hAnsi="Google Sans"/>
                <w:color w:val="1f1f1f"/>
              </w:rPr>
              <w:drawing>
                <wp:inline distB="19050" distT="19050" distL="19050" distR="19050">
                  <wp:extent cx="141387" cy="226220"/>
                  <wp:effectExtent b="0" l="0" r="0" t="0"/>
                  <wp:docPr id="10"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141387" cy="2262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reuse.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Complete private key extraction from isolated Trusted Computing Bases.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Algebraic deduction via </w:t>
            </w:r>
            <w:r w:rsidDel="00000000" w:rsidR="00000000" w:rsidRPr="00000000">
              <w:rPr>
                <w:rFonts w:ascii="Google Sans" w:cs="Google Sans" w:eastAsia="Google Sans" w:hAnsi="Google Sans"/>
                <w:color w:val="1f1f1f"/>
              </w:rPr>
              <w:drawing>
                <wp:inline distB="19050" distT="19050" distL="19050" distR="19050">
                  <wp:extent cx="2710158" cy="228224"/>
                  <wp:effectExtent b="0" l="0" r="0" t="0"/>
                  <wp:docPr id="36"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2710158" cy="2282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Nonce Reuse &amp; PRNG Failure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PRNG entropy failure or state machine reset causing duplicate </w:t>
            </w:r>
            <w:r w:rsidDel="00000000" w:rsidR="00000000" w:rsidRPr="00000000">
              <w:rPr>
                <w:rFonts w:ascii="Google Sans" w:cs="Google Sans" w:eastAsia="Google Sans" w:hAnsi="Google Sans"/>
                <w:color w:val="1f1f1f"/>
              </w:rPr>
              <w:drawing>
                <wp:inline distB="19050" distT="19050" distL="19050" distR="19050">
                  <wp:extent cx="101947" cy="222430"/>
                  <wp:effectExtent b="0" l="0" r="0" t="0"/>
                  <wp:docPr id="39"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101947" cy="2224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generation.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Private key extraction via signature comparison.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color w:val="1f1f1f"/>
              </w:rPr>
              <w:drawing>
                <wp:inline distB="19050" distT="19050" distL="19050" distR="19050">
                  <wp:extent cx="101947" cy="222430"/>
                  <wp:effectExtent b="0" l="0" r="0" t="0"/>
                  <wp:docPr id="40"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101947" cy="2224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scalar value in ECDSA signature calculation.</w:t>
            </w:r>
          </w:p>
        </w:tc>
      </w:tr>
    </w:tbl>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Concurrency and DoS: Resource Starvation in Financial Gateways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High-availability API gateways and protocol decoders form the critical external perimeter of core banking engines. Advanced attacks targeting these edge components rarely attempt to crack the underlying cryptography or manipulate the database directly. Instead, they exploit the deterministic algorithms governing network protocol flow and memory allocation, inducing sophisticated application-layer starvation that forces the infrastructure to systematically collapse under its own architectural weight, rendering the exchange incapable of processing legitimate order flow.</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Head-of-Line Blocking in FIX Protocol Gateways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Financial Information eXchange (FIX) protocol has served as the de facto communication standard for institutional order routing, high-speed execution management, and market data transmission for decades.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Architecturally, legacy FIX engines operate over the Transmission Control Protocol (TCP), utilizing strictly ordered First-In-First-Out (FIFO) queuing buffers for packet processing.</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specific architecture is fundamentally vulnerable to a severe networking phenomenon known as Head-of-Line (HOL) blocking. TCP is a reliable, byte-stream protocol that guarantees in-order delivery. In a FIFO buffered crossbar, packets must be stored, processed, and passed to the application layer strictly in their order of arrival.</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If an attacker intentionally degrades the network path, manipulates the Maximum Transmission Unit (MTU) sizes to force fragmentation, or crafts a complex, malformed packet that stalls the protocol decoder at the gateway, the entire transmission queue is immediately blocked.</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Even if the subsequent packets waiting in the buffer contain critical, time-sensitive trade execution orders or vital market data updates that are completely independent of the stalled packet, they remain inextricably trapped behind the delayed or malformed "head" packet.</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In a targeted Red Team simulation, an adversary can establish a TCP connection with the target FIX gateway and intentionally drop specific sequence packets from the transmission stream. The target gateway's OS network stack is mathematically forced to halt the delivery of the byte stream to the FIX application layer, waiting indefinitely for the missing packet to be retransmitted.</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connection-level starvation forces algorithmic trading engines into catastrophic fail-open or fail-closed states, rapidly desynchronizing the firm's local order book from the global exchange's master order book. While modern transport layer protocols like QUIC and HTTP/3 effectively mitigate HOL blocking by multiplexing independent byte streams—ensuring that a dropped packet in one stream does not pause execution in another </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—legacy FIX engines tightly coupled to TCP remain highly exploitable to precision-targeted starvation attacks. Defense mechanisms require the implementation of Border Gateway Protocol (BGP) Flow spec rules to dynamically control network flows and rate-based traffic policing to sever connections exhibiting manipulative sequencing behavior.</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Thread-Pool Exhaustion in Modern Asynchronous Runtimes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handle millions of concurrent connections, modern core banking engines are frequently rewritten in memory-safe systems languages like Go and Rust. These architectures leverage high-concurrency asynchronous runtimes—such as Go's G-M-P scheduler employing lightweight goroutines, or Rust's Tokio runtime utilizing asynchronous polling. However, the complex interface between these non-blocking asynchronous architectures and legacy synchronous operations presents a critical vulnerability vector known as thread-pool exhaustion.</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an asynchronous Rust runtime like Tokio, a fixed, limited number of underlying OS worker threads continuously pull lightweight tasks from a queue, polling them to see if they can make progress. If a task cannot make progress (e.g., waiting for network I/O), it yields control back to the thread so another task can run. The vulnerability arises when an attacker submits a highly complex API request that deliberately triggers a synchronous, CPU-bound blocking call. Examples include initiating a complex SQL query that locks deep database tables, executing a computationally heavy cryptographic hash verification, or calling a legacy C library via Foreign Function Interface (FFI) that physically blocks the CPU execution path without yielding control back to the asynchronous scheduler.</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this blocking operation executes, the underlying worker thread is completely hijacked. If the attacker systematically crafts a volume of these specific blocking requests exactly equal to the number of worker threads allocated to the runtime pool, the entire asynchronous engine is immediately exhausted. The scheduler has no available OS threads to process new events. Consequently, no new incoming requests—not even lightweight health checks, administrative overrides, or heartbeat monitors—can be processed, as all available threads are physically blocked waiting for the malicious synchronous operations to complete.</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constitutes an application-layer Denial of Service mathematically identical to the infamous Slowloris attack, but executed entirely within the engine's internal memory space and scheduling logic.</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In Go-based architectures, executing heavily blocking CGO calls (where Go code interfaces with legacy C libraries) can completely starve the OS threads (M) attached to the logical processors (P). To compensate, the Go scheduler is forced to spin up new, resource-heavy OS threads to handle the blocking load, leading to rapid memory exhaustion and kernel-level context-switching collapse, ultimately bringing the entire Tier-0 gateway offline.</w:t>
      </w:r>
    </w:p>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Emerging AI Vectors (2023-2026): Transaction Pipeline Exploitation</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the financial sector rapidly integrates automated Large Language Models (LLMs) and transformer-based inference architectures into Tier-0 fraud detection, dynamic transaction routing, and anti-money laundering (AML) risk-assessment pipelines, a new frontier of algorithmic vulnerabilities has emerged.</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These adversarial vectors entirely bypass traditional memory protections, firewalls, and cryptographic defenses by directly exploiting the deterministic tokenization mathematics and attention mechanisms inherent to AI models.</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Entropy Token-Starvation and Compute Exhaustion</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fundamental architecture of transformer-based LLMs dictates that their computational complexity scales quadratically (</w:t>
      </w:r>
      <w:r w:rsidDel="00000000" w:rsidR="00000000" w:rsidRPr="00000000">
        <w:rPr>
          <w:rFonts w:ascii="Google Sans" w:cs="Google Sans" w:eastAsia="Google Sans" w:hAnsi="Google Sans"/>
          <w:color w:val="1f1f1f"/>
        </w:rPr>
        <w:drawing>
          <wp:inline distB="19050" distT="19050" distL="19050" distR="19050">
            <wp:extent cx="531167" cy="227643"/>
            <wp:effectExtent b="0" l="0" r="0" t="0"/>
            <wp:docPr id="42" name="image16.png"/>
            <a:graphic>
              <a:graphicData uri="http://schemas.openxmlformats.org/drawingml/2006/picture">
                <pic:pic>
                  <pic:nvPicPr>
                    <pic:cNvPr id="0" name="image16.png"/>
                    <pic:cNvPicPr preferRelativeResize="0"/>
                  </pic:nvPicPr>
                  <pic:blipFill>
                    <a:blip r:embed="rId30"/>
                    <a:srcRect b="0" l="0" r="0" t="0"/>
                    <a:stretch>
                      <a:fillRect/>
                    </a:stretch>
                  </pic:blipFill>
                  <pic:spPr>
                    <a:xfrm>
                      <a:off x="0" y="0"/>
                      <a:ext cx="531167" cy="2276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relative to the length of the input context. This mathematical reality has birthed a novel application-layer resource exhaustion attack tailored specifically for AI-driven pipelines: entropy token-starvation.</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advanced adversary constructs a transaction payload containing metadata—such as SWIFT MT103 transaction narratives or cross-border compliance notes—formatted specifically to generate a state of maximum mathematical entropy during the model's initial tokenization phase. By utilizing obscure character sequences that deliberately span the boundaries between common sub-word tokens, or by injecting recursive, linguistically dense arrays into the memo fields of a wire transfer, the attacker forces the underlying transformer architecture to fracture the input into an exponentially larger number of individual tokens.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the financial transaction validation engine is programmed to block the ledger update until the AI risk-assessment model returns a definitive verdict, forcing the inference engine to calculate the attention weights for this massive array of entropic tokens causes severe GPU VRAM spikes and consumes excessive computational cycles. This creates an artificial, highly targeted processing bottleneck. The pipeline effectively starves, mirroring the mechanics of thread-pool exhaustion, but occurring entirely within the physical limits of the GPU memory space.</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Deterministic Boundary Breaking and Model Fingerprinting</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Financial systems increasingly utilize LLMs to parse highly unstructured data to determine the legitimacy of complex transactions. Deterministic boundary breaking occurs when an attacker embeds adversarial control characters or meticulously crafted, mathematically weighted semantic structures into the transaction metadata.</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adversarial structures are precision-engineered to maliciously interact with the LLM's system prompt instructions. Because LLMs inherently lack a strict, deterministic demarcation between executable code (system instructions) and user data (the transaction payload)—relying instead on probabilistic attention weightings—an attacker can craft a payload that mathematically overrides the model's behavioral guardrails, tricking it into classifying an illicit money-laundering transfer as a standard corporate remittance.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Prior to executing this exploitation, attackers must map the target system through Model Fingerprinting, a methodology formally classified as technique T5-AT-005 in modern Adversarial AI Threat Modeling Frameworks.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By sending carefully calibrated, innocuous transactions and precisely measuring the network latency, rejection reasons, and processing patterns, the attacker queries the infrastructure to deduce the specific parameters, version, and architecture of the underlying AI model (e.g., determining whether the bank uses a customized LLaMA 3 variant or a proprietary Gemini model).</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Once successfully fingerprinted, the attacker mathematically tailors the boundary-breaking payload to exploit the exact tokenization biases and attention weaknesses of that specific model, effectively rewriting the bank's fraud-detection logic on the fly.</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Adversarial Cache Pollution Attacks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optimize inference speeds and reduce computational overhead, high-throughput AI transaction pipelines implement shared context caches. If an incoming transaction mathematically matches a previously computed embedding or semantic profile, the system bypasses the LLM and retrieves the cached verdict to save compute cycles.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Attackers actively leverage Cache Pollution Attacks (Technique AP051J) to compromise this optimization.</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The adversary submits a benign-appearing transaction that is mathematically engineered to produce a specific multi-dimensional embedding vector that is positioned exceptionally close in vector space to the embedding of a highly malicious transaction. If the risk engine clears the benign transaction, its embedding and the resulting "approved" state are persistently stored in the cache.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attacker subsequently submits the actual malicious transaction. Because its calculated embedding vector falls within the accepted mathematical distance threshold of the polluted cache entry, the system registers a cache hit. It returns a false-negative risk score, seamlessly validating an illicit transfer without ever invoking the full analytical scrutiny of the underlying AI model.</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Conclusions and Red Team Audit Synthesis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historical evolution of cyberattacks against Tier-0 financial engines demonstrates an unambiguous trajectory: attackers have migrated away from the perimeter, abandoning easily patched software bugs and social engineering in favor of exploiting the fundamental, deterministic mechanics that govern system state, memory allocation, cryptographic mathematics, and concurrency scheduling. For a highly specialized Red Team operating against a custom Go/Rust banking core, the audit parameters must be ruthlessly focused on these deep-system architectures.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intelligence derived from this analysis necessitates the execution of the following mechanical testing protocols during the audit:</w:t>
      </w:r>
    </w:p>
    <w:p w:rsidR="00000000" w:rsidDel="00000000" w:rsidP="00000000" w:rsidRDefault="00000000" w:rsidRPr="00000000" w14:paraId="0000007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State Desynchronization and Memory Fuzzing:</w:t>
      </w:r>
      <w:r w:rsidDel="00000000" w:rsidR="00000000" w:rsidRPr="00000000">
        <w:rPr>
          <w:rFonts w:ascii="Google Sans" w:cs="Google Sans" w:eastAsia="Google Sans" w:hAnsi="Google Sans"/>
          <w:color w:val="1f1f1f"/>
          <w:rtl w:val="0"/>
        </w:rPr>
        <w:t xml:space="preserve"> The Go and Rust Foreign Function Interface (FFI) boundaries must be aggressively fuzzed specifically for integer boundary wrapping during data deserialization. Lock-free queues utilized in the transaction settlement layers must be subjected to extreme concurrent load testing to detect nanosecond race conditions resulting from the implementation of Relaxed memory ordering, prioritizing distributed tests for multi-node double-spend vectors.</w:t>
      </w:r>
    </w:p>
    <w:p w:rsidR="00000000" w:rsidDel="00000000" w:rsidP="00000000" w:rsidRDefault="00000000" w:rsidRPr="00000000" w14:paraId="0000007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IPC and Hardware Isolation Penetration:</w:t>
      </w:r>
      <w:r w:rsidDel="00000000" w:rsidR="00000000" w:rsidRPr="00000000">
        <w:rPr>
          <w:rFonts w:ascii="Google Sans" w:cs="Google Sans" w:eastAsia="Google Sans" w:hAnsi="Google Sans"/>
          <w:color w:val="1f1f1f"/>
          <w:rtl w:val="0"/>
        </w:rPr>
        <w:t xml:space="preserve"> Relying on TCP/IP application firewalls is fundamentally insufficient if kernel bypass technologies (DPDK/RDMA) are actively deployed. Red Team operations must attempt local payload injection directly into the volatile /dev/shm ring buffers, rigorously testing whether the core engine algorithmically validates the structural integrity and source authentication of intra-process messages independent of the network stack.</w:t>
      </w:r>
    </w:p>
    <w:p w:rsidR="00000000" w:rsidDel="00000000" w:rsidP="00000000" w:rsidRDefault="00000000" w:rsidRPr="00000000" w14:paraId="0000007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Cryptographic Canonical Rigor Verification:</w:t>
      </w:r>
      <w:r w:rsidDel="00000000" w:rsidR="00000000" w:rsidRPr="00000000">
        <w:rPr>
          <w:rFonts w:ascii="Google Sans" w:cs="Google Sans" w:eastAsia="Google Sans" w:hAnsi="Google Sans"/>
          <w:color w:val="1f1f1f"/>
          <w:rtl w:val="0"/>
        </w:rPr>
        <w:t xml:space="preserve"> Any implementation of the Ed25519 signature scheme must be subjected to rigorous mathematical testing against non-canonical </w:t>
      </w:r>
      <w:r w:rsidDel="00000000" w:rsidR="00000000" w:rsidRPr="00000000">
        <w:rPr>
          <w:rFonts w:ascii="Google Sans" w:cs="Google Sans" w:eastAsia="Google Sans" w:hAnsi="Google Sans"/>
          <w:color w:val="1f1f1f"/>
        </w:rPr>
        <w:drawing>
          <wp:inline distB="19050" distT="19050" distL="19050" distR="19050">
            <wp:extent cx="123676" cy="228326"/>
            <wp:effectExtent b="0" l="0" r="0" t="0"/>
            <wp:docPr id="45"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123676" cy="2283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representations to ensure transaction malleability and batch verification forks are impossible. Furthermore, all signing APIs and HSM interfaces must be meticulously audited to verify that public keys utilized in cryptographic functions are bound by strict integrity checks, preventing algebraic Signer Oracle private key extraction.</w:t>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Concurrency Starvation and Protocol Stress Tests:</w:t>
      </w:r>
      <w:r w:rsidDel="00000000" w:rsidR="00000000" w:rsidRPr="00000000">
        <w:rPr>
          <w:rFonts w:ascii="Google Sans" w:cs="Google Sans" w:eastAsia="Google Sans" w:hAnsi="Google Sans"/>
          <w:color w:val="1f1f1f"/>
          <w:rtl w:val="0"/>
        </w:rPr>
        <w:t xml:space="preserve"> The engine's asynchronous runtimes (Tokio/Goroutines) must be subjected to precision Slowloris-style blocking attacks at the database query and FFI logic layers to definitively map the thread-pool exhaustion thresholds. Legacy TCP-based FIX gateways must be stressed with maliciously malformed, fragmented segment pacing to measure the systemic impact of Head-of-Line blocking on order-book synchronization.</w:t>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Algorithmic Pipeline Stress Testing:</w:t>
      </w:r>
      <w:r w:rsidDel="00000000" w:rsidR="00000000" w:rsidRPr="00000000">
        <w:rPr>
          <w:rFonts w:ascii="Google Sans" w:cs="Google Sans" w:eastAsia="Google Sans" w:hAnsi="Google Sans"/>
          <w:color w:val="1f1f1f"/>
          <w:rtl w:val="0"/>
        </w:rPr>
        <w:t xml:space="preserve"> If LLMs or transformer models govern transaction routing and fraud detection, the input sanitization boundaries must be aggressively audited against entropy token-starvation payloads and adversarial cache pollution vectors. The audit must ensure that the inherent non-deterministic nature of artificial intelligence does not introduce catastrophic ambiguity into the strict, deterministic requirements of the financial ledger.</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Exploitation of these deep-system architectures requires an absolute mastery of the underlying mathematics and hardware memory models. Securing the Tier-0 engine demands the implementation of an architecture where physical hardware isolation, strict canonical cryptography, and synchronous blocking protections are irrevocably embedded into the lowest foundational levels of the code base.</w:t>
      </w:r>
    </w:p>
    <w:p w:rsidR="00000000" w:rsidDel="00000000" w:rsidP="00000000" w:rsidRDefault="00000000" w:rsidRPr="00000000" w14:paraId="00000080">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Источники</w:t>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Bitcoin Attacks: A Chronological Analysis of Threats, Exploits, and ..., дата последнего обращения: марта 14, 2026, </w:t>
      </w:r>
      <w:hyperlink r:id="rId31">
        <w:r w:rsidDel="00000000" w:rsidR="00000000" w:rsidRPr="00000000">
          <w:rPr>
            <w:rFonts w:ascii="Google Sans" w:cs="Google Sans" w:eastAsia="Google Sans" w:hAnsi="Google Sans"/>
            <w:color w:val="0000ee"/>
            <w:sz w:val="24"/>
            <w:szCs w:val="24"/>
            <w:u w:val="single"/>
            <w:rtl w:val="0"/>
          </w:rPr>
          <w:t xml:space="preserve">https://coinsbench.com/bitcoin-attacks-a-chronological-analysis-of-threats-exploits-and-mitigation-strategies-3a1cc48635a0</w:t>
        </w:r>
      </w:hyperlink>
      <w:r w:rsidDel="00000000" w:rsidR="00000000" w:rsidRPr="00000000">
        <w:rPr>
          <w:rtl w:val="0"/>
        </w:rPr>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Securing Blockchain Systems: A Layer-Oriented Survey of Threats, Vulnerability Taxonomy, and Detection Methods - MDPI, дата последнего обращения: марта 14, 2026, </w:t>
      </w:r>
      <w:hyperlink r:id="rId32">
        <w:r w:rsidDel="00000000" w:rsidR="00000000" w:rsidRPr="00000000">
          <w:rPr>
            <w:rFonts w:ascii="Google Sans" w:cs="Google Sans" w:eastAsia="Google Sans" w:hAnsi="Google Sans"/>
            <w:color w:val="0000ee"/>
            <w:sz w:val="24"/>
            <w:szCs w:val="24"/>
            <w:u w:val="single"/>
            <w:rtl w:val="0"/>
          </w:rPr>
          <w:t xml:space="preserve">https://www.mdpi.com/1999-5903/17/5/205</w:t>
        </w:r>
      </w:hyperlink>
      <w:r w:rsidDel="00000000" w:rsidR="00000000" w:rsidRPr="00000000">
        <w:rPr>
          <w:rtl w:val="0"/>
        </w:rPr>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Taming the many EdDSAs - NIST Computer Security Resource Center, дата последнего обращения: марта 14, 2026, </w:t>
      </w:r>
      <w:hyperlink r:id="rId33">
        <w:r w:rsidDel="00000000" w:rsidR="00000000" w:rsidRPr="00000000">
          <w:rPr>
            <w:rFonts w:ascii="Google Sans" w:cs="Google Sans" w:eastAsia="Google Sans" w:hAnsi="Google Sans"/>
            <w:color w:val="0000ee"/>
            <w:sz w:val="24"/>
            <w:szCs w:val="24"/>
            <w:u w:val="single"/>
            <w:rtl w:val="0"/>
          </w:rPr>
          <w:t xml:space="preserve">https://csrc.nist.gov/csrc/media/Presentations/2023/crclub-2023-03-08/images-media/20230308-crypto-club-slides--taming-the-many-EdDSAs.pdf</w:t>
        </w:r>
      </w:hyperlink>
      <w:r w:rsidDel="00000000" w:rsidR="00000000" w:rsidRPr="00000000">
        <w:rPr>
          <w:rtl w:val="0"/>
        </w:rPr>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 the Costs of Bitcoin Connectivity - Computer Science Laboratory, дата последнего обращения: марта 14, 2026, </w:t>
      </w:r>
      <w:hyperlink r:id="rId34">
        <w:r w:rsidDel="00000000" w:rsidR="00000000" w:rsidRPr="00000000">
          <w:rPr>
            <w:rFonts w:ascii="Google Sans" w:cs="Google Sans" w:eastAsia="Google Sans" w:hAnsi="Google Sans"/>
            <w:color w:val="0000ee"/>
            <w:sz w:val="24"/>
            <w:szCs w:val="24"/>
            <w:u w:val="single"/>
            <w:rtl w:val="0"/>
          </w:rPr>
          <w:t xml:space="preserve">https://www.csl.sri.com/users/gehani/papers/ISSA-2016.Bitcoin.pdf</w:t>
        </w:r>
      </w:hyperlink>
      <w:r w:rsidDel="00000000" w:rsidR="00000000" w:rsidRPr="00000000">
        <w:rPr>
          <w:rtl w:val="0"/>
        </w:rPr>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Security aspects of distributed ledger technologies | FIGI - ITU, дата последнего обращения: марта 14, 2026, </w:t>
      </w:r>
      <w:hyperlink r:id="rId35">
        <w:r w:rsidDel="00000000" w:rsidR="00000000" w:rsidRPr="00000000">
          <w:rPr>
            <w:rFonts w:ascii="Google Sans" w:cs="Google Sans" w:eastAsia="Google Sans" w:hAnsi="Google Sans"/>
            <w:color w:val="0000ee"/>
            <w:sz w:val="24"/>
            <w:szCs w:val="24"/>
            <w:u w:val="single"/>
            <w:rtl w:val="0"/>
          </w:rPr>
          <w:t xml:space="preserve">https://figi.itu.int/wp-content/uploads/2021/04/Security-Aspects-of-Distributed-Ledger-Technologies-1.pdf</w:t>
        </w:r>
      </w:hyperlink>
      <w:r w:rsidDel="00000000" w:rsidR="00000000" w:rsidRPr="00000000">
        <w:rPr>
          <w:rtl w:val="0"/>
        </w:rPr>
      </w:r>
    </w:p>
    <w:p w:rsidR="00000000" w:rsidDel="00000000" w:rsidP="00000000" w:rsidRDefault="00000000" w:rsidRPr="00000000" w14:paraId="0000008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 and Implementation of a Low-Latency High-Frequency Trading System for Cryptocurrency Markets - Medium, дата последнего обращения: марта 14, 2026, </w:t>
      </w:r>
      <w:hyperlink r:id="rId36">
        <w:r w:rsidDel="00000000" w:rsidR="00000000" w:rsidRPr="00000000">
          <w:rPr>
            <w:rFonts w:ascii="Google Sans" w:cs="Google Sans" w:eastAsia="Google Sans" w:hAnsi="Google Sans"/>
            <w:color w:val="0000ee"/>
            <w:sz w:val="24"/>
            <w:szCs w:val="24"/>
            <w:u w:val="single"/>
            <w:rtl w:val="0"/>
          </w:rPr>
          <w:t xml:space="preserve">https://medium.com/@gwrx2005/design-and-implementation-of-a-low-latency-high-frequency-trading-system-for-cryptocurrency-markets-a1034fe33d97</w:t>
        </w:r>
      </w:hyperlink>
      <w:r w:rsidDel="00000000" w:rsidR="00000000" w:rsidRPr="00000000">
        <w:rPr>
          <w:rtl w:val="0"/>
        </w:rPr>
      </w:r>
    </w:p>
    <w:p w:rsidR="00000000" w:rsidDel="00000000" w:rsidP="00000000" w:rsidRDefault="00000000" w:rsidRPr="00000000" w14:paraId="0000008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High-Frequency Trading Software Development: Architecture &amp; Cost - Abbacus Technologies, дата последнего обращения: марта 14, 2026, </w:t>
      </w:r>
      <w:hyperlink r:id="rId37">
        <w:r w:rsidDel="00000000" w:rsidR="00000000" w:rsidRPr="00000000">
          <w:rPr>
            <w:rFonts w:ascii="Google Sans" w:cs="Google Sans" w:eastAsia="Google Sans" w:hAnsi="Google Sans"/>
            <w:color w:val="0000ee"/>
            <w:sz w:val="24"/>
            <w:szCs w:val="24"/>
            <w:u w:val="single"/>
            <w:rtl w:val="0"/>
          </w:rPr>
          <w:t xml:space="preserve">https://www.abbacustechnologies.com/high-frequency-trading-software-development-architecture-cost/</w:t>
        </w:r>
      </w:hyperlink>
      <w:r w:rsidDel="00000000" w:rsidR="00000000" w:rsidRPr="00000000">
        <w:rPr>
          <w:rtl w:val="0"/>
        </w:rPr>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Solving the Double Spend: System Design Patterns for Bulletproof Fintech - Medium, дата последнего обращения: марта 14, 2026, </w:t>
      </w:r>
      <w:hyperlink r:id="rId38">
        <w:r w:rsidDel="00000000" w:rsidR="00000000" w:rsidRPr="00000000">
          <w:rPr>
            <w:rFonts w:ascii="Google Sans" w:cs="Google Sans" w:eastAsia="Google Sans" w:hAnsi="Google Sans"/>
            <w:color w:val="0000ee"/>
            <w:sz w:val="24"/>
            <w:szCs w:val="24"/>
            <w:u w:val="single"/>
            <w:rtl w:val="0"/>
          </w:rPr>
          <w:t xml:space="preserve">https://medium.com/codetodeploy/solving-the-double-spend-system-design-patterns-for-bulletproof-fintech-ee5d73f33415</w:t>
        </w:r>
      </w:hyperlink>
      <w:r w:rsidDel="00000000" w:rsidR="00000000" w:rsidRPr="00000000">
        <w:rPr>
          <w:rtl w:val="0"/>
        </w:rPr>
      </w:r>
    </w:p>
    <w:p w:rsidR="00000000" w:rsidDel="00000000" w:rsidP="00000000" w:rsidRDefault="00000000" w:rsidRPr="00000000" w14:paraId="0000008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Tesseract: Real-Time Cryptocurrency Exchange using Trusted Hardware - Computer Science, дата последнего обращения: марта 14, 2026, </w:t>
      </w:r>
      <w:hyperlink r:id="rId39">
        <w:r w:rsidDel="00000000" w:rsidR="00000000" w:rsidRPr="00000000">
          <w:rPr>
            <w:rFonts w:ascii="Google Sans" w:cs="Google Sans" w:eastAsia="Google Sans" w:hAnsi="Google Sans"/>
            <w:color w:val="0000ee"/>
            <w:sz w:val="24"/>
            <w:szCs w:val="24"/>
            <w:u w:val="single"/>
            <w:rtl w:val="0"/>
          </w:rPr>
          <w:t xml:space="preserve">https://www.cs.cornell.edu/~iddo/RTExchSGX.pdf</w:t>
        </w:r>
      </w:hyperlink>
      <w:r w:rsidDel="00000000" w:rsidR="00000000" w:rsidRPr="00000000">
        <w:rPr>
          <w:rtl w:val="0"/>
        </w:rPr>
      </w:r>
    </w:p>
    <w:p w:rsidR="00000000" w:rsidDel="00000000" w:rsidP="00000000" w:rsidRDefault="00000000" w:rsidRPr="00000000" w14:paraId="0000008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Deterministic High-Throughput Networking: A Lock-Free, Kernel-Bypass Framework for Ultra-Low Latency Financial Systems on ARM64 Architecture - ResearchGate, дата последнего обращения: марта 14, 2026, </w:t>
      </w:r>
      <w:hyperlink r:id="rId40">
        <w:r w:rsidDel="00000000" w:rsidR="00000000" w:rsidRPr="00000000">
          <w:rPr>
            <w:rFonts w:ascii="Google Sans" w:cs="Google Sans" w:eastAsia="Google Sans" w:hAnsi="Google Sans"/>
            <w:color w:val="0000ee"/>
            <w:sz w:val="24"/>
            <w:szCs w:val="24"/>
            <w:u w:val="single"/>
            <w:rtl w:val="0"/>
          </w:rPr>
          <w:t xml:space="preserve">https://www.researchgate.net/publication/400573299_Deterministic_High-Throughput_Networking_A_Lock-Free_Kernel-Bypass_Framework_for_Ultra-Low_Latency_Financial_Systems_on_ARM64_Architecture</w:t>
        </w:r>
      </w:hyperlink>
      <w:r w:rsidDel="00000000" w:rsidR="00000000" w:rsidRPr="00000000">
        <w:rPr>
          <w:rtl w:val="0"/>
        </w:rPr>
      </w:r>
    </w:p>
    <w:p w:rsidR="00000000" w:rsidDel="00000000" w:rsidP="00000000" w:rsidRDefault="00000000" w:rsidRPr="00000000" w14:paraId="0000008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Designing a High‑Frequency AI Payment System Inspired by x402 - Medium, дата последнего обращения: марта 14, 2026, </w:t>
      </w:r>
      <w:hyperlink r:id="rId41">
        <w:r w:rsidDel="00000000" w:rsidR="00000000" w:rsidRPr="00000000">
          <w:rPr>
            <w:rFonts w:ascii="Google Sans" w:cs="Google Sans" w:eastAsia="Google Sans" w:hAnsi="Google Sans"/>
            <w:color w:val="0000ee"/>
            <w:sz w:val="24"/>
            <w:szCs w:val="24"/>
            <w:u w:val="single"/>
            <w:rtl w:val="0"/>
          </w:rPr>
          <w:t xml:space="preserve">https://medium.com/@gwrx2005/designing-a-high-frequency-ai-payment-system-inspired-by-x402-847c9eda7a0d</w:t>
        </w:r>
      </w:hyperlink>
      <w:r w:rsidDel="00000000" w:rsidR="00000000" w:rsidRPr="00000000">
        <w:rPr>
          <w:rtl w:val="0"/>
        </w:rPr>
      </w:r>
    </w:p>
    <w:p w:rsidR="00000000" w:rsidDel="00000000" w:rsidP="00000000" w:rsidRDefault="00000000" w:rsidRPr="00000000" w14:paraId="0000008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HFTPerformance: An Open-Source Framework for High-Frequency ..., дата последнего обращения: марта 14, 2026, </w:t>
      </w:r>
      <w:hyperlink r:id="rId42">
        <w:r w:rsidDel="00000000" w:rsidR="00000000" w:rsidRPr="00000000">
          <w:rPr>
            <w:rFonts w:ascii="Google Sans" w:cs="Google Sans" w:eastAsia="Google Sans" w:hAnsi="Google Sans"/>
            <w:color w:val="0000ee"/>
            <w:sz w:val="24"/>
            <w:szCs w:val="24"/>
            <w:u w:val="single"/>
            <w:rtl w:val="0"/>
          </w:rPr>
          <w:t xml:space="preserve">https://medium.com/@gwrx2005/hftperformance-an-open-source-framework-for-high-frequency-trading-system-benchmarking-and-803031fe7157</w:t>
        </w:r>
      </w:hyperlink>
      <w:r w:rsidDel="00000000" w:rsidR="00000000" w:rsidRPr="00000000">
        <w:rPr>
          <w:rtl w:val="0"/>
        </w:rPr>
      </w:r>
    </w:p>
    <w:p w:rsidR="00000000" w:rsidDel="00000000" w:rsidP="00000000" w:rsidRDefault="00000000" w:rsidRPr="00000000" w14:paraId="0000008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 need a replacement for TCP in the datacenter [pdf] - Hacker News, дата последнего обращения: марта 14, 2026, </w:t>
      </w:r>
      <w:hyperlink r:id="rId43">
        <w:r w:rsidDel="00000000" w:rsidR="00000000" w:rsidRPr="00000000">
          <w:rPr>
            <w:rFonts w:ascii="Google Sans" w:cs="Google Sans" w:eastAsia="Google Sans" w:hAnsi="Google Sans"/>
            <w:color w:val="0000ee"/>
            <w:sz w:val="24"/>
            <w:szCs w:val="24"/>
            <w:u w:val="single"/>
            <w:rtl w:val="0"/>
          </w:rPr>
          <w:t xml:space="preserve">https://news.ycombinator.com/item?id=33401480</w:t>
        </w:r>
      </w:hyperlink>
      <w:r w:rsidDel="00000000" w:rsidR="00000000" w:rsidRPr="00000000">
        <w:rPr>
          <w:rtl w:val="0"/>
        </w:rPr>
      </w:r>
    </w:p>
    <w:p w:rsidR="00000000" w:rsidDel="00000000" w:rsidP="00000000" w:rsidRDefault="00000000" w:rsidRPr="00000000" w14:paraId="0000008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CAPIO: Safe Kernel-Bypass of Commodity Devices using Capabilities - arXiv.org, дата последнего обращения: марта 14, 2026, </w:t>
      </w:r>
      <w:hyperlink r:id="rId44">
        <w:r w:rsidDel="00000000" w:rsidR="00000000" w:rsidRPr="00000000">
          <w:rPr>
            <w:rFonts w:ascii="Google Sans" w:cs="Google Sans" w:eastAsia="Google Sans" w:hAnsi="Google Sans"/>
            <w:color w:val="0000ee"/>
            <w:sz w:val="24"/>
            <w:szCs w:val="24"/>
            <w:u w:val="single"/>
            <w:rtl w:val="0"/>
          </w:rPr>
          <w:t xml:space="preserve">https://arxiv.org/html/2512.16957v1</w:t>
        </w:r>
      </w:hyperlink>
      <w:r w:rsidDel="00000000" w:rsidR="00000000" w:rsidRPr="00000000">
        <w:rPr>
          <w:rtl w:val="0"/>
        </w:rPr>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Techniques - Enterprise | MITRE ATT&amp;CK®, дата последнего обращения: марта 14, 2026, </w:t>
      </w:r>
      <w:hyperlink r:id="rId45">
        <w:r w:rsidDel="00000000" w:rsidR="00000000" w:rsidRPr="00000000">
          <w:rPr>
            <w:rFonts w:ascii="Google Sans" w:cs="Google Sans" w:eastAsia="Google Sans" w:hAnsi="Google Sans"/>
            <w:color w:val="0000ee"/>
            <w:sz w:val="24"/>
            <w:szCs w:val="24"/>
            <w:u w:val="single"/>
            <w:rtl w:val="0"/>
          </w:rPr>
          <w:t xml:space="preserve">https://attack.mitre.org/techniques/enterprise/</w:t>
        </w:r>
      </w:hyperlink>
      <w:r w:rsidDel="00000000" w:rsidR="00000000" w:rsidRPr="00000000">
        <w:rPr>
          <w:rtl w:val="0"/>
        </w:rPr>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Controlled Shared Memory (COSM) Isolation: Design and Testbed Evaluation, дата последнего обращения: марта 14, 2026, </w:t>
      </w:r>
      <w:hyperlink r:id="rId46">
        <w:r w:rsidDel="00000000" w:rsidR="00000000" w:rsidRPr="00000000">
          <w:rPr>
            <w:rFonts w:ascii="Google Sans" w:cs="Google Sans" w:eastAsia="Google Sans" w:hAnsi="Google Sans"/>
            <w:color w:val="0000ee"/>
            <w:sz w:val="24"/>
            <w:szCs w:val="24"/>
            <w:u w:val="single"/>
            <w:rtl w:val="0"/>
          </w:rPr>
          <w:t xml:space="preserve">https://ieeexplore.ieee.org/iel8/6287639/6514899/10976706.pdf</w:t>
        </w:r>
      </w:hyperlink>
      <w:r w:rsidDel="00000000" w:rsidR="00000000" w:rsidRPr="00000000">
        <w:rPr>
          <w:rtl w:val="0"/>
        </w:rPr>
      </w:r>
    </w:p>
    <w:p w:rsidR="00000000" w:rsidDel="00000000" w:rsidP="00000000" w:rsidRDefault="00000000" w:rsidRPr="00000000" w14:paraId="0000009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Vulnerability Summary for the Week of April 28, 2025 | CISA, дата последнего обращения: марта 14, 2026, </w:t>
      </w:r>
      <w:hyperlink r:id="rId47">
        <w:r w:rsidDel="00000000" w:rsidR="00000000" w:rsidRPr="00000000">
          <w:rPr>
            <w:rFonts w:ascii="Google Sans" w:cs="Google Sans" w:eastAsia="Google Sans" w:hAnsi="Google Sans"/>
            <w:color w:val="0000ee"/>
            <w:sz w:val="24"/>
            <w:szCs w:val="24"/>
            <w:u w:val="single"/>
            <w:rtl w:val="0"/>
          </w:rPr>
          <w:t xml:space="preserve">https://www.cisa.gov/news-events/bulletins/sb25-125</w:t>
        </w:r>
      </w:hyperlink>
      <w:r w:rsidDel="00000000" w:rsidR="00000000" w:rsidRPr="00000000">
        <w:rPr>
          <w:rtl w:val="0"/>
        </w:rPr>
      </w:r>
    </w:p>
    <w:p w:rsidR="00000000" w:rsidDel="00000000" w:rsidP="00000000" w:rsidRDefault="00000000" w:rsidRPr="00000000" w14:paraId="0000009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Some remotely exploitable Linux kernel WiFi vulnerabilities - Hacker News, дата последнего обращения: марта 14, 2026, </w:t>
      </w:r>
      <w:hyperlink r:id="rId48">
        <w:r w:rsidDel="00000000" w:rsidR="00000000" w:rsidRPr="00000000">
          <w:rPr>
            <w:rFonts w:ascii="Google Sans" w:cs="Google Sans" w:eastAsia="Google Sans" w:hAnsi="Google Sans"/>
            <w:color w:val="0000ee"/>
            <w:sz w:val="24"/>
            <w:szCs w:val="24"/>
            <w:u w:val="single"/>
            <w:rtl w:val="0"/>
          </w:rPr>
          <w:t xml:space="preserve">https://news.ycombinator.com/item?id=33200171</w:t>
        </w:r>
      </w:hyperlink>
      <w:r w:rsidDel="00000000" w:rsidR="00000000" w:rsidRPr="00000000">
        <w:rPr>
          <w:rtl w:val="0"/>
        </w:rPr>
      </w:r>
    </w:p>
    <w:p w:rsidR="00000000" w:rsidDel="00000000" w:rsidP="00000000" w:rsidRDefault="00000000" w:rsidRPr="00000000" w14:paraId="0000009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Tick to trade latency trading platforms on aws - DEV Community, дата последнего обращения: марта 14, 2026, </w:t>
      </w:r>
      <w:hyperlink r:id="rId49">
        <w:r w:rsidDel="00000000" w:rsidR="00000000" w:rsidRPr="00000000">
          <w:rPr>
            <w:rFonts w:ascii="Google Sans" w:cs="Google Sans" w:eastAsia="Google Sans" w:hAnsi="Google Sans"/>
            <w:color w:val="0000ee"/>
            <w:sz w:val="24"/>
            <w:szCs w:val="24"/>
            <w:u w:val="single"/>
            <w:rtl w:val="0"/>
          </w:rPr>
          <w:t xml:space="preserve">https://dev.to/elianalamhost/tick-to-trade-latency-trading-platforms-on-aws-9i9</w:t>
        </w:r>
      </w:hyperlink>
      <w:r w:rsidDel="00000000" w:rsidR="00000000" w:rsidRPr="00000000">
        <w:rPr>
          <w:rtl w:val="0"/>
        </w:rPr>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Secure User-friendly Blockchain Modular Wallet Design Using Android &amp; OP-TEE - arXiv.org, дата последнего обращения: марта 14, 2026, </w:t>
      </w:r>
      <w:hyperlink r:id="rId50">
        <w:r w:rsidDel="00000000" w:rsidR="00000000" w:rsidRPr="00000000">
          <w:rPr>
            <w:rFonts w:ascii="Google Sans" w:cs="Google Sans" w:eastAsia="Google Sans" w:hAnsi="Google Sans"/>
            <w:color w:val="0000ee"/>
            <w:sz w:val="24"/>
            <w:szCs w:val="24"/>
            <w:u w:val="single"/>
            <w:rtl w:val="0"/>
          </w:rPr>
          <w:t xml:space="preserve">https://arxiv.org/html/2506.17988v1</w:t>
        </w:r>
      </w:hyperlink>
      <w:r w:rsidDel="00000000" w:rsidR="00000000" w:rsidRPr="00000000">
        <w:rPr>
          <w:rtl w:val="0"/>
        </w:rPr>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Notes on Threshold EdDSA/Schnorr Signatures - CSRC, дата последнего обращения: марта 14, 2026, </w:t>
      </w:r>
      <w:hyperlink r:id="rId51">
        <w:r w:rsidDel="00000000" w:rsidR="00000000" w:rsidRPr="00000000">
          <w:rPr>
            <w:rFonts w:ascii="Google Sans" w:cs="Google Sans" w:eastAsia="Google Sans" w:hAnsi="Google Sans"/>
            <w:color w:val="0000ee"/>
            <w:sz w:val="24"/>
            <w:szCs w:val="24"/>
            <w:u w:val="single"/>
            <w:rtl w:val="0"/>
          </w:rPr>
          <w:t xml:space="preserve">https://csrc.nist.rip/external/nvlpubs.nist.gov/nistpubs/ir/2022/NIST.IR.8214B.ipd.pdf</w:t>
        </w:r>
      </w:hyperlink>
      <w:r w:rsidDel="00000000" w:rsidR="00000000" w:rsidRPr="00000000">
        <w:rPr>
          <w:rtl w:val="0"/>
        </w:rPr>
      </w:r>
    </w:p>
    <w:p w:rsidR="00000000" w:rsidDel="00000000" w:rsidP="00000000" w:rsidRDefault="00000000" w:rsidRPr="00000000" w14:paraId="0000009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Non-interactive half-aggregation of EdDSA and variants of Schnorr signatures - Cryptology ePrint Archive, дата последнего обращения: марта 14, 2026, </w:t>
      </w:r>
      <w:hyperlink r:id="rId52">
        <w:r w:rsidDel="00000000" w:rsidR="00000000" w:rsidRPr="00000000">
          <w:rPr>
            <w:rFonts w:ascii="Google Sans" w:cs="Google Sans" w:eastAsia="Google Sans" w:hAnsi="Google Sans"/>
            <w:color w:val="0000ee"/>
            <w:sz w:val="24"/>
            <w:szCs w:val="24"/>
            <w:u w:val="single"/>
            <w:rtl w:val="0"/>
          </w:rPr>
          <w:t xml:space="preserve">https://eprint.iacr.org/2021/350.pdf</w:t>
        </w:r>
      </w:hyperlink>
      <w:r w:rsidDel="00000000" w:rsidR="00000000" w:rsidRPr="00000000">
        <w:rPr>
          <w:rtl w:val="0"/>
        </w:rPr>
      </w:r>
    </w:p>
    <w:p w:rsidR="00000000" w:rsidDel="00000000" w:rsidP="00000000" w:rsidRDefault="00000000" w:rsidRPr="00000000" w14:paraId="0000009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MystenLabs/fastcrypto: Common cryptographic library used in software at Mysten Labs. - GitHub, дата последнего обращения: марта 14, 2026, </w:t>
      </w:r>
      <w:hyperlink r:id="rId53">
        <w:r w:rsidDel="00000000" w:rsidR="00000000" w:rsidRPr="00000000">
          <w:rPr>
            <w:rFonts w:ascii="Google Sans" w:cs="Google Sans" w:eastAsia="Google Sans" w:hAnsi="Google Sans"/>
            <w:color w:val="0000ee"/>
            <w:sz w:val="24"/>
            <w:szCs w:val="24"/>
            <w:u w:val="single"/>
            <w:rtl w:val="0"/>
          </w:rPr>
          <w:t xml:space="preserve">https://github.com/MystenLabs/fastcrypto</w:t>
        </w:r>
      </w:hyperlink>
      <w:r w:rsidDel="00000000" w:rsidR="00000000" w:rsidRPr="00000000">
        <w:rPr>
          <w:rtl w:val="0"/>
        </w:rPr>
      </w:r>
    </w:p>
    <w:p w:rsidR="00000000" w:rsidDel="00000000" w:rsidP="00000000" w:rsidRDefault="00000000" w:rsidRPr="00000000" w14:paraId="0000009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Comprehensive Guide to Security and Risk Management | PDF - Scribd, дата последнего обращения: марта 14, 2026, </w:t>
      </w:r>
      <w:hyperlink r:id="rId54">
        <w:r w:rsidDel="00000000" w:rsidR="00000000" w:rsidRPr="00000000">
          <w:rPr>
            <w:rFonts w:ascii="Google Sans" w:cs="Google Sans" w:eastAsia="Google Sans" w:hAnsi="Google Sans"/>
            <w:color w:val="0000ee"/>
            <w:sz w:val="24"/>
            <w:szCs w:val="24"/>
            <w:u w:val="single"/>
            <w:rtl w:val="0"/>
          </w:rPr>
          <w:t xml:space="preserve">https://www.scribd.com/document/811129234/CISSP-Redux</w:t>
        </w:r>
      </w:hyperlink>
      <w:r w:rsidDel="00000000" w:rsidR="00000000" w:rsidRPr="00000000">
        <w:rPr>
          <w:rtl w:val="0"/>
        </w:rPr>
      </w:r>
    </w:p>
    <w:p w:rsidR="00000000" w:rsidDel="00000000" w:rsidP="00000000" w:rsidRDefault="00000000" w:rsidRPr="00000000" w14:paraId="0000009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Proof-of-Metrology (PoM): A Blockchain Consensus for Tamper-Proof Calibration in Adversarial Cyber-Physical Systems - ResearchGate, дата последнего обращения: марта 14, 2026, </w:t>
      </w:r>
      <w:hyperlink r:id="rId55">
        <w:r w:rsidDel="00000000" w:rsidR="00000000" w:rsidRPr="00000000">
          <w:rPr>
            <w:rFonts w:ascii="Google Sans" w:cs="Google Sans" w:eastAsia="Google Sans" w:hAnsi="Google Sans"/>
            <w:color w:val="0000ee"/>
            <w:sz w:val="24"/>
            <w:szCs w:val="24"/>
            <w:u w:val="single"/>
            <w:rtl w:val="0"/>
          </w:rPr>
          <w:t xml:space="preserve">https://www.researchgate.net/publication/397593590_Proof-of-Metrology_PoM_A_Blockchain_Consensus_for_Tamper-Proof_Calibration_in_Adversarial_Cyber-Physical_Systems</w:t>
        </w:r>
      </w:hyperlink>
      <w:r w:rsidDel="00000000" w:rsidR="00000000" w:rsidRPr="00000000">
        <w:rPr>
          <w:rtl w:val="0"/>
        </w:rPr>
      </w:r>
    </w:p>
    <w:p w:rsidR="00000000" w:rsidDel="00000000" w:rsidP="00000000" w:rsidRDefault="00000000" w:rsidRPr="00000000" w14:paraId="0000009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Loop Aborts Strike Back: Defeating Fault Countermeasures in Lattice Signatures with ILP, дата последнего обращения: марта 14, 2026, </w:t>
      </w:r>
      <w:hyperlink r:id="rId56">
        <w:r w:rsidDel="00000000" w:rsidR="00000000" w:rsidRPr="00000000">
          <w:rPr>
            <w:rFonts w:ascii="Google Sans" w:cs="Google Sans" w:eastAsia="Google Sans" w:hAnsi="Google Sans"/>
            <w:color w:val="0000ee"/>
            <w:sz w:val="24"/>
            <w:szCs w:val="24"/>
            <w:u w:val="single"/>
            <w:rtl w:val="0"/>
          </w:rPr>
          <w:t xml:space="preserve">https://d-nb.info/1307299431/34</w:t>
        </w:r>
      </w:hyperlink>
      <w:r w:rsidDel="00000000" w:rsidR="00000000" w:rsidRPr="00000000">
        <w:rPr>
          <w:rtl w:val="0"/>
        </w:rPr>
      </w:r>
    </w:p>
    <w:p w:rsidR="00000000" w:rsidDel="00000000" w:rsidP="00000000" w:rsidRDefault="00000000" w:rsidRPr="00000000" w14:paraId="0000009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Uncovering Cloud Security Complexities-A Comprehensive Five-Perspective Taxonomic Review - ResearchGate, дата последнего обращения: марта 14, 2026, </w:t>
      </w:r>
      <w:hyperlink r:id="rId57">
        <w:r w:rsidDel="00000000" w:rsidR="00000000" w:rsidRPr="00000000">
          <w:rPr>
            <w:rFonts w:ascii="Google Sans" w:cs="Google Sans" w:eastAsia="Google Sans" w:hAnsi="Google Sans"/>
            <w:color w:val="0000ee"/>
            <w:sz w:val="24"/>
            <w:szCs w:val="24"/>
            <w:u w:val="single"/>
            <w:rtl w:val="0"/>
          </w:rPr>
          <w:t xml:space="preserve">https://www.researchgate.net/publication/381150357_Uncovering_Cloud_Security_Complexities-A_Comprehensive_Five-Perspective_Taxonomic_Review</w:t>
        </w:r>
      </w:hyperlink>
      <w:r w:rsidDel="00000000" w:rsidR="00000000" w:rsidRPr="00000000">
        <w:rPr>
          <w:rtl w:val="0"/>
        </w:rPr>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Release notes | HAProxy Enterprise, дата последнего обращения: марта 14, 2026, </w:t>
      </w:r>
      <w:hyperlink r:id="rId58">
        <w:r w:rsidDel="00000000" w:rsidR="00000000" w:rsidRPr="00000000">
          <w:rPr>
            <w:rFonts w:ascii="Google Sans" w:cs="Google Sans" w:eastAsia="Google Sans" w:hAnsi="Google Sans"/>
            <w:color w:val="0000ee"/>
            <w:sz w:val="24"/>
            <w:szCs w:val="24"/>
            <w:u w:val="single"/>
            <w:rtl w:val="0"/>
          </w:rPr>
          <w:t xml:space="preserve">https://www.haproxy.com/documentation/haproxy-enterprise/release-notes/</w:t>
        </w:r>
      </w:hyperlink>
      <w:r w:rsidDel="00000000" w:rsidR="00000000" w:rsidRPr="00000000">
        <w:rPr>
          <w:rtl w:val="0"/>
        </w:rPr>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BIG-IP® Local Traffic Manager™: Implementations, дата последнего обращения: марта 14, 2026, </w:t>
      </w:r>
      <w:hyperlink r:id="rId59">
        <w:r w:rsidDel="00000000" w:rsidR="00000000" w:rsidRPr="00000000">
          <w:rPr>
            <w:rFonts w:ascii="Google Sans" w:cs="Google Sans" w:eastAsia="Google Sans" w:hAnsi="Google Sans"/>
            <w:color w:val="0000ee"/>
            <w:sz w:val="24"/>
            <w:szCs w:val="24"/>
            <w:u w:val="single"/>
            <w:rtl w:val="0"/>
          </w:rPr>
          <w:t xml:space="preserve">https://techdocs.f5.com/content/kb/en-us/products/big-ip_ltm/manuals/product/ltm-implementations-12-1-0/_jcr_content/pdfAttach/download/file.res/BIG-IP_Local_Traffic_Manager__Implementations.pdf</w:t>
        </w:r>
      </w:hyperlink>
      <w:r w:rsidDel="00000000" w:rsidR="00000000" w:rsidRPr="00000000">
        <w:rPr>
          <w:rtl w:val="0"/>
        </w:rPr>
      </w:r>
    </w:p>
    <w:p w:rsidR="00000000" w:rsidDel="00000000" w:rsidP="00000000" w:rsidRDefault="00000000" w:rsidRPr="00000000" w14:paraId="0000009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Ph.D. Thesis - Hardware Support for Efficient Packet Processing - MADOC, дата последнего обращения: марта 14, 2026, </w:t>
      </w:r>
      <w:hyperlink r:id="rId60">
        <w:r w:rsidDel="00000000" w:rsidR="00000000" w:rsidRPr="00000000">
          <w:rPr>
            <w:rFonts w:ascii="Google Sans" w:cs="Google Sans" w:eastAsia="Google Sans" w:hAnsi="Google Sans"/>
            <w:color w:val="0000ee"/>
            <w:sz w:val="24"/>
            <w:szCs w:val="24"/>
            <w:u w:val="single"/>
            <w:rtl w:val="0"/>
          </w:rPr>
          <w:t xml:space="preserve">https://madoc.bib.uni-mannheim.de/30849/1/dissertation_benjamin_geib.pdf</w:t>
        </w:r>
      </w:hyperlink>
      <w:r w:rsidDel="00000000" w:rsidR="00000000" w:rsidRPr="00000000">
        <w:rPr>
          <w:rtl w:val="0"/>
        </w:rPr>
      </w:r>
    </w:p>
    <w:p w:rsidR="00000000" w:rsidDel="00000000" w:rsidP="00000000" w:rsidRDefault="00000000" w:rsidRPr="00000000" w14:paraId="0000009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QUIC: The Secure Communication Protocol Shaping the Internet's Future | Zscaler, дата последнего обращения: марта 14, 2026, </w:t>
      </w:r>
      <w:hyperlink r:id="rId61">
        <w:r w:rsidDel="00000000" w:rsidR="00000000" w:rsidRPr="00000000">
          <w:rPr>
            <w:rFonts w:ascii="Google Sans" w:cs="Google Sans" w:eastAsia="Google Sans" w:hAnsi="Google Sans"/>
            <w:color w:val="0000ee"/>
            <w:sz w:val="24"/>
            <w:szCs w:val="24"/>
            <w:u w:val="single"/>
            <w:rtl w:val="0"/>
          </w:rPr>
          <w:t xml:space="preserve">https://www.zscaler.com/blogs/product-insights/quic-secure-communication-protocol-shaping-future-of-internet</w:t>
        </w:r>
      </w:hyperlink>
      <w:r w:rsidDel="00000000" w:rsidR="00000000" w:rsidRPr="00000000">
        <w:rPr>
          <w:rtl w:val="0"/>
        </w:rPr>
      </w:r>
    </w:p>
    <w:p w:rsidR="00000000" w:rsidDel="00000000" w:rsidP="00000000" w:rsidRDefault="00000000" w:rsidRPr="00000000" w14:paraId="000000A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investigation of TCP security and performance issues when deployed in high-speed networks - GSC Online Press, дата последнего обращения: марта 14, 2026, </w:t>
      </w:r>
      <w:hyperlink r:id="rId62">
        <w:r w:rsidDel="00000000" w:rsidR="00000000" w:rsidRPr="00000000">
          <w:rPr>
            <w:rFonts w:ascii="Google Sans" w:cs="Google Sans" w:eastAsia="Google Sans" w:hAnsi="Google Sans"/>
            <w:color w:val="0000ee"/>
            <w:sz w:val="24"/>
            <w:szCs w:val="24"/>
            <w:u w:val="single"/>
            <w:rtl w:val="0"/>
          </w:rPr>
          <w:t xml:space="preserve">https://gsconlinepress.com/journals/gscarr/sites/default/files/GSCARR-2024-0130.pdf</w:t>
        </w:r>
      </w:hyperlink>
      <w:r w:rsidDel="00000000" w:rsidR="00000000" w:rsidRPr="00000000">
        <w:rPr>
          <w:rtl w:val="0"/>
        </w:rPr>
      </w:r>
    </w:p>
    <w:p w:rsidR="00000000" w:rsidDel="00000000" w:rsidP="00000000" w:rsidRDefault="00000000" w:rsidRPr="00000000" w14:paraId="000000A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RFC 9000 - QUIC: A UDP-Based Multiplexed and Secure Transport - IETF Datatracker, дата последнего обращения: марта 14, 2026, </w:t>
      </w:r>
      <w:hyperlink r:id="rId63">
        <w:r w:rsidDel="00000000" w:rsidR="00000000" w:rsidRPr="00000000">
          <w:rPr>
            <w:rFonts w:ascii="Google Sans" w:cs="Google Sans" w:eastAsia="Google Sans" w:hAnsi="Google Sans"/>
            <w:color w:val="0000ee"/>
            <w:sz w:val="24"/>
            <w:szCs w:val="24"/>
            <w:u w:val="single"/>
            <w:rtl w:val="0"/>
          </w:rPr>
          <w:t xml:space="preserve">https://datatracker.ietf.org/doc/html/rfc9000</w:t>
        </w:r>
      </w:hyperlink>
      <w:r w:rsidDel="00000000" w:rsidR="00000000" w:rsidRPr="00000000">
        <w:rPr>
          <w:rtl w:val="0"/>
        </w:rPr>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Rejuvenating the internet with HTTP3 and TLS 1.3 – Citrix Blogs, дата последнего обращения: марта 14, 2026, </w:t>
      </w:r>
      <w:hyperlink r:id="rId64">
        <w:r w:rsidDel="00000000" w:rsidR="00000000" w:rsidRPr="00000000">
          <w:rPr>
            <w:rFonts w:ascii="Google Sans" w:cs="Google Sans" w:eastAsia="Google Sans" w:hAnsi="Google Sans"/>
            <w:color w:val="0000ee"/>
            <w:sz w:val="24"/>
            <w:szCs w:val="24"/>
            <w:u w:val="single"/>
            <w:rtl w:val="0"/>
          </w:rPr>
          <w:t xml:space="preserve">https://www.citrix.com/blogs/2020/09/08/rejuvenating-the-internet-with-http3-and-tls-1-3/</w:t>
        </w:r>
      </w:hyperlink>
      <w:r w:rsidDel="00000000" w:rsidR="00000000" w:rsidRPr="00000000">
        <w:rPr>
          <w:rtl w:val="0"/>
        </w:rPr>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ProgrammingPro | Packt Newsletter Hub, дата последнего обращения: марта 14, 2026, </w:t>
      </w:r>
      <w:hyperlink r:id="rId65">
        <w:r w:rsidDel="00000000" w:rsidR="00000000" w:rsidRPr="00000000">
          <w:rPr>
            <w:rFonts w:ascii="Google Sans" w:cs="Google Sans" w:eastAsia="Google Sans" w:hAnsi="Google Sans"/>
            <w:color w:val="0000ee"/>
            <w:sz w:val="24"/>
            <w:szCs w:val="24"/>
            <w:u w:val="single"/>
            <w:rtl w:val="0"/>
          </w:rPr>
          <w:t xml:space="preserve">https://www.packtpub.com/en-us/newsletters/programmingpro</w:t>
        </w:r>
      </w:hyperlink>
      <w:r w:rsidDel="00000000" w:rsidR="00000000" w:rsidRPr="00000000">
        <w:rPr>
          <w:rtl w:val="0"/>
        </w:rPr>
      </w:r>
    </w:p>
    <w:p w:rsidR="00000000" w:rsidDel="00000000" w:rsidP="00000000" w:rsidRDefault="00000000" w:rsidRPr="00000000" w14:paraId="000000A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Adversarial AI Threat Modeling Framework | AATMF v3 ..., дата последнего обращения: марта 14, 2026, </w:t>
      </w:r>
      <w:hyperlink r:id="rId66">
        <w:r w:rsidDel="00000000" w:rsidR="00000000" w:rsidRPr="00000000">
          <w:rPr>
            <w:rFonts w:ascii="Google Sans" w:cs="Google Sans" w:eastAsia="Google Sans" w:hAnsi="Google Sans"/>
            <w:color w:val="0000ee"/>
            <w:sz w:val="24"/>
            <w:szCs w:val="24"/>
            <w:u w:val="single"/>
            <w:rtl w:val="0"/>
          </w:rPr>
          <w:t xml:space="preserve">https://www.researchgate.net/publication/400639053_Adversarial_AI_Threat_Modeling_Framework_AATMF_v3_Adversarial_AI_Threat_Modeling_Framework_Comprehensive_Security_Assessment_for_AI_Systems</w:t>
        </w:r>
      </w:hyperlink>
      <w:r w:rsidDel="00000000" w:rsidR="00000000" w:rsidRPr="00000000">
        <w:rPr>
          <w:rtl w:val="0"/>
        </w:rPr>
      </w:r>
    </w:p>
    <w:p w:rsidR="00000000" w:rsidDel="00000000" w:rsidP="00000000" w:rsidRDefault="00000000" w:rsidRPr="00000000" w14:paraId="000000A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Category: Open Source - Andrew Baker's Technology Blog Posts, дата последнего обращения: марта 14, 2026, </w:t>
      </w:r>
      <w:hyperlink r:id="rId67">
        <w:r w:rsidDel="00000000" w:rsidR="00000000" w:rsidRPr="00000000">
          <w:rPr>
            <w:rFonts w:ascii="Google Sans" w:cs="Google Sans" w:eastAsia="Google Sans" w:hAnsi="Google Sans"/>
            <w:color w:val="0000ee"/>
            <w:sz w:val="24"/>
            <w:szCs w:val="24"/>
            <w:u w:val="single"/>
            <w:rtl w:val="0"/>
          </w:rPr>
          <w:t xml:space="preserve">https://andrewbaker.ninja/category/opensource/</w:t>
        </w:r>
      </w:hyperlink>
      <w:r w:rsidDel="00000000" w:rsidR="00000000" w:rsidRPr="00000000">
        <w:rPr>
          <w:rtl w:val="0"/>
        </w:rPr>
      </w:r>
    </w:p>
    <w:p w:rsidR="00000000" w:rsidDel="00000000" w:rsidP="00000000" w:rsidRDefault="00000000" w:rsidRPr="00000000" w14:paraId="000000A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Ask HN: Who wants to be hired? (February 2026) - Hacker News, дата последнего обращения: марта 14, 2026, </w:t>
      </w:r>
      <w:hyperlink r:id="rId68">
        <w:r w:rsidDel="00000000" w:rsidR="00000000" w:rsidRPr="00000000">
          <w:rPr>
            <w:rFonts w:ascii="Google Sans" w:cs="Google Sans" w:eastAsia="Google Sans" w:hAnsi="Google Sans"/>
            <w:color w:val="0000ee"/>
            <w:sz w:val="24"/>
            <w:szCs w:val="24"/>
            <w:u w:val="single"/>
            <w:rtl w:val="0"/>
          </w:rPr>
          <w:t xml:space="preserve">https://news.ycombinator.com/item?id=46857487</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searchgate.net/publication/400573299_Deterministic_High-Throughput_Networking_A_Lock-Free_Kernel-Bypass_Framework_for_Ultra-Low_Latency_Financial_Systems_on_ARM64_Architecture" TargetMode="External"/><Relationship Id="rId42" Type="http://schemas.openxmlformats.org/officeDocument/2006/relationships/hyperlink" Target="https://medium.com/@gwrx2005/hftperformance-an-open-source-framework-for-high-frequency-trading-system-benchmarking-and-803031fe7157" TargetMode="External"/><Relationship Id="rId41" Type="http://schemas.openxmlformats.org/officeDocument/2006/relationships/hyperlink" Target="https://medium.com/@gwrx2005/designing-a-high-frequency-ai-payment-system-inspired-by-x402-847c9eda7a0d" TargetMode="External"/><Relationship Id="rId44" Type="http://schemas.openxmlformats.org/officeDocument/2006/relationships/hyperlink" Target="https://arxiv.org/html/2512.16957v1" TargetMode="External"/><Relationship Id="rId43" Type="http://schemas.openxmlformats.org/officeDocument/2006/relationships/hyperlink" Target="https://news.ycombinator.com/item?id=33401480" TargetMode="External"/><Relationship Id="rId46" Type="http://schemas.openxmlformats.org/officeDocument/2006/relationships/hyperlink" Target="https://ieeexplore.ieee.org/iel8/6287639/6514899/10976706.pdf" TargetMode="External"/><Relationship Id="rId45" Type="http://schemas.openxmlformats.org/officeDocument/2006/relationships/hyperlink" Target="https://attack.mitre.org/techniques/enterpris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48" Type="http://schemas.openxmlformats.org/officeDocument/2006/relationships/hyperlink" Target="https://news.ycombinator.com/item?id=33200171" TargetMode="External"/><Relationship Id="rId47" Type="http://schemas.openxmlformats.org/officeDocument/2006/relationships/hyperlink" Target="https://www.cisa.gov/news-events/bulletins/sb25-125" TargetMode="External"/><Relationship Id="rId49" Type="http://schemas.openxmlformats.org/officeDocument/2006/relationships/hyperlink" Target="https://dev.to/elianalamhost/tick-to-trade-latency-trading-platforms-on-aws-9i9" TargetMode="External"/><Relationship Id="rId5" Type="http://schemas.openxmlformats.org/officeDocument/2006/relationships/styles" Target="styles.xml"/><Relationship Id="rId6" Type="http://schemas.openxmlformats.org/officeDocument/2006/relationships/image" Target="media/image12.png"/><Relationship Id="rId7" Type="http://schemas.openxmlformats.org/officeDocument/2006/relationships/image" Target="media/image11.png"/><Relationship Id="rId8" Type="http://schemas.openxmlformats.org/officeDocument/2006/relationships/image" Target="media/image25.png"/><Relationship Id="rId31" Type="http://schemas.openxmlformats.org/officeDocument/2006/relationships/hyperlink" Target="https://coinsbench.com/bitcoin-attacks-a-chronological-analysis-of-threats-exploits-and-mitigation-strategies-3a1cc48635a0" TargetMode="External"/><Relationship Id="rId30" Type="http://schemas.openxmlformats.org/officeDocument/2006/relationships/image" Target="media/image16.png"/><Relationship Id="rId33" Type="http://schemas.openxmlformats.org/officeDocument/2006/relationships/hyperlink" Target="https://csrc.nist.gov/csrc/media/Presentations/2023/crclub-2023-03-08/images-media/20230308-crypto-club-slides--taming-the-many-EdDSAs.pdf" TargetMode="External"/><Relationship Id="rId32" Type="http://schemas.openxmlformats.org/officeDocument/2006/relationships/hyperlink" Target="https://www.mdpi.com/1999-5903/17/5/205" TargetMode="External"/><Relationship Id="rId35" Type="http://schemas.openxmlformats.org/officeDocument/2006/relationships/hyperlink" Target="https://figi.itu.int/wp-content/uploads/2021/04/Security-Aspects-of-Distributed-Ledger-Technologies-1.pdf" TargetMode="External"/><Relationship Id="rId34" Type="http://schemas.openxmlformats.org/officeDocument/2006/relationships/hyperlink" Target="https://www.csl.sri.com/users/gehani/papers/ISSA-2016.Bitcoin.pdf" TargetMode="External"/><Relationship Id="rId37" Type="http://schemas.openxmlformats.org/officeDocument/2006/relationships/hyperlink" Target="https://www.abbacustechnologies.com/high-frequency-trading-software-development-architecture-cost/" TargetMode="External"/><Relationship Id="rId36" Type="http://schemas.openxmlformats.org/officeDocument/2006/relationships/hyperlink" Target="https://medium.com/@gwrx2005/design-and-implementation-of-a-low-latency-high-frequency-trading-system-for-cryptocurrency-markets-a1034fe33d97" TargetMode="External"/><Relationship Id="rId39" Type="http://schemas.openxmlformats.org/officeDocument/2006/relationships/hyperlink" Target="https://www.cs.cornell.edu/~iddo/RTExchSGX.pdf" TargetMode="External"/><Relationship Id="rId38" Type="http://schemas.openxmlformats.org/officeDocument/2006/relationships/hyperlink" Target="https://medium.com/codetodeploy/solving-the-double-spend-system-design-patterns-for-bulletproof-fintech-ee5d73f33415" TargetMode="External"/><Relationship Id="rId62" Type="http://schemas.openxmlformats.org/officeDocument/2006/relationships/hyperlink" Target="https://gsconlinepress.com/journals/gscarr/sites/default/files/GSCARR-2024-0130.pdf" TargetMode="External"/><Relationship Id="rId61" Type="http://schemas.openxmlformats.org/officeDocument/2006/relationships/hyperlink" Target="https://www.zscaler.com/blogs/product-insights/quic-secure-communication-protocol-shaping-future-of-internet" TargetMode="External"/><Relationship Id="rId20" Type="http://schemas.openxmlformats.org/officeDocument/2006/relationships/image" Target="media/image19.png"/><Relationship Id="rId64" Type="http://schemas.openxmlformats.org/officeDocument/2006/relationships/hyperlink" Target="https://www.citrix.com/blogs/2020/09/08/rejuvenating-the-internet-with-http3-and-tls-1-3/" TargetMode="External"/><Relationship Id="rId63" Type="http://schemas.openxmlformats.org/officeDocument/2006/relationships/hyperlink" Target="https://datatracker.ietf.org/doc/html/rfc9000" TargetMode="External"/><Relationship Id="rId22" Type="http://schemas.openxmlformats.org/officeDocument/2006/relationships/image" Target="media/image14.png"/><Relationship Id="rId66" Type="http://schemas.openxmlformats.org/officeDocument/2006/relationships/hyperlink" Target="https://www.researchgate.net/publication/400639053_Adversarial_AI_Threat_Modeling_Framework_AATMF_v3_Adversarial_AI_Threat_Modeling_Framework_Comprehensive_Security_Assessment_for_AI_Systems" TargetMode="External"/><Relationship Id="rId21" Type="http://schemas.openxmlformats.org/officeDocument/2006/relationships/image" Target="media/image2.png"/><Relationship Id="rId65" Type="http://schemas.openxmlformats.org/officeDocument/2006/relationships/hyperlink" Target="https://www.packtpub.com/en-us/newsletters/programmingpro" TargetMode="External"/><Relationship Id="rId24" Type="http://schemas.openxmlformats.org/officeDocument/2006/relationships/image" Target="media/image10.png"/><Relationship Id="rId68" Type="http://schemas.openxmlformats.org/officeDocument/2006/relationships/hyperlink" Target="https://news.ycombinator.com/item?id=46857487" TargetMode="External"/><Relationship Id="rId23" Type="http://schemas.openxmlformats.org/officeDocument/2006/relationships/image" Target="media/image17.png"/><Relationship Id="rId67" Type="http://schemas.openxmlformats.org/officeDocument/2006/relationships/hyperlink" Target="https://andrewbaker.ninja/category/opensource/" TargetMode="External"/><Relationship Id="rId60" Type="http://schemas.openxmlformats.org/officeDocument/2006/relationships/hyperlink" Target="https://madoc.bib.uni-mannheim.de/30849/1/dissertation_benjamin_geib.pdf" TargetMode="External"/><Relationship Id="rId26" Type="http://schemas.openxmlformats.org/officeDocument/2006/relationships/image" Target="media/image23.png"/><Relationship Id="rId25" Type="http://schemas.openxmlformats.org/officeDocument/2006/relationships/image" Target="media/image9.png"/><Relationship Id="rId28" Type="http://schemas.openxmlformats.org/officeDocument/2006/relationships/image" Target="media/image1.png"/><Relationship Id="rId27" Type="http://schemas.openxmlformats.org/officeDocument/2006/relationships/image" Target="media/image8.png"/><Relationship Id="rId29" Type="http://schemas.openxmlformats.org/officeDocument/2006/relationships/image" Target="media/image7.png"/><Relationship Id="rId51" Type="http://schemas.openxmlformats.org/officeDocument/2006/relationships/hyperlink" Target="https://csrc.nist.rip/external/nvlpubs.nist.gov/nistpubs/ir/2022/NIST.IR.8214B.ipd.pdf" TargetMode="External"/><Relationship Id="rId50" Type="http://schemas.openxmlformats.org/officeDocument/2006/relationships/hyperlink" Target="https://arxiv.org/html/2506.17988v1" TargetMode="External"/><Relationship Id="rId53" Type="http://schemas.openxmlformats.org/officeDocument/2006/relationships/hyperlink" Target="https://github.com/MystenLabs/fastcrypto" TargetMode="External"/><Relationship Id="rId52" Type="http://schemas.openxmlformats.org/officeDocument/2006/relationships/hyperlink" Target="https://eprint.iacr.org/2021/350.pdf" TargetMode="External"/><Relationship Id="rId11" Type="http://schemas.openxmlformats.org/officeDocument/2006/relationships/image" Target="media/image15.png"/><Relationship Id="rId55" Type="http://schemas.openxmlformats.org/officeDocument/2006/relationships/hyperlink" Target="https://www.researchgate.net/publication/397593590_Proof-of-Metrology_PoM_A_Blockchain_Consensus_for_Tamper-Proof_Calibration_in_Adversarial_Cyber-Physical_Systems" TargetMode="External"/><Relationship Id="rId10" Type="http://schemas.openxmlformats.org/officeDocument/2006/relationships/image" Target="media/image4.png"/><Relationship Id="rId54" Type="http://schemas.openxmlformats.org/officeDocument/2006/relationships/hyperlink" Target="https://www.scribd.com/document/811129234/CISSP-Redux" TargetMode="External"/><Relationship Id="rId13" Type="http://schemas.openxmlformats.org/officeDocument/2006/relationships/image" Target="media/image24.png"/><Relationship Id="rId57" Type="http://schemas.openxmlformats.org/officeDocument/2006/relationships/hyperlink" Target="https://www.researchgate.net/publication/381150357_Uncovering_Cloud_Security_Complexities-A_Comprehensive_Five-Perspective_Taxonomic_Review" TargetMode="External"/><Relationship Id="rId12" Type="http://schemas.openxmlformats.org/officeDocument/2006/relationships/image" Target="media/image18.png"/><Relationship Id="rId56" Type="http://schemas.openxmlformats.org/officeDocument/2006/relationships/hyperlink" Target="https://d-nb.info/1307299431/34" TargetMode="External"/><Relationship Id="rId15" Type="http://schemas.openxmlformats.org/officeDocument/2006/relationships/image" Target="media/image22.png"/><Relationship Id="rId59" Type="http://schemas.openxmlformats.org/officeDocument/2006/relationships/hyperlink" Target="https://techdocs.f5.com/content/kb/en-us/products/big-ip_ltm/manuals/product/ltm-implementations-12-1-0/_jcr_content/pdfAttach/download/file.res/BIG-IP_Local_Traffic_Manager__Implementations.pdf" TargetMode="External"/><Relationship Id="rId14" Type="http://schemas.openxmlformats.org/officeDocument/2006/relationships/image" Target="media/image3.png"/><Relationship Id="rId58" Type="http://schemas.openxmlformats.org/officeDocument/2006/relationships/hyperlink" Target="https://www.haproxy.com/documentation/haproxy-enterprise/release-notes/" TargetMode="External"/><Relationship Id="rId17" Type="http://schemas.openxmlformats.org/officeDocument/2006/relationships/image" Target="media/image21.png"/><Relationship Id="rId16" Type="http://schemas.openxmlformats.org/officeDocument/2006/relationships/image" Target="media/image20.png"/><Relationship Id="rId19" Type="http://schemas.openxmlformats.org/officeDocument/2006/relationships/image" Target="media/image6.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