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7038" w14:textId="77777777" w:rsidR="00461C92" w:rsidRDefault="00461C92" w:rsidP="00461C92"/>
    <w:p w14:paraId="613DF84C" w14:textId="77777777" w:rsidR="00461C92" w:rsidRDefault="00461C92" w:rsidP="00461C92"/>
    <w:p w14:paraId="216B6170" w14:textId="77777777" w:rsidR="00461C92" w:rsidRDefault="00461C92" w:rsidP="00461C92"/>
    <w:p w14:paraId="2F85D9C2" w14:textId="77777777" w:rsidR="00461C92" w:rsidRDefault="00461C92" w:rsidP="00461C92"/>
    <w:p w14:paraId="3CFFB9AC" w14:textId="77777777" w:rsidR="00461C92" w:rsidRDefault="00461C92" w:rsidP="00461C92"/>
    <w:p w14:paraId="3982DF4A" w14:textId="77777777" w:rsidR="00461C92" w:rsidRDefault="00461C92" w:rsidP="00461C92"/>
    <w:p w14:paraId="6CBCF19F" w14:textId="77777777" w:rsidR="00461C92" w:rsidRDefault="00461C92" w:rsidP="00461C92"/>
    <w:p w14:paraId="278E5580" w14:textId="77777777" w:rsidR="00461C92" w:rsidRDefault="00461C92" w:rsidP="00461C92"/>
    <w:p w14:paraId="1A72E957" w14:textId="77777777" w:rsidR="00461C92" w:rsidRDefault="00461C92" w:rsidP="00461C92"/>
    <w:p w14:paraId="456E8047" w14:textId="77777777" w:rsidR="00461C92" w:rsidRDefault="00461C92" w:rsidP="00461C92"/>
    <w:p w14:paraId="3B3BFD2F" w14:textId="77777777" w:rsidR="00461C92" w:rsidRDefault="00461C92" w:rsidP="00461C92"/>
    <w:p w14:paraId="076CC24E" w14:textId="77777777" w:rsidR="00461C92" w:rsidRDefault="00461C92" w:rsidP="00461C92"/>
    <w:p w14:paraId="7266CFB9" w14:textId="77777777" w:rsidR="00461C92" w:rsidRDefault="00461C92" w:rsidP="00461C92"/>
    <w:p w14:paraId="6D3BDE8C" w14:textId="77777777" w:rsidR="00461C92" w:rsidRDefault="00461C92" w:rsidP="00461C92"/>
    <w:p w14:paraId="2CD581E5" w14:textId="77777777" w:rsidR="00461C92" w:rsidRDefault="00461C92" w:rsidP="00461C92"/>
    <w:p w14:paraId="15E4EA5D" w14:textId="77777777" w:rsidR="00461C92" w:rsidRDefault="00461C92" w:rsidP="00461C92"/>
    <w:p w14:paraId="09FF9FCB" w14:textId="77777777" w:rsidR="00461C92" w:rsidRDefault="00461C92" w:rsidP="00461C92"/>
    <w:p w14:paraId="2EA1F674" w14:textId="77777777" w:rsidR="00461C92" w:rsidRDefault="00461C92" w:rsidP="00461C92"/>
    <w:p w14:paraId="16789377" w14:textId="77777777" w:rsidR="00461C92" w:rsidRDefault="00461C92" w:rsidP="00461C92"/>
    <w:p w14:paraId="2ABDEF1C" w14:textId="77777777" w:rsidR="00461C92" w:rsidRDefault="00461C92" w:rsidP="00461C92">
      <w:pPr>
        <w:jc w:val="center"/>
      </w:pPr>
      <w:r>
        <w:rPr>
          <w:noProof/>
          <w:lang w:val="es-ES"/>
        </w:rPr>
        <w:drawing>
          <wp:inline distT="0" distB="0" distL="0" distR="0" wp14:anchorId="583B6EC0" wp14:editId="7B14A64B">
            <wp:extent cx="2031746" cy="2031746"/>
            <wp:effectExtent l="0" t="0" r="698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VT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46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C576" w14:textId="77777777" w:rsidR="00461C92" w:rsidRDefault="00461C92" w:rsidP="00461C92"/>
    <w:p w14:paraId="0DC613DD" w14:textId="77777777" w:rsidR="00A05424" w:rsidRPr="00461C92" w:rsidRDefault="00774F97" w:rsidP="00461C92">
      <w:pPr>
        <w:jc w:val="center"/>
      </w:pPr>
      <w:r w:rsidRPr="00774F97">
        <w:rPr>
          <w:rFonts w:ascii="Times New Roman" w:eastAsia="Times New Roman" w:hAnsi="Times New Roman" w:cs="Times New Roman"/>
          <w:b/>
          <w:sz w:val="38"/>
          <w:szCs w:val="38"/>
        </w:rPr>
        <w:t>Documento de Es</w:t>
      </w:r>
      <w:r w:rsidR="00971A0C">
        <w:rPr>
          <w:rFonts w:ascii="Times New Roman" w:eastAsia="Times New Roman" w:hAnsi="Times New Roman" w:cs="Times New Roman"/>
          <w:b/>
          <w:sz w:val="38"/>
          <w:szCs w:val="38"/>
        </w:rPr>
        <w:t>pecificación de Requisitos: CU07 – Generar Reporte de Ventas</w:t>
      </w:r>
      <w:r w:rsidR="00BF333D">
        <w:br w:type="page"/>
      </w:r>
    </w:p>
    <w:p w14:paraId="02F4D084" w14:textId="77777777" w:rsidR="00A05424" w:rsidRDefault="00BF333D">
      <w:pPr>
        <w:pStyle w:val="Subttulo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0" w:name="_mz038qwxpsgv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Historial de revisión</w:t>
      </w:r>
    </w:p>
    <w:tbl>
      <w:tblPr>
        <w:tblStyle w:val="a"/>
        <w:tblW w:w="902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7"/>
        <w:gridCol w:w="1228"/>
        <w:gridCol w:w="1576"/>
        <w:gridCol w:w="1604"/>
        <w:gridCol w:w="1604"/>
        <w:gridCol w:w="2036"/>
      </w:tblGrid>
      <w:tr w:rsidR="00A05424" w14:paraId="4BCA7B7E" w14:textId="77777777" w:rsidTr="00461C92">
        <w:trPr>
          <w:trHeight w:val="575"/>
        </w:trPr>
        <w:tc>
          <w:tcPr>
            <w:tcW w:w="9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1985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12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B453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96AF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672E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Revisado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3E15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Aprobado por</w:t>
            </w:r>
          </w:p>
        </w:tc>
        <w:tc>
          <w:tcPr>
            <w:tcW w:w="2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7489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Resumen de cambios</w:t>
            </w:r>
          </w:p>
        </w:tc>
      </w:tr>
      <w:tr w:rsidR="00A05424" w14:paraId="3D374466" w14:textId="77777777" w:rsidTr="00461C92">
        <w:trPr>
          <w:trHeight w:val="575"/>
        </w:trPr>
        <w:tc>
          <w:tcPr>
            <w:tcW w:w="977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74CE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C91E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461C92">
              <w:rPr>
                <w:rFonts w:ascii="Times New Roman" w:eastAsia="Times New Roman" w:hAnsi="Times New Roman" w:cs="Times New Roman"/>
              </w:rPr>
              <w:t>4/02/2023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6C46" w14:textId="77777777" w:rsidR="00A05424" w:rsidRDefault="00461C92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Erly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9452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CDEF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E984" w14:textId="77777777" w:rsidR="00A05424" w:rsidRDefault="00BF333D" w:rsidP="00461C92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inicial:</w:t>
            </w:r>
          </w:p>
          <w:p w14:paraId="48D066CA" w14:textId="77777777"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Diagrama de Casos de Uso.</w:t>
            </w:r>
          </w:p>
          <w:p w14:paraId="7E0421D4" w14:textId="77777777"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Especificación de caso de uso 01.</w:t>
            </w:r>
          </w:p>
          <w:p w14:paraId="7F92C908" w14:textId="77777777" w:rsidR="00A05424" w:rsidRDefault="00BF333D" w:rsidP="00461C92">
            <w:pPr>
              <w:numPr>
                <w:ilvl w:val="1"/>
                <w:numId w:val="3"/>
              </w:numPr>
              <w:spacing w:after="120"/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Interfaces de usuario relacionadas.</w:t>
            </w:r>
          </w:p>
        </w:tc>
      </w:tr>
    </w:tbl>
    <w:p w14:paraId="0C47C6B6" w14:textId="77777777" w:rsidR="00A05424" w:rsidRDefault="00BF333D">
      <w:pPr>
        <w:jc w:val="center"/>
      </w:pPr>
      <w:r>
        <w:br w:type="page"/>
      </w:r>
    </w:p>
    <w:p w14:paraId="389EFCCC" w14:textId="77777777" w:rsidR="00A05424" w:rsidRDefault="00A05424"/>
    <w:p w14:paraId="4654FF4B" w14:textId="77777777" w:rsidR="00461C92" w:rsidRDefault="00BF333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Diagrama de Casos de Uso</w:t>
      </w:r>
    </w:p>
    <w:p w14:paraId="45D2AA46" w14:textId="77777777" w:rsidR="00461C92" w:rsidRDefault="00971A0C">
      <w:pPr>
        <w:jc w:val="center"/>
        <w:rPr>
          <w:rFonts w:ascii="Times New Roman" w:eastAsia="Times New Roman" w:hAnsi="Times New Roman" w:cs="Times New Roman"/>
          <w:b/>
          <w:noProof/>
          <w:sz w:val="26"/>
          <w:szCs w:val="26"/>
          <w:lang w:val="es-ES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s-ES"/>
        </w:rPr>
        <w:drawing>
          <wp:anchor distT="0" distB="0" distL="114300" distR="114300" simplePos="0" relativeHeight="251658240" behindDoc="0" locked="0" layoutInCell="1" allowOverlap="1" wp14:anchorId="623C96B0" wp14:editId="496DB920">
            <wp:simplePos x="0" y="0"/>
            <wp:positionH relativeFrom="margin">
              <wp:posOffset>-679831</wp:posOffset>
            </wp:positionH>
            <wp:positionV relativeFrom="paragraph">
              <wp:posOffset>221615</wp:posOffset>
            </wp:positionV>
            <wp:extent cx="7089530" cy="68484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VT-DC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015" cy="68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B2AF4" w14:textId="77777777" w:rsidR="00971A0C" w:rsidRDefault="00971A0C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0B9F38" w14:textId="77777777" w:rsidR="00A05424" w:rsidRDefault="00BF333D">
      <w:pPr>
        <w:jc w:val="center"/>
      </w:pPr>
      <w:r>
        <w:br w:type="page"/>
      </w:r>
    </w:p>
    <w:p w14:paraId="04E7F340" w14:textId="77777777" w:rsidR="00A05424" w:rsidRDefault="00A05424"/>
    <w:tbl>
      <w:tblPr>
        <w:tblStyle w:val="a0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960"/>
        <w:gridCol w:w="7440"/>
      </w:tblGrid>
      <w:tr w:rsidR="00A05424" w14:paraId="26C53E1D" w14:textId="77777777" w:rsidTr="0086229F">
        <w:trPr>
          <w:trHeight w:val="12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91CD" w14:textId="77777777" w:rsidR="00A05424" w:rsidRDefault="0004791E" w:rsidP="0086229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CU07</w:t>
            </w:r>
          </w:p>
        </w:tc>
      </w:tr>
      <w:tr w:rsidR="00A05424" w14:paraId="6BA8F4FE" w14:textId="77777777" w:rsidTr="0086229F">
        <w:trPr>
          <w:trHeight w:val="12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B3CD" w14:textId="77777777" w:rsidR="00A05424" w:rsidRDefault="00BF333D" w:rsidP="0086229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B46F" w14:textId="77777777" w:rsidR="00A05424" w:rsidRPr="00461C92" w:rsidRDefault="0004791E" w:rsidP="0086229F">
            <w:pPr>
              <w:widowControl w:val="0"/>
              <w:spacing w:line="240" w:lineRule="auto"/>
            </w:pPr>
            <w:r>
              <w:rPr>
                <w:rFonts w:eastAsia="Times New Roman"/>
              </w:rPr>
              <w:t>Generar Reporte de Ventas</w:t>
            </w:r>
          </w:p>
        </w:tc>
      </w:tr>
      <w:tr w:rsidR="00A05424" w14:paraId="2F1784CA" w14:textId="77777777" w:rsidTr="0086229F">
        <w:trPr>
          <w:trHeight w:val="12"/>
        </w:trPr>
        <w:tc>
          <w:tcPr>
            <w:tcW w:w="15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98FA" w14:textId="77777777" w:rsidR="00A05424" w:rsidRDefault="00BF333D" w:rsidP="0086229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7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8D74" w14:textId="77777777" w:rsidR="00A05424" w:rsidRDefault="00461C92" w:rsidP="0086229F">
            <w:pPr>
              <w:widowControl w:val="0"/>
              <w:spacing w:line="240" w:lineRule="auto"/>
            </w:pPr>
            <w:r>
              <w:t>Erly</w:t>
            </w:r>
          </w:p>
        </w:tc>
      </w:tr>
      <w:tr w:rsidR="00A05424" w14:paraId="7BCDB748" w14:textId="77777777" w:rsidTr="0086229F">
        <w:trPr>
          <w:trHeight w:val="12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1792" w14:textId="77777777" w:rsidR="00A05424" w:rsidRDefault="00BF333D" w:rsidP="0086229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FBE1" w14:textId="77777777" w:rsidR="00A05424" w:rsidRDefault="00461C92" w:rsidP="0086229F">
            <w:pPr>
              <w:widowControl w:val="0"/>
              <w:spacing w:line="240" w:lineRule="auto"/>
            </w:pPr>
            <w:r>
              <w:t>04/02/2023</w:t>
            </w:r>
          </w:p>
        </w:tc>
      </w:tr>
      <w:tr w:rsidR="00A05424" w14:paraId="19DEBACA" w14:textId="77777777" w:rsidTr="0086229F">
        <w:trPr>
          <w:trHeight w:val="12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4F7A" w14:textId="77777777" w:rsidR="00A05424" w:rsidRDefault="00BF333D" w:rsidP="0086229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</w:tr>
      <w:tr w:rsidR="00A05424" w14:paraId="01EC2608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958D" w14:textId="62AEFB01" w:rsidR="0004791E" w:rsidRDefault="00BF333D" w:rsidP="0086229F">
            <w:pPr>
              <w:widowControl w:val="0"/>
              <w:spacing w:line="240" w:lineRule="auto"/>
            </w:pPr>
            <w:r>
              <w:t>Permite</w:t>
            </w:r>
            <w:r w:rsidR="00461C92">
              <w:t xml:space="preserve"> </w:t>
            </w:r>
            <w:r w:rsidR="0004791E">
              <w:t xml:space="preserve">seleccionar </w:t>
            </w:r>
            <w:r w:rsidR="00051DBF">
              <w:t>el día del que se quiere obtener las ventas. Se visualiza una tabla con el resumen de ventas.</w:t>
            </w:r>
            <w:r w:rsidR="00CA3636">
              <w:t xml:space="preserve"> Se puede descargar en </w:t>
            </w:r>
            <w:proofErr w:type="spellStart"/>
            <w:r w:rsidR="00CA3636">
              <w:t>excel</w:t>
            </w:r>
            <w:proofErr w:type="spellEnd"/>
            <w:r w:rsidR="00CA3636">
              <w:t xml:space="preserve"> el resumen de ventas. Tanto en el </w:t>
            </w:r>
            <w:proofErr w:type="spellStart"/>
            <w:r w:rsidR="00CA3636">
              <w:t>excel</w:t>
            </w:r>
            <w:proofErr w:type="spellEnd"/>
            <w:r w:rsidR="00CA3636">
              <w:t xml:space="preserve"> como en la aplicación se visualizará coloreado las ventas que no superen el tope diario establecido como requerimiento por el cliente del PV.</w:t>
            </w:r>
          </w:p>
        </w:tc>
      </w:tr>
      <w:tr w:rsidR="00A05424" w14:paraId="337368E6" w14:textId="77777777" w:rsidTr="0086229F">
        <w:trPr>
          <w:trHeight w:val="12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B248" w14:textId="77777777" w:rsidR="00A05424" w:rsidRDefault="00BF333D" w:rsidP="0086229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Actores:</w:t>
            </w:r>
          </w:p>
        </w:tc>
      </w:tr>
      <w:tr w:rsidR="00A05424" w14:paraId="07FF6EE3" w14:textId="77777777" w:rsidTr="0086229F">
        <w:trPr>
          <w:trHeight w:val="12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09E2" w14:textId="77777777" w:rsidR="00A05424" w:rsidRDefault="00BF333D" w:rsidP="0086229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40423" w14:textId="77777777" w:rsidR="00A05424" w:rsidRDefault="00BF333D" w:rsidP="0086229F">
            <w:pPr>
              <w:widowControl w:val="0"/>
              <w:spacing w:line="240" w:lineRule="auto"/>
            </w:pPr>
            <w:r>
              <w:t>A01</w:t>
            </w:r>
            <w:r w:rsidR="00461C92">
              <w:t xml:space="preserve"> – Secretaria</w:t>
            </w:r>
          </w:p>
        </w:tc>
      </w:tr>
      <w:tr w:rsidR="00A05424" w14:paraId="0AF7DA28" w14:textId="77777777" w:rsidTr="0086229F">
        <w:trPr>
          <w:trHeight w:val="12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878" w14:textId="77777777" w:rsidR="00A05424" w:rsidRDefault="00BF333D" w:rsidP="0086229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F1AA" w14:textId="77777777" w:rsidR="00A05424" w:rsidRDefault="00461C92" w:rsidP="0086229F">
            <w:pPr>
              <w:widowControl w:val="0"/>
              <w:spacing w:line="240" w:lineRule="auto"/>
            </w:pPr>
            <w:r>
              <w:t>A02 – Gerente</w:t>
            </w:r>
            <w:r w:rsidR="00BF333D">
              <w:t>.</w:t>
            </w:r>
          </w:p>
        </w:tc>
      </w:tr>
      <w:tr w:rsidR="00A05424" w14:paraId="76C44767" w14:textId="77777777" w:rsidTr="0086229F">
        <w:trPr>
          <w:trHeight w:val="12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EA60" w14:textId="77777777" w:rsidR="00A05424" w:rsidRDefault="00BF333D" w:rsidP="0086229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Precondiciones:</w:t>
            </w:r>
          </w:p>
        </w:tc>
      </w:tr>
      <w:tr w:rsidR="00A05424" w14:paraId="3C708470" w14:textId="77777777" w:rsidTr="0086229F">
        <w:trPr>
          <w:trHeight w:val="12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3526" w14:textId="77777777" w:rsidR="00A05424" w:rsidRDefault="00BF333D" w:rsidP="0086229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E106" w14:textId="77777777" w:rsidR="00A05424" w:rsidRDefault="00BF333D" w:rsidP="0086229F">
            <w:pPr>
              <w:widowControl w:val="0"/>
              <w:spacing w:line="240" w:lineRule="auto"/>
            </w:pPr>
            <w:r>
              <w:t>El usuario</w:t>
            </w:r>
            <w:r w:rsidR="00461C92">
              <w:t xml:space="preserve"> (secretaria o gerente) deben haber iniciado sesión</w:t>
            </w:r>
          </w:p>
        </w:tc>
      </w:tr>
      <w:tr w:rsidR="00BE09A7" w14:paraId="73AD98C5" w14:textId="77777777" w:rsidTr="0086229F">
        <w:trPr>
          <w:trHeight w:val="12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8DAF" w14:textId="77777777" w:rsidR="00BE09A7" w:rsidRDefault="00BE09A7" w:rsidP="0086229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59F9" w14:textId="77777777" w:rsidR="00BE09A7" w:rsidRDefault="00BE09A7" w:rsidP="0086229F">
            <w:pPr>
              <w:widowControl w:val="0"/>
              <w:spacing w:line="240" w:lineRule="auto"/>
            </w:pPr>
            <w:r>
              <w:t>El usuario (secretaria o gerente) debe dirigirse a la sección “</w:t>
            </w:r>
            <w:r w:rsidR="0004791E">
              <w:t>Reporte de Ventas</w:t>
            </w:r>
            <w:r>
              <w:t>”</w:t>
            </w:r>
          </w:p>
        </w:tc>
      </w:tr>
      <w:tr w:rsidR="0086229F" w14:paraId="76164473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AB30" w14:textId="4F4CF78C" w:rsidR="0086229F" w:rsidRDefault="0086229F" w:rsidP="0086229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354B" w14:textId="2F01578A" w:rsidR="0086229F" w:rsidRDefault="0086229F" w:rsidP="0086229F">
            <w:pPr>
              <w:widowControl w:val="0"/>
              <w:spacing w:line="240" w:lineRule="auto"/>
            </w:pPr>
            <w:r>
              <w:t xml:space="preserve">La </w:t>
            </w:r>
            <w:r>
              <w:t xml:space="preserve">tabla Reporte </w:t>
            </w:r>
            <w:r>
              <w:t>tendrá las columnas de la tabla venta de la base de datos y adicionalmente tendrá una columna llamada “Progreso del día” que contendrá la sumatoria acumulativa de las ventas.</w:t>
            </w:r>
          </w:p>
        </w:tc>
      </w:tr>
      <w:tr w:rsidR="00A05424" w14:paraId="2B413E86" w14:textId="77777777" w:rsidTr="0086229F">
        <w:trPr>
          <w:trHeight w:val="12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AC4F" w14:textId="77777777" w:rsidR="00A05424" w:rsidRDefault="00BF333D" w:rsidP="0086229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normal:</w:t>
            </w:r>
          </w:p>
        </w:tc>
      </w:tr>
      <w:tr w:rsidR="00A05424" w14:paraId="267F2563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5CC5" w14:textId="5CCF8570" w:rsidR="00A05424" w:rsidRDefault="00BF333D" w:rsidP="0086229F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El </w:t>
            </w:r>
            <w:r w:rsidR="008F3C2E">
              <w:t xml:space="preserve">usuario selecciona </w:t>
            </w:r>
            <w:r w:rsidR="00605D37">
              <w:t>el día del cual quiere ver las ventas realizadas</w:t>
            </w:r>
            <w:r w:rsidR="00CA3636">
              <w:t>.</w:t>
            </w:r>
          </w:p>
          <w:p w14:paraId="38DBACFC" w14:textId="7E428167" w:rsidR="00C1728B" w:rsidRDefault="00605D37" w:rsidP="0086229F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La tabla se carga con l</w:t>
            </w:r>
            <w:r w:rsidR="00CA3636">
              <w:t xml:space="preserve">as ventas </w:t>
            </w:r>
            <w:r>
              <w:t xml:space="preserve">del día </w:t>
            </w:r>
            <w:r w:rsidR="00CA3636">
              <w:t xml:space="preserve">seleccionado. </w:t>
            </w:r>
            <w:r w:rsidR="0086229F">
              <w:t xml:space="preserve">Las ventas aparecen </w:t>
            </w:r>
            <w:r w:rsidR="00CA3636">
              <w:t>ordenada</w:t>
            </w:r>
            <w:r w:rsidR="0086229F">
              <w:t>s</w:t>
            </w:r>
            <w:r w:rsidR="00CA3636">
              <w:t xml:space="preserve"> de menor a mayor respecto al total de la venta y las filas serán coloreadas </w:t>
            </w:r>
            <w:r w:rsidR="0086229F">
              <w:t xml:space="preserve">hasta donde el valor de la columna “Progreso del día” </w:t>
            </w:r>
            <w:r w:rsidR="00CA3636">
              <w:t>no superen máximo diario.</w:t>
            </w:r>
          </w:p>
          <w:p w14:paraId="66B2619E" w14:textId="77777777" w:rsidR="008F3C2E" w:rsidRDefault="00051DBF" w:rsidP="0086229F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En la parte inferior de la tabla aparece la suma total de ingresos de esa fecha.</w:t>
            </w:r>
          </w:p>
          <w:p w14:paraId="5E881AF6" w14:textId="237BCFC7" w:rsidR="00051DBF" w:rsidRDefault="00051DBF" w:rsidP="0086229F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hace clic en el botón “Descargar progreso del día” para obtener un documento (xlsx) con las ventas recomendadas para su declaración</w:t>
            </w:r>
            <w:r w:rsidR="002C30F1">
              <w:t>.</w:t>
            </w:r>
          </w:p>
        </w:tc>
      </w:tr>
      <w:tr w:rsidR="00A05424" w14:paraId="409BF010" w14:textId="77777777" w:rsidTr="0086229F">
        <w:trPr>
          <w:trHeight w:val="12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0E85" w14:textId="77777777" w:rsidR="00A05424" w:rsidRDefault="00BF333D" w:rsidP="0086229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alternativo:</w:t>
            </w:r>
          </w:p>
        </w:tc>
      </w:tr>
      <w:tr w:rsidR="00A05424" w14:paraId="1ED41DE4" w14:textId="77777777" w:rsidTr="0086229F">
        <w:trPr>
          <w:trHeight w:val="12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7772" w14:textId="77777777" w:rsidR="00B50626" w:rsidRDefault="00B416BE" w:rsidP="0086229F">
            <w:pPr>
              <w:widowControl w:val="0"/>
              <w:tabs>
                <w:tab w:val="left" w:pos="915"/>
              </w:tabs>
              <w:spacing w:line="240" w:lineRule="auto"/>
            </w:pPr>
            <w:r>
              <w:tab/>
            </w:r>
          </w:p>
        </w:tc>
      </w:tr>
      <w:tr w:rsidR="00A05424" w14:paraId="65B876F3" w14:textId="77777777" w:rsidTr="0086229F">
        <w:trPr>
          <w:trHeight w:val="12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86A0" w14:textId="77777777" w:rsidR="00A05424" w:rsidRDefault="00BE09A7" w:rsidP="0086229F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 condiciones</w:t>
            </w:r>
            <w:r w:rsidR="00BF333D">
              <w:rPr>
                <w:b/>
              </w:rPr>
              <w:t>:</w:t>
            </w:r>
          </w:p>
        </w:tc>
      </w:tr>
      <w:tr w:rsidR="00A05424" w14:paraId="4613AFC4" w14:textId="77777777" w:rsidTr="0086229F">
        <w:trPr>
          <w:trHeight w:val="12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2569" w14:textId="77777777" w:rsidR="00A05424" w:rsidRDefault="00BF333D" w:rsidP="0086229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24E1" w14:textId="693B392F" w:rsidR="00A05424" w:rsidRDefault="002C30F1" w:rsidP="0086229F">
            <w:pPr>
              <w:widowControl w:val="0"/>
              <w:spacing w:line="240" w:lineRule="auto"/>
            </w:pPr>
            <w:r>
              <w:t>Se debe generar un documento (xlsx) para su descarga.</w:t>
            </w:r>
          </w:p>
        </w:tc>
      </w:tr>
    </w:tbl>
    <w:p w14:paraId="7C4ADED9" w14:textId="77777777" w:rsidR="00A05424" w:rsidRDefault="00A05424"/>
    <w:p w14:paraId="5F541335" w14:textId="77777777" w:rsidR="00A05424" w:rsidRDefault="00A054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71B325" w14:textId="77777777" w:rsidR="00165266" w:rsidRDefault="00165266" w:rsidP="00BE09A7">
      <w:pPr>
        <w:jc w:val="center"/>
        <w:sectPr w:rsidR="00165266">
          <w:headerReference w:type="default" r:id="rId9"/>
          <w:footerReference w:type="first" r:id="rId10"/>
          <w:pgSz w:w="11909" w:h="16834"/>
          <w:pgMar w:top="0" w:right="1440" w:bottom="1440" w:left="1440" w:header="720" w:footer="720" w:gutter="0"/>
          <w:pgNumType w:start="1"/>
          <w:cols w:space="720"/>
          <w:titlePg/>
        </w:sectPr>
      </w:pPr>
    </w:p>
    <w:p w14:paraId="1FF25295" w14:textId="77777777" w:rsidR="00165266" w:rsidRDefault="00BF333D" w:rsidP="0016526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Interfaces de Usuario Relacionadas</w:t>
      </w:r>
    </w:p>
    <w:p w14:paraId="2E56E430" w14:textId="77777777" w:rsidR="00B50626" w:rsidRDefault="00B50626" w:rsidP="0016526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E9A2376" w14:textId="076CC62E" w:rsidR="00527C0A" w:rsidRDefault="00051DBF" w:rsidP="00BE09A7">
      <w:pPr>
        <w:rPr>
          <w:rFonts w:ascii="Times New Roman" w:hAnsi="Times New Roman" w:cs="Times New Roman"/>
          <w:b/>
          <w:i/>
          <w:sz w:val="28"/>
        </w:rPr>
      </w:pPr>
      <w:r w:rsidRPr="00051DBF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72FB873C" wp14:editId="6AE01C23">
            <wp:extent cx="8597735" cy="5049037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15405" cy="505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1DEA" w14:textId="77777777" w:rsidR="00165266" w:rsidRDefault="00B50626" w:rsidP="00BE09A7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Interfaz de la sección “</w:t>
      </w:r>
      <w:r w:rsidR="00527C0A">
        <w:rPr>
          <w:rFonts w:ascii="Times New Roman" w:hAnsi="Times New Roman" w:cs="Times New Roman"/>
          <w:b/>
          <w:i/>
          <w:sz w:val="28"/>
        </w:rPr>
        <w:t>Reporte de</w:t>
      </w:r>
      <w:r>
        <w:rPr>
          <w:rFonts w:ascii="Times New Roman" w:hAnsi="Times New Roman" w:cs="Times New Roman"/>
          <w:b/>
          <w:i/>
          <w:sz w:val="28"/>
        </w:rPr>
        <w:t xml:space="preserve"> venta</w:t>
      </w:r>
      <w:r w:rsidR="00527C0A">
        <w:rPr>
          <w:rFonts w:ascii="Times New Roman" w:hAnsi="Times New Roman" w:cs="Times New Roman"/>
          <w:b/>
          <w:i/>
          <w:sz w:val="28"/>
        </w:rPr>
        <w:t>s</w:t>
      </w:r>
      <w:r>
        <w:rPr>
          <w:rFonts w:ascii="Times New Roman" w:hAnsi="Times New Roman" w:cs="Times New Roman"/>
          <w:b/>
          <w:i/>
          <w:sz w:val="28"/>
        </w:rPr>
        <w:t>”</w:t>
      </w:r>
    </w:p>
    <w:sectPr w:rsidR="00165266" w:rsidSect="00165266">
      <w:pgSz w:w="16834" w:h="11909" w:orient="landscape"/>
      <w:pgMar w:top="1440" w:right="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2B2FD" w14:textId="77777777" w:rsidR="0078332C" w:rsidRDefault="0078332C">
      <w:pPr>
        <w:spacing w:line="240" w:lineRule="auto"/>
      </w:pPr>
      <w:r>
        <w:separator/>
      </w:r>
    </w:p>
  </w:endnote>
  <w:endnote w:type="continuationSeparator" w:id="0">
    <w:p w14:paraId="24511664" w14:textId="77777777" w:rsidR="0078332C" w:rsidRDefault="007833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C732" w14:textId="77777777" w:rsidR="00A05424" w:rsidRDefault="00A054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64DB6" w14:textId="77777777" w:rsidR="0078332C" w:rsidRDefault="0078332C">
      <w:pPr>
        <w:spacing w:line="240" w:lineRule="auto"/>
      </w:pPr>
      <w:r>
        <w:separator/>
      </w:r>
    </w:p>
  </w:footnote>
  <w:footnote w:type="continuationSeparator" w:id="0">
    <w:p w14:paraId="2519736E" w14:textId="77777777" w:rsidR="0078332C" w:rsidRDefault="007833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034B" w14:textId="77777777" w:rsidR="00A05424" w:rsidRDefault="00A054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74BE"/>
    <w:multiLevelType w:val="multilevel"/>
    <w:tmpl w:val="BF2A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9C6316"/>
    <w:multiLevelType w:val="multilevel"/>
    <w:tmpl w:val="FFD8A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1F1C0A"/>
    <w:multiLevelType w:val="multilevel"/>
    <w:tmpl w:val="BF2A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E1D6820"/>
    <w:multiLevelType w:val="multilevel"/>
    <w:tmpl w:val="C1FA1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930C9"/>
    <w:multiLevelType w:val="multilevel"/>
    <w:tmpl w:val="9932B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8047D4"/>
    <w:multiLevelType w:val="multilevel"/>
    <w:tmpl w:val="C784BCE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CDC539D"/>
    <w:multiLevelType w:val="hybridMultilevel"/>
    <w:tmpl w:val="058AD25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9128725">
    <w:abstractNumId w:val="5"/>
  </w:num>
  <w:num w:numId="2" w16cid:durableId="928731823">
    <w:abstractNumId w:val="0"/>
  </w:num>
  <w:num w:numId="3" w16cid:durableId="2052607925">
    <w:abstractNumId w:val="4"/>
  </w:num>
  <w:num w:numId="4" w16cid:durableId="914247815">
    <w:abstractNumId w:val="3"/>
  </w:num>
  <w:num w:numId="5" w16cid:durableId="1134710283">
    <w:abstractNumId w:val="1"/>
  </w:num>
  <w:num w:numId="6" w16cid:durableId="495804406">
    <w:abstractNumId w:val="2"/>
  </w:num>
  <w:num w:numId="7" w16cid:durableId="1733964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24"/>
    <w:rsid w:val="0004791E"/>
    <w:rsid w:val="00051DBF"/>
    <w:rsid w:val="00165266"/>
    <w:rsid w:val="00242D6C"/>
    <w:rsid w:val="002C30F1"/>
    <w:rsid w:val="00314D52"/>
    <w:rsid w:val="0045502F"/>
    <w:rsid w:val="0045659F"/>
    <w:rsid w:val="00461C92"/>
    <w:rsid w:val="0047709C"/>
    <w:rsid w:val="0051116B"/>
    <w:rsid w:val="00527C0A"/>
    <w:rsid w:val="00605D37"/>
    <w:rsid w:val="006E22E1"/>
    <w:rsid w:val="00774F97"/>
    <w:rsid w:val="0078332C"/>
    <w:rsid w:val="00855D21"/>
    <w:rsid w:val="0086229F"/>
    <w:rsid w:val="008F3C2E"/>
    <w:rsid w:val="00971A0C"/>
    <w:rsid w:val="00A05424"/>
    <w:rsid w:val="00AB6B6B"/>
    <w:rsid w:val="00B416BE"/>
    <w:rsid w:val="00B50626"/>
    <w:rsid w:val="00BE09A7"/>
    <w:rsid w:val="00BF333D"/>
    <w:rsid w:val="00C03FD2"/>
    <w:rsid w:val="00C1728B"/>
    <w:rsid w:val="00CA3636"/>
    <w:rsid w:val="00EB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F5080"/>
  <w15:docId w15:val="{BF109FAD-BD73-43CD-B5E8-7C649A7F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6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Elizabeth Romero Diaz</cp:lastModifiedBy>
  <cp:revision>14</cp:revision>
  <dcterms:created xsi:type="dcterms:W3CDTF">2023-02-04T18:49:00Z</dcterms:created>
  <dcterms:modified xsi:type="dcterms:W3CDTF">2023-02-18T01:08:00Z</dcterms:modified>
</cp:coreProperties>
</file>