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76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76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76"/>
        <w:jc w:val="center"/>
        <w:rPr>
          <w:rFonts w:ascii="仿宋_GB2312" w:hAnsi="仿宋_GB2312" w:eastAsia="仿宋_GB2312" w:hint="eastAsia"/>
          <w:sz w:val="32"/>
          <w:szCs w:val="32"/>
          <w:lang w:val="zh-CN" w:eastAsia="zh-CN"/>
        </w:rPr>
      </w:pPr>
      <w:r>
        <w:rPr>
          <w:rFonts w:eastAsia="仿宋_GB2312" w:hint="eastAsia" w:ascii="仿宋_GB2312" w:hAnsi="仿宋_GB2312"/>
          <w:sz w:val="32"/>
          <w:szCs w:val="32"/>
          <w:lang w:val="zh-CN" w:eastAsia="zh-CN"/>
        </w:rPr>
        <mc:AlternateContent>
          <mc:Choice Requires="wpg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96520</wp:posOffset>
                </wp:positionV>
                <wp:extent cx="5633720" cy="2126615"/>
                <wp:effectExtent l="0" t="0" r="0" b="9525"/>
                <wp:wrapNone/>
                <wp:docPr id="1" name="组合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640" cy="2126520"/>
                          <a:chOff x="0" y="0"/>
                          <a:chExt cx="5633640" cy="2126520"/>
                        </a:xfrm>
                      </wpg:grpSpPr>
                      <wps:wsp>
                        <wps:cNvSpPr/>
                        <wps:spPr>
                          <a:xfrm>
                            <a:off x="0" y="2126520"/>
                            <a:ext cx="56336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FF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62800" y="0"/>
                            <a:ext cx="3383280" cy="704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000"/>
                                <w:jc w:val="center"/>
                                <w:rPr/>
                              </w:pPr>
                              <w:r>
                                <w:rPr>
                                  <w:rFonts w:ascii="方正小标宋简体" w:hAnsi="方正小标宋简体" w:eastAsia="方正小标宋简体" w:cs="Times New Roman" w:hint="eastAsia"/>
                                  <w:color w:val="FF0000"/>
                                  <w:kern w:val="2"/>
                                  <w:sz w:val="84"/>
                                  <w:szCs w:val="84"/>
                                  <w:lang w:bidi="ar-SA"/>
                                </w:rPr>
                                <w:t>会  议  纪  要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8" style="position:absolute;margin-left:-0.7pt;margin-top:7.6pt;width:443.55pt;height:167.4pt" coordorigin="-14,152" coordsize="8871,3348">
                <v:line id="shape_0" from="-14,3501" to="8857,3501" stroked="t" o:allowincell="f" style="position:absolute;mso-position-horizontal:center">
                  <v:stroke color="red" weight="19080" joinstyle="miter" endcap="flat"/>
                  <v:fill o:detectmouseclick="t" on="false"/>
                  <w10:wrap type="none"/>
                </v:lin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f" o:allowincell="f" style="position:absolute;left:1817;top:152;width:5327;height:1108;mso-wrap-style:non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1000"/>
                          <w:jc w:val="center"/>
                          <w:rPr/>
                        </w:pPr>
                        <w:r>
                          <w:rPr>
                            <w:rFonts w:ascii="方正小标宋简体" w:hAnsi="方正小标宋简体" w:eastAsia="方正小标宋简体" w:cs="Times New Roman" w:hint="eastAsia"/>
                            <w:color w:val="FF0000"/>
                            <w:kern w:val="2"/>
                            <w:sz w:val="84"/>
                            <w:szCs w:val="84"/>
                            <w:lang w:bidi="ar-SA"/>
                          </w:rPr>
                          <w:t>会  议  纪  要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lineRule="exact" w:line="576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76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76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长龙航空专题会纪〔</w:t>
      </w:r>
      <w:r>
        <w:rPr>
          <w:rFonts w:eastAsia="仿宋_GB2312" w:hint="eastAsia" w:ascii="仿宋_GB2312" w:hAnsi="仿宋_GB2312"/>
          <w:sz w:val="32"/>
          <w:szCs w:val="32"/>
        </w:rPr>
        <w:t>20</w:t>
      </w:r>
      <w:r>
        <w:rPr>
          <w:rFonts w:eastAsia="仿宋_GB2312" w:ascii="仿宋_GB2312" w:hAnsi="仿宋_GB2312"/>
          <w:sz w:val="32"/>
          <w:szCs w:val="32"/>
        </w:rPr>
        <w:t>26</w:t>
      </w:r>
      <w:r>
        <w:rPr>
          <w:rFonts w:ascii="仿宋_GB2312" w:hAnsi="仿宋_GB2312" w:hint="eastAsia" w:eastAsia="仿宋_GB2312"/>
          <w:sz w:val="32"/>
          <w:szCs w:val="32"/>
        </w:rPr>
        <w:t>〕</w:t>
      </w:r>
      <w:r>
        <w:rPr>
          <w:rFonts w:eastAsia="仿宋_GB2312" w:hint="eastAsia" w:ascii="仿宋_GB2312" w:hAnsi="仿宋_GB2312"/>
          <w:sz w:val="32"/>
          <w:szCs w:val="32"/>
        </w:rPr>
        <w:t>28</w:t>
      </w:r>
      <w:r>
        <w:rPr>
          <w:rFonts w:ascii="仿宋_GB2312" w:hAnsi="仿宋_GB2312" w:hint="eastAsia" w:eastAsia="仿宋_GB2312"/>
          <w:sz w:val="32"/>
          <w:szCs w:val="32"/>
        </w:rPr>
        <w:t>号</w:t>
      </w:r>
    </w:p>
    <w:p>
      <w:pPr>
        <w:pStyle w:val="Normal"/>
        <w:spacing w:lineRule="exact" w:line="576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76"/>
        <w:ind w:firstLineChars="1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 xml:space="preserve">浙江长龙航空股份有限公司 </w:t>
      </w:r>
      <w:r>
        <w:rPr>
          <w:rFonts w:ascii="仿宋_GB2312" w:hAnsi="仿宋_GB2312" w:eastAsia="仿宋_GB2312"/>
          <w:sz w:val="32"/>
          <w:szCs w:val="32"/>
        </w:rPr>
        <w:t xml:space="preserve">         </w:t>
      </w:r>
      <w:r>
        <w:rPr>
          <w:rFonts w:ascii="仿宋_GB2312" w:hAnsi="仿宋_GB2312" w:hint="eastAsia" w:eastAsia="仿宋_GB2312"/>
          <w:sz w:val="32"/>
          <w:szCs w:val="32"/>
        </w:rPr>
        <w:t xml:space="preserve">   </w:t>
      </w:r>
      <w:r>
        <w:rPr>
          <w:rFonts w:eastAsia="仿宋_GB2312" w:hint="eastAsia" w:ascii="仿宋_GB2312" w:hAnsi="仿宋_GB2312"/>
          <w:sz w:val="32"/>
          <w:szCs w:val="32"/>
        </w:rPr>
        <w:t>20</w:t>
      </w:r>
      <w:r>
        <w:rPr>
          <w:rFonts w:eastAsia="仿宋_GB2312" w:ascii="仿宋_GB2312" w:hAnsi="仿宋_GB2312"/>
          <w:sz w:val="32"/>
          <w:szCs w:val="32"/>
        </w:rPr>
        <w:t>2</w:t>
      </w:r>
      <w:r>
        <w:rPr>
          <w:rFonts w:eastAsia="仿宋_GB2312" w:hint="eastAsia" w:ascii="仿宋_GB2312" w:hAnsi="仿宋_GB2312"/>
          <w:sz w:val="32"/>
          <w:szCs w:val="32"/>
        </w:rPr>
        <w:t>6</w:t>
      </w:r>
      <w:r>
        <w:rPr>
          <w:rFonts w:ascii="仿宋_GB2312" w:hAnsi="仿宋_GB2312" w:hint="eastAsia" w:eastAsia="仿宋_GB2312"/>
          <w:sz w:val="32"/>
          <w:szCs w:val="32"/>
        </w:rPr>
        <w:t>年</w:t>
      </w:r>
      <w:r>
        <w:rPr>
          <w:rFonts w:eastAsia="仿宋_GB2312" w:hint="eastAsia" w:ascii="仿宋_GB2312" w:hAnsi="仿宋_GB2312"/>
          <w:sz w:val="32"/>
          <w:szCs w:val="32"/>
        </w:rPr>
        <w:t>6</w:t>
      </w:r>
      <w:r>
        <w:rPr>
          <w:rFonts w:ascii="仿宋_GB2312" w:hAnsi="仿宋_GB2312" w:hint="eastAsia" w:eastAsia="仿宋_GB2312"/>
          <w:sz w:val="32"/>
          <w:szCs w:val="32"/>
        </w:rPr>
        <w:t>月</w:t>
      </w:r>
      <w:r>
        <w:rPr>
          <w:rFonts w:eastAsia="仿宋_GB2312" w:hint="eastAsia" w:ascii="仿宋_GB2312" w:hAnsi="仿宋_GB2312"/>
          <w:sz w:val="32"/>
          <w:szCs w:val="32"/>
        </w:rPr>
        <w:t>3</w:t>
      </w:r>
      <w:r>
        <w:rPr>
          <w:rFonts w:ascii="仿宋_GB2312" w:hAnsi="仿宋_GB2312" w:hint="eastAsia" w:eastAsia="仿宋_GB2312"/>
          <w:sz w:val="32"/>
          <w:szCs w:val="32"/>
        </w:rPr>
        <w:t>日</w:t>
      </w:r>
    </w:p>
    <w:p>
      <w:pPr>
        <w:pStyle w:val="Normal"/>
        <w:spacing w:lineRule="exact" w:line="576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76"/>
        <w:rPr>
          <w:rFonts w:ascii="方正小标宋简体" w:hAnsi="方正小标宋简体" w:eastAsia="方正小标宋简体" w:cs="宋体" w:hint="eastAsia"/>
          <w:sz w:val="36"/>
          <w:szCs w:val="36"/>
        </w:rPr>
      </w:pPr>
      <w:r>
        <w:rPr>
          <w:rFonts w:eastAsia="方正小标宋简体" w:cs="宋体" w:hint="eastAsia" w:ascii="方正小标宋简体" w:hAnsi="方正小标宋简体"/>
          <w:sz w:val="36"/>
          <w:szCs w:val="36"/>
        </w:rPr>
      </w:r>
    </w:p>
    <w:p>
      <w:pPr>
        <w:pStyle w:val="Normal"/>
        <w:spacing w:lineRule="exact" w:line="576"/>
        <w:jc w:val="center"/>
        <w:rPr>
          <w:rFonts w:ascii="方正小标宋简体" w:hAnsi="方正小标宋简体" w:eastAsia="方正小标宋简体" w:cs="宋体" w:hint="eastAsia"/>
          <w:sz w:val="44"/>
          <w:szCs w:val="44"/>
        </w:rPr>
      </w:pPr>
      <w:r>
        <w:rPr>
          <w:rFonts w:ascii="方正小标宋简体" w:hAnsi="方正小标宋简体" w:cs="宋体" w:hint="eastAsia" w:eastAsia="方正小标宋简体"/>
          <w:sz w:val="44"/>
          <w:szCs w:val="44"/>
        </w:rPr>
        <w:t>长龙航空</w:t>
      </w:r>
      <w:r>
        <w:rPr>
          <w:rFonts w:eastAsia="方正小标宋简体" w:cs="宋体" w:hint="eastAsia" w:ascii="方正小标宋简体" w:hAnsi="方正小标宋简体"/>
          <w:sz w:val="44"/>
          <w:szCs w:val="44"/>
        </w:rPr>
        <w:t>AI+</w:t>
      </w:r>
      <w:r>
        <w:rPr>
          <w:rFonts w:ascii="方正小标宋简体" w:hAnsi="方正小标宋简体" w:cs="宋体" w:hint="eastAsia" w:eastAsia="方正小标宋简体"/>
          <w:sz w:val="44"/>
          <w:szCs w:val="44"/>
        </w:rPr>
        <w:t>战略宣贯与实施路线共识会议</w:t>
      </w:r>
    </w:p>
    <w:p>
      <w:pPr>
        <w:pStyle w:val="Normal"/>
        <w:spacing w:lineRule="exact" w:line="576"/>
        <w:jc w:val="center"/>
        <w:rPr>
          <w:rFonts w:ascii="方正小标宋简体" w:hAnsi="方正小标宋简体" w:eastAsia="方正小标宋简体" w:cs="宋体" w:hint="eastAsia"/>
          <w:sz w:val="44"/>
          <w:szCs w:val="44"/>
        </w:rPr>
      </w:pPr>
      <w:r>
        <w:rPr>
          <w:rFonts w:ascii="方正小标宋简体" w:hAnsi="方正小标宋简体" w:cs="宋体" w:hint="eastAsia" w:eastAsia="方正小标宋简体"/>
          <w:sz w:val="44"/>
          <w:szCs w:val="44"/>
        </w:rPr>
        <w:t>会议纪要</w:t>
      </w:r>
    </w:p>
    <w:p>
      <w:pPr>
        <w:pStyle w:val="Normal"/>
        <w:spacing w:lineRule="exact" w:line="576"/>
        <w:rPr>
          <w:rFonts w:ascii="方正小标宋简体" w:hAnsi="方正小标宋简体" w:eastAsia="方正小标宋简体" w:cs="宋体" w:hint="eastAsia"/>
          <w:sz w:val="44"/>
          <w:szCs w:val="44"/>
        </w:rPr>
      </w:pPr>
      <w:r>
        <w:rPr>
          <w:rFonts w:eastAsia="方正小标宋简体" w:cs="宋体" w:hint="eastAsia" w:ascii="方正小标宋简体" w:hAnsi="方正小标宋简体"/>
          <w:sz w:val="44"/>
          <w:szCs w:val="44"/>
        </w:rPr>
      </w:r>
    </w:p>
    <w:p>
      <w:pPr>
        <w:pStyle w:val="Normal"/>
        <w:snapToGrid w:val="false"/>
        <w:spacing w:lineRule="exact" w:line="576"/>
        <w:ind w:firstLine="645" w:start="-11" w:end="0"/>
        <w:rPr>
          <w:rFonts w:ascii="仿宋_GB2312" w:hAnsi="仿宋_GB2312" w:eastAsia="仿宋_GB2312" w:hint="eastAsia"/>
          <w:sz w:val="32"/>
        </w:rPr>
      </w:pPr>
      <w:r>
        <w:rPr>
          <w:rFonts w:eastAsia="仿宋_GB2312" w:hint="eastAsia" w:ascii="仿宋_GB2312" w:hAnsi="仿宋_GB2312"/>
          <w:sz w:val="32"/>
        </w:rPr>
        <w:t>2026</w:t>
      </w:r>
      <w:r>
        <w:rPr>
          <w:rFonts w:ascii="仿宋_GB2312" w:hAnsi="仿宋_GB2312" w:hint="eastAsia" w:eastAsia="仿宋_GB2312"/>
          <w:sz w:val="32"/>
        </w:rPr>
        <w:t>年</w:t>
      </w:r>
      <w:r>
        <w:rPr>
          <w:rFonts w:eastAsia="仿宋_GB2312" w:hint="eastAsia" w:ascii="仿宋_GB2312" w:hAnsi="仿宋_GB2312"/>
          <w:sz w:val="32"/>
        </w:rPr>
        <w:t>6</w:t>
      </w:r>
      <w:r>
        <w:rPr>
          <w:rFonts w:ascii="仿宋_GB2312" w:hAnsi="仿宋_GB2312" w:hint="eastAsia" w:eastAsia="仿宋_GB2312"/>
          <w:sz w:val="32"/>
        </w:rPr>
        <w:t>月</w:t>
      </w:r>
      <w:r>
        <w:rPr>
          <w:rFonts w:eastAsia="仿宋_GB2312" w:hint="eastAsia" w:ascii="仿宋_GB2312" w:hAnsi="仿宋_GB2312"/>
          <w:sz w:val="32"/>
        </w:rPr>
        <w:t>3</w:t>
      </w:r>
      <w:r>
        <w:rPr>
          <w:rFonts w:ascii="仿宋_GB2312" w:hAnsi="仿宋_GB2312" w:hint="eastAsia" w:eastAsia="仿宋_GB2312"/>
          <w:sz w:val="32"/>
        </w:rPr>
        <w:t>日，长龙航空召开</w:t>
      </w:r>
      <w:r>
        <w:rPr>
          <w:rFonts w:eastAsia="仿宋_GB2312" w:hint="eastAsia" w:ascii="仿宋_GB2312" w:hAnsi="仿宋_GB2312"/>
          <w:sz w:val="32"/>
        </w:rPr>
        <w:t>AI+</w:t>
      </w:r>
      <w:r>
        <w:rPr>
          <w:rFonts w:ascii="仿宋_GB2312" w:hAnsi="仿宋_GB2312" w:hint="eastAsia" w:eastAsia="仿宋_GB2312"/>
          <w:sz w:val="32"/>
        </w:rPr>
        <w:t>战略宣贯与实施路线共识会议。会议由长龙航空首席信息官李赫主持，长龙航空董事长刘启宏、长龙航空核心管理层、公司高管及各部门总经理、数科公司全体管理干部参加会议。会议纪要如下：</w:t>
      </w:r>
    </w:p>
    <w:p>
      <w:pPr>
        <w:pStyle w:val="Normal"/>
        <w:snapToGrid w:val="false"/>
        <w:spacing w:lineRule="exact" w:line="576"/>
        <w:ind w:firstLineChars="200" w:startChars="0" w:start="0" w:endChars="0" w:end="0"/>
        <w:rPr>
          <w:rFonts w:ascii="黑体" w:hAnsi="黑体" w:eastAsia="黑体" w:hint="eastAsia"/>
          <w:sz w:val="32"/>
        </w:rPr>
      </w:pPr>
      <w:r>
        <w:rPr>
          <w:rFonts w:ascii="黑体" w:hAnsi="黑体" w:hint="eastAsia" w:eastAsia="黑体"/>
          <w:sz w:val="32"/>
        </w:rPr>
        <w:t>一、会议内容</w:t>
      </w:r>
    </w:p>
    <w:p>
      <w:pPr>
        <w:pStyle w:val="Normal"/>
        <w:snapToGrid w:val="false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</w:rPr>
      </w:pPr>
      <w:r>
        <w:rPr>
          <w:rFonts w:ascii="仿宋_GB2312" w:hAnsi="仿宋_GB2312" w:hint="eastAsia" w:eastAsia="仿宋_GB2312"/>
          <w:sz w:val="32"/>
        </w:rPr>
        <w:t>本次会议</w:t>
      </w:r>
      <w:r>
        <w:rPr>
          <w:rFonts w:ascii="仿宋_GB2312" w:hAnsi="仿宋_GB2312" w:eastAsia="仿宋_GB2312"/>
          <w:sz w:val="32"/>
        </w:rPr>
        <w:t>深度</w:t>
      </w:r>
      <w:r>
        <w:rPr>
          <w:rFonts w:ascii="仿宋_GB2312" w:hAnsi="仿宋_GB2312" w:hint="eastAsia" w:eastAsia="仿宋_GB2312"/>
          <w:sz w:val="32"/>
        </w:rPr>
        <w:t>解读了民航局前期发布的《关于推动“人工智能</w:t>
      </w:r>
      <w:r>
        <w:rPr>
          <w:rFonts w:eastAsia="仿宋_GB2312" w:hint="eastAsia" w:ascii="仿宋_GB2312" w:hAnsi="仿宋_GB2312"/>
          <w:sz w:val="32"/>
        </w:rPr>
        <w:t>+</w:t>
      </w:r>
      <w:r>
        <w:rPr>
          <w:rFonts w:ascii="仿宋_GB2312" w:hAnsi="仿宋_GB2312" w:hint="eastAsia" w:eastAsia="仿宋_GB2312"/>
          <w:sz w:val="32"/>
        </w:rPr>
        <w:t>民航”高质量发展的实施意见》相关文件，并</w:t>
      </w:r>
      <w:r>
        <w:rPr>
          <w:rFonts w:ascii="仿宋_GB2312" w:hAnsi="仿宋_GB2312" w:eastAsia="仿宋_GB2312"/>
          <w:sz w:val="32"/>
        </w:rPr>
        <w:t>结合长龙</w:t>
      </w:r>
      <w:r>
        <w:rPr>
          <w:rFonts w:ascii="仿宋_GB2312" w:hAnsi="仿宋_GB2312" w:hint="eastAsia" w:eastAsia="仿宋_GB2312"/>
          <w:sz w:val="32"/>
        </w:rPr>
        <w:t>航空当前数字化建设、</w:t>
      </w:r>
      <w:r>
        <w:rPr>
          <w:rFonts w:eastAsia="仿宋_GB2312" w:hint="eastAsia" w:ascii="仿宋_GB2312" w:hAnsi="仿宋_GB2312"/>
          <w:sz w:val="32"/>
        </w:rPr>
        <w:t>AI</w:t>
      </w:r>
      <w:r>
        <w:rPr>
          <w:rFonts w:ascii="仿宋_GB2312" w:hAnsi="仿宋_GB2312" w:hint="eastAsia" w:eastAsia="仿宋_GB2312"/>
          <w:sz w:val="32"/>
        </w:rPr>
        <w:t>应用实践、“长龙云五端”战略布局现状</w:t>
      </w:r>
      <w:r>
        <w:rPr>
          <w:rFonts w:ascii="仿宋_GB2312" w:hAnsi="仿宋_GB2312" w:eastAsia="仿宋_GB2312"/>
          <w:sz w:val="32"/>
        </w:rPr>
        <w:t>和</w:t>
      </w:r>
      <w:r>
        <w:rPr>
          <w:rFonts w:ascii="仿宋_GB2312" w:hAnsi="仿宋_GB2312" w:hint="eastAsia" w:eastAsia="仿宋_GB2312"/>
          <w:sz w:val="32"/>
        </w:rPr>
        <w:t>实践应用成熟度，进一步明确了公司在</w:t>
      </w:r>
      <w:r>
        <w:rPr>
          <w:rFonts w:eastAsia="仿宋_GB2312" w:hint="eastAsia" w:ascii="仿宋_GB2312" w:hAnsi="仿宋_GB2312"/>
          <w:sz w:val="32"/>
        </w:rPr>
        <w:t>12</w:t>
      </w:r>
      <w:r>
        <w:rPr>
          <w:rFonts w:ascii="仿宋_GB2312" w:hAnsi="仿宋_GB2312" w:hint="eastAsia" w:eastAsia="仿宋_GB2312"/>
          <w:sz w:val="32"/>
        </w:rPr>
        <w:t>个核心场景中的发展任务。长龙云各端汇报了当前在数据基础、系统建设、</w:t>
      </w:r>
      <w:r>
        <w:rPr>
          <w:rFonts w:eastAsia="仿宋_GB2312" w:hint="eastAsia" w:ascii="仿宋_GB2312" w:hAnsi="仿宋_GB2312"/>
          <w:sz w:val="32"/>
        </w:rPr>
        <w:t>AI</w:t>
      </w:r>
      <w:r>
        <w:rPr>
          <w:rFonts w:ascii="仿宋_GB2312" w:hAnsi="仿宋_GB2312" w:hint="eastAsia" w:eastAsia="仿宋_GB2312"/>
          <w:sz w:val="32"/>
        </w:rPr>
        <w:t>模型应用等方面的现状与不足，并提出了分阶段的实施计划。会议强调必须以全局视角推进</w:t>
      </w:r>
      <w:r>
        <w:rPr>
          <w:rFonts w:eastAsia="仿宋_GB2312" w:hint="eastAsia" w:ascii="仿宋_GB2312" w:hAnsi="仿宋_GB2312"/>
          <w:sz w:val="32"/>
        </w:rPr>
        <w:t>AI</w:t>
      </w:r>
      <w:r>
        <w:rPr>
          <w:rFonts w:ascii="仿宋_GB2312" w:hAnsi="仿宋_GB2312" w:hint="eastAsia" w:eastAsia="仿宋_GB2312"/>
          <w:sz w:val="32"/>
        </w:rPr>
        <w:t>战略，打破信息孤岛，强化跨部门协同，推动数据贯通与业务闭环，确保</w:t>
      </w:r>
      <w:r>
        <w:rPr>
          <w:rFonts w:eastAsia="仿宋_GB2312" w:hint="eastAsia" w:ascii="仿宋_GB2312" w:hAnsi="仿宋_GB2312"/>
          <w:sz w:val="32"/>
        </w:rPr>
        <w:t>AI</w:t>
      </w:r>
      <w:r>
        <w:rPr>
          <w:rFonts w:ascii="仿宋_GB2312" w:hAnsi="仿宋_GB2312" w:hint="eastAsia" w:eastAsia="仿宋_GB2312"/>
          <w:sz w:val="32"/>
        </w:rPr>
        <w:t>应用真正落地见效。</w:t>
      </w:r>
    </w:p>
    <w:p>
      <w:pPr>
        <w:pStyle w:val="Normal"/>
        <w:snapToGrid w:val="false"/>
        <w:spacing w:lineRule="exact" w:line="576"/>
        <w:ind w:firstLineChars="200" w:startChars="0" w:start="0" w:endChars="0" w:end="0"/>
        <w:rPr>
          <w:rFonts w:ascii="黑体" w:hAnsi="黑体" w:eastAsia="黑体" w:hint="eastAsia"/>
          <w:sz w:val="32"/>
        </w:rPr>
      </w:pPr>
      <w:r>
        <w:rPr>
          <w:rFonts w:ascii="黑体" w:hAnsi="黑体" w:hint="eastAsia" w:eastAsia="黑体"/>
          <w:sz w:val="32"/>
        </w:rPr>
        <w:t>二、会议要求</w:t>
      </w:r>
    </w:p>
    <w:p>
      <w:pPr>
        <w:pStyle w:val="Normal"/>
        <w:snapToGrid w:val="false"/>
        <w:spacing w:lineRule="exact" w:line="576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</w:rPr>
      </w:pPr>
      <w:r>
        <w:rPr>
          <w:rFonts w:ascii="仿宋_GB2312" w:hAnsi="仿宋_GB2312" w:cs="仿宋_GB2312" w:hint="eastAsia" w:eastAsia="仿宋_GB2312"/>
          <w:sz w:val="32"/>
        </w:rPr>
        <w:t>刘启宏董事长指出，</w:t>
      </w:r>
      <w:r>
        <w:rPr>
          <w:rFonts w:eastAsia="仿宋_GB2312" w:cs="仿宋_GB2312" w:hint="eastAsia" w:ascii="仿宋_GB2312" w:hAnsi="仿宋_GB2312"/>
          <w:sz w:val="32"/>
        </w:rPr>
        <w:t>AI</w:t>
      </w:r>
      <w:r>
        <w:rPr>
          <w:rFonts w:ascii="仿宋_GB2312" w:hAnsi="仿宋_GB2312" w:cs="仿宋_GB2312" w:hint="eastAsia" w:eastAsia="仿宋_GB2312"/>
          <w:sz w:val="32"/>
        </w:rPr>
        <w:t>不是数科单一部门事项，而是长龙航空全员、全业务线必须共同推进的战略任务。会议明确以下要求：</w:t>
      </w:r>
    </w:p>
    <w:p>
      <w:pPr>
        <w:pStyle w:val="Normal"/>
        <w:snapToGrid w:val="false"/>
        <w:spacing w:lineRule="exact" w:line="576"/>
        <w:ind w:firstLineChars="200" w:startChars="0" w:start="0" w:endChars="0" w:end="0"/>
        <w:rPr>
          <w:rFonts w:ascii="楷体_GB2312" w:hAnsi="楷体_GB2312" w:eastAsia="楷体_GB2312" w:cs="楷体_GB2312" w:hint="eastAsia"/>
          <w:b/>
          <w:bCs/>
          <w:sz w:val="32"/>
        </w:rPr>
      </w:pPr>
      <w:r>
        <w:rPr>
          <w:rFonts w:ascii="楷体_GB2312" w:hAnsi="楷体_GB2312" w:cs="楷体_GB2312" w:hint="eastAsia" w:eastAsia="楷体_GB2312"/>
          <w:b/>
          <w:bCs/>
          <w:sz w:val="32"/>
        </w:rPr>
        <w:t xml:space="preserve">（一） </w:t>
      </w:r>
      <w:r>
        <w:rPr>
          <w:rFonts w:ascii="楷体_GB2312" w:hAnsi="楷体_GB2312" w:cs="楷体_GB2312" w:eastAsia="楷体_GB2312"/>
          <w:b/>
          <w:bCs/>
          <w:sz w:val="32"/>
        </w:rPr>
        <w:t>思想学习方面</w:t>
      </w:r>
    </w:p>
    <w:p>
      <w:pPr>
        <w:pStyle w:val="Normal"/>
        <w:snapToGrid w:val="false"/>
        <w:spacing w:lineRule="exact" w:line="576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</w:rPr>
      </w:pPr>
      <w:r>
        <w:rPr>
          <w:rFonts w:ascii="仿宋_GB2312" w:hAnsi="仿宋_GB2312" w:cs="仿宋_GB2312" w:hint="eastAsia" w:eastAsia="仿宋_GB2312"/>
          <w:sz w:val="32"/>
        </w:rPr>
        <w:t>各级管理人员、各部门要学透学实《关于推动“人工智能</w:t>
      </w:r>
      <w:r>
        <w:rPr>
          <w:rFonts w:eastAsia="仿宋_GB2312" w:cs="仿宋_GB2312" w:hint="eastAsia" w:ascii="仿宋_GB2312" w:hAnsi="仿宋_GB2312"/>
          <w:sz w:val="32"/>
        </w:rPr>
        <w:t>+</w:t>
      </w:r>
      <w:r>
        <w:rPr>
          <w:rFonts w:ascii="仿宋_GB2312" w:hAnsi="仿宋_GB2312" w:cs="仿宋_GB2312" w:hint="eastAsia" w:eastAsia="仿宋_GB2312"/>
          <w:sz w:val="32"/>
        </w:rPr>
        <w:t>民航”高质量发展的实施意见》相关文件，充分认识智能化转型对公司提质增效、创新发展的重要意义。综合部负责统一下发文件，组织全体员工专题研读，确保学深悟透，夯实全员智能化发展的思想基础。</w:t>
      </w:r>
    </w:p>
    <w:p>
      <w:pPr>
        <w:pStyle w:val="Normal"/>
        <w:numPr>
          <w:ilvl w:val="0"/>
          <w:numId w:val="1"/>
        </w:numPr>
        <w:snapToGrid w:val="false"/>
        <w:spacing w:lineRule="exact" w:line="576"/>
        <w:ind w:firstLineChars="200" w:startChars="0" w:start="0" w:endChars="0" w:end="0"/>
        <w:rPr>
          <w:rFonts w:ascii="楷体_GB2312" w:hAnsi="楷体_GB2312" w:eastAsia="楷体_GB2312" w:cs="楷体_GB2312" w:hint="eastAsia"/>
          <w:b/>
          <w:bCs/>
          <w:sz w:val="32"/>
        </w:rPr>
      </w:pPr>
      <w:r>
        <w:rPr>
          <w:rFonts w:ascii="楷体_GB2312" w:hAnsi="楷体_GB2312" w:cs="楷体_GB2312" w:eastAsia="楷体_GB2312"/>
          <w:b/>
          <w:bCs/>
          <w:sz w:val="32"/>
        </w:rPr>
        <w:t>规划实施方面</w:t>
      </w:r>
    </w:p>
    <w:p>
      <w:pPr>
        <w:pStyle w:val="Normal"/>
        <w:snapToGrid w:val="false"/>
        <w:spacing w:lineRule="exact" w:line="576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</w:rPr>
      </w:pPr>
      <w:r>
        <w:rPr>
          <w:rFonts w:ascii="仿宋_GB2312" w:hAnsi="仿宋_GB2312" w:cs="仿宋_GB2312" w:eastAsia="仿宋_GB2312"/>
          <w:sz w:val="32"/>
        </w:rPr>
        <w:t>数科公司要系统性布局，各部门协同推进。要</w:t>
      </w:r>
      <w:r>
        <w:rPr>
          <w:rFonts w:ascii="仿宋_GB2312" w:hAnsi="仿宋_GB2312" w:cs="仿宋_GB2312" w:hint="eastAsia" w:eastAsia="仿宋_GB2312"/>
          <w:sz w:val="32"/>
        </w:rPr>
        <w:t>建立“按月推进、按季滚动、半年复盘”的项目看板。各部门须</w:t>
      </w:r>
      <w:r>
        <w:rPr>
          <w:rFonts w:ascii="仿宋_GB2312" w:hAnsi="仿宋_GB2312" w:cs="仿宋_GB2312" w:eastAsia="仿宋_GB2312"/>
          <w:sz w:val="32"/>
        </w:rPr>
        <w:t>结合具体场景和成熟度，</w:t>
      </w:r>
      <w:r>
        <w:rPr>
          <w:rFonts w:ascii="仿宋_GB2312" w:hAnsi="仿宋_GB2312" w:cs="仿宋_GB2312" w:hint="eastAsia" w:eastAsia="仿宋_GB2312"/>
          <w:sz w:val="32"/>
        </w:rPr>
        <w:t>制定</w:t>
      </w:r>
      <w:r>
        <w:rPr>
          <w:rFonts w:eastAsia="仿宋_GB2312" w:cs="仿宋_GB2312" w:hint="eastAsia" w:ascii="仿宋_GB2312" w:hAnsi="仿宋_GB2312"/>
          <w:sz w:val="32"/>
        </w:rPr>
        <w:t>AI+</w:t>
      </w:r>
      <w:r>
        <w:rPr>
          <w:rFonts w:ascii="仿宋_GB2312" w:hAnsi="仿宋_GB2312" w:cs="仿宋_GB2312" w:hint="eastAsia" w:eastAsia="仿宋_GB2312"/>
          <w:sz w:val="32"/>
        </w:rPr>
        <w:t>行动计划，于本周内提交</w:t>
      </w:r>
      <w:r>
        <w:rPr>
          <w:rFonts w:ascii="仿宋_GB2312" w:hAnsi="仿宋_GB2312" w:cs="仿宋_GB2312" w:eastAsia="仿宋_GB2312"/>
          <w:sz w:val="32"/>
        </w:rPr>
        <w:t>，</w:t>
      </w:r>
      <w:r>
        <w:rPr>
          <w:rFonts w:ascii="仿宋_GB2312" w:hAnsi="仿宋_GB2312" w:cs="仿宋_GB2312" w:hint="eastAsia" w:eastAsia="仿宋_GB2312"/>
          <w:sz w:val="32"/>
        </w:rPr>
        <w:t>计划内容需包括：对标场景、项目目标、年度目标及阶段成果。</w:t>
      </w:r>
    </w:p>
    <w:p>
      <w:pPr>
        <w:pStyle w:val="Normal"/>
        <w:numPr>
          <w:ilvl w:val="0"/>
          <w:numId w:val="1"/>
        </w:numPr>
        <w:snapToGrid w:val="false"/>
        <w:spacing w:lineRule="exact" w:line="576"/>
        <w:ind w:firstLineChars="200" w:startChars="0" w:start="0" w:endChars="0" w:end="0"/>
        <w:rPr>
          <w:rFonts w:ascii="楷体_GB2312" w:hAnsi="楷体_GB2312" w:eastAsia="楷体_GB2312" w:cs="楷体_GB2312" w:hint="eastAsia"/>
          <w:b/>
          <w:bCs/>
          <w:sz w:val="32"/>
        </w:rPr>
      </w:pPr>
      <w:r>
        <w:rPr>
          <w:rFonts w:ascii="楷体_GB2312" w:hAnsi="楷体_GB2312" w:cs="楷体_GB2312" w:eastAsia="楷体_GB2312"/>
          <w:b/>
          <w:bCs/>
          <w:sz w:val="32"/>
        </w:rPr>
        <w:t>组织保障方面</w:t>
      </w:r>
    </w:p>
    <w:p>
      <w:pPr>
        <w:pStyle w:val="Normal"/>
        <w:snapToGrid w:val="false"/>
        <w:spacing w:lineRule="exact" w:line="576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</w:rPr>
      </w:pPr>
      <w:r>
        <w:rPr>
          <w:rFonts w:ascii="仿宋_GB2312" w:hAnsi="仿宋_GB2312" w:cs="仿宋_GB2312" w:eastAsia="仿宋_GB2312"/>
          <w:sz w:val="32"/>
        </w:rPr>
        <w:t>将</w:t>
      </w:r>
      <w:r>
        <w:rPr>
          <w:rFonts w:ascii="仿宋_GB2312" w:hAnsi="仿宋_GB2312" w:cs="仿宋_GB2312" w:hint="eastAsia" w:eastAsia="仿宋_GB2312"/>
          <w:sz w:val="32"/>
        </w:rPr>
        <w:t>人工智能应用纳入公司考核体系。考核工作由总裁王宏牵头、</w:t>
      </w:r>
      <w:r>
        <w:rPr>
          <w:rFonts w:ascii="仿宋_GB2312" w:hAnsi="仿宋_GB2312" w:cs="仿宋_GB2312" w:eastAsia="仿宋_GB2312"/>
          <w:sz w:val="32"/>
        </w:rPr>
        <w:t>首席信息官</w:t>
      </w:r>
      <w:r>
        <w:rPr>
          <w:rFonts w:ascii="仿宋_GB2312" w:hAnsi="仿宋_GB2312" w:cs="仿宋_GB2312" w:hint="eastAsia" w:eastAsia="仿宋_GB2312"/>
          <w:sz w:val="32"/>
        </w:rPr>
        <w:t>李赫协同推进，数科公司与人力资源部共同制定</w:t>
      </w:r>
      <w:r>
        <w:rPr>
          <w:rFonts w:eastAsia="仿宋_GB2312" w:cs="仿宋_GB2312" w:hint="eastAsia" w:ascii="仿宋_GB2312" w:hAnsi="仿宋_GB2312"/>
          <w:sz w:val="32"/>
        </w:rPr>
        <w:t>AI+</w:t>
      </w:r>
      <w:r>
        <w:rPr>
          <w:rFonts w:ascii="仿宋_GB2312" w:hAnsi="仿宋_GB2312" w:cs="仿宋_GB2312" w:eastAsia="仿宋_GB2312"/>
          <w:sz w:val="32"/>
        </w:rPr>
        <w:t>应用</w:t>
      </w:r>
      <w:r>
        <w:rPr>
          <w:rFonts w:ascii="仿宋_GB2312" w:hAnsi="仿宋_GB2312" w:cs="仿宋_GB2312" w:hint="eastAsia" w:eastAsia="仿宋_GB2312"/>
          <w:sz w:val="32"/>
        </w:rPr>
        <w:t>考核的具体思路和办法。</w:t>
      </w:r>
    </w:p>
    <w:p>
      <w:pPr>
        <w:pStyle w:val="Normal"/>
        <w:numPr>
          <w:ilvl w:val="0"/>
          <w:numId w:val="2"/>
        </w:numPr>
        <w:snapToGrid w:val="false"/>
        <w:spacing w:lineRule="exact" w:line="576"/>
        <w:ind w:firstLineChars="200" w:startChars="0" w:start="0" w:endChars="0" w:end="0"/>
        <w:rPr>
          <w:rFonts w:ascii="黑体" w:hAnsi="黑体" w:eastAsia="黑体" w:hint="eastAsia"/>
          <w:sz w:val="32"/>
        </w:rPr>
      </w:pPr>
      <w:r>
        <w:rPr>
          <w:rFonts w:ascii="黑体" w:hAnsi="黑体" w:hint="eastAsia" w:eastAsia="黑体"/>
          <w:sz w:val="32"/>
        </w:rPr>
        <w:t>督办</w:t>
      </w:r>
    </w:p>
    <w:tbl>
      <w:tblPr>
        <w:tblW w:w="90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0"/>
        <w:gridCol w:w="1793"/>
        <w:gridCol w:w="1563"/>
        <w:gridCol w:w="1250"/>
        <w:gridCol w:w="3655"/>
      </w:tblGrid>
      <w:tr>
        <w:trPr>
          <w:trHeight w:val="494" w:hRule="atLeast"/>
        </w:trPr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黑体" w:hAnsi="黑体" w:eastAsia="黑体" w:cs="黑体" w:hint="eastAsia"/>
                <w:sz w:val="22"/>
                <w:szCs w:val="32"/>
              </w:rPr>
            </w:pPr>
            <w:r>
              <w:rPr>
                <w:rFonts w:ascii="黑体" w:hAnsi="黑体" w:cs="黑体" w:hint="eastAsia" w:eastAsia="黑体"/>
                <w:sz w:val="22"/>
                <w:szCs w:val="32"/>
              </w:rPr>
              <w:t>序号</w:t>
            </w:r>
          </w:p>
        </w:tc>
        <w:tc>
          <w:tcPr>
            <w:tcW w:w="1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黑体" w:hAnsi="黑体" w:eastAsia="黑体" w:cs="黑体" w:hint="eastAsia"/>
                <w:sz w:val="22"/>
                <w:szCs w:val="32"/>
              </w:rPr>
            </w:pPr>
            <w:r>
              <w:rPr>
                <w:rFonts w:ascii="黑体" w:hAnsi="黑体" w:cs="黑体" w:hint="eastAsia" w:eastAsia="黑体"/>
                <w:sz w:val="22"/>
                <w:szCs w:val="32"/>
              </w:rPr>
              <w:t>决定及督办事项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黑体" w:hAnsi="黑体" w:eastAsia="黑体" w:cs="黑体" w:hint="eastAsia"/>
                <w:sz w:val="22"/>
                <w:szCs w:val="32"/>
              </w:rPr>
            </w:pPr>
            <w:r>
              <w:rPr>
                <w:rFonts w:ascii="黑体" w:hAnsi="黑体" w:cs="黑体" w:hint="eastAsia" w:eastAsia="黑体"/>
                <w:sz w:val="22"/>
                <w:szCs w:val="32"/>
              </w:rPr>
              <w:t>完成时限</w:t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黑体" w:hAnsi="黑体" w:eastAsia="黑体" w:cs="黑体" w:hint="eastAsia"/>
                <w:sz w:val="22"/>
                <w:szCs w:val="32"/>
              </w:rPr>
            </w:pPr>
            <w:r>
              <w:rPr>
                <w:rFonts w:ascii="黑体" w:hAnsi="黑体" w:cs="黑体" w:hint="eastAsia" w:eastAsia="黑体"/>
                <w:sz w:val="22"/>
                <w:szCs w:val="32"/>
              </w:rPr>
              <w:t>责任人</w:t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黑体" w:hAnsi="黑体" w:eastAsia="黑体" w:cs="黑体" w:hint="eastAsia"/>
                <w:sz w:val="22"/>
                <w:szCs w:val="32"/>
              </w:rPr>
            </w:pPr>
            <w:r>
              <w:rPr>
                <w:rFonts w:ascii="黑体" w:hAnsi="黑体" w:cs="黑体" w:hint="eastAsia" w:eastAsia="黑体"/>
                <w:sz w:val="22"/>
                <w:szCs w:val="32"/>
              </w:rPr>
              <w:t>落实计划及具体措施</w:t>
            </w:r>
          </w:p>
        </w:tc>
      </w:tr>
      <w:tr>
        <w:trPr>
          <w:trHeight w:val="1250" w:hRule="atLeast"/>
        </w:trPr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210" w:leader="none"/>
                <w:tab w:val="center" w:pos="327" w:leader="none"/>
              </w:tabs>
              <w:spacing w:lineRule="exact" w:line="300"/>
              <w:jc w:val="start"/>
              <w:rPr>
                <w:rFonts w:ascii="仿宋_GB2312" w:hAnsi="仿宋_GB2312" w:eastAsia="仿宋_GB2312" w:cs="Calibri" w:hint="eastAsia"/>
                <w:sz w:val="22"/>
                <w:szCs w:val="32"/>
              </w:rPr>
            </w:pPr>
            <w:r>
              <w:rPr>
                <w:rFonts w:eastAsia="仿宋_GB2312" w:cs="Calibri" w:hint="eastAsia" w:ascii="仿宋_GB2312" w:hAnsi="仿宋_GB2312"/>
                <w:sz w:val="22"/>
                <w:szCs w:val="32"/>
              </w:rPr>
              <w:tab/>
              <w:tab/>
              <w:t>1</w:t>
            </w:r>
          </w:p>
        </w:tc>
        <w:tc>
          <w:tcPr>
            <w:tcW w:w="1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仿宋_GB2312" w:hAnsi="仿宋_GB2312" w:eastAsia="仿宋_GB2312" w:cs="Calibri"/>
                <w:sz w:val="22"/>
                <w:szCs w:val="32"/>
              </w:rPr>
            </w:pPr>
            <w:r>
              <w:rPr>
                <w:rFonts w:ascii="仿宋_GB2312" w:hAnsi="仿宋_GB2312" w:cs="Calibri" w:hint="eastAsia" w:eastAsia="仿宋_GB2312"/>
                <w:sz w:val="22"/>
                <w:szCs w:val="32"/>
              </w:rPr>
              <w:t>提交</w:t>
            </w:r>
            <w:r>
              <w:rPr>
                <w:rFonts w:eastAsia="仿宋_GB2312" w:cs="Calibri" w:hint="eastAsia" w:ascii="仿宋_GB2312" w:hAnsi="仿宋_GB2312"/>
                <w:sz w:val="22"/>
                <w:szCs w:val="32"/>
              </w:rPr>
              <w:t>AI+</w:t>
            </w:r>
            <w:r>
              <w:rPr>
                <w:rFonts w:ascii="仿宋_GB2312" w:hAnsi="仿宋_GB2312" w:cs="Calibri" w:hint="eastAsia" w:eastAsia="仿宋_GB2312"/>
                <w:sz w:val="22"/>
                <w:szCs w:val="32"/>
              </w:rPr>
              <w:t>行动计划</w:t>
            </w:r>
            <w:r>
              <w:rPr>
                <w:rFonts w:ascii="仿宋_GB2312" w:hAnsi="仿宋_GB2312" w:cs="Calibri" w:eastAsia="仿宋_GB2312"/>
                <w:sz w:val="22"/>
                <w:szCs w:val="32"/>
              </w:rPr>
              <w:t>和考核方案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仿宋_GB2312" w:hAnsi="仿宋_GB2312" w:eastAsia="仿宋_GB2312" w:cs="Calibri"/>
                <w:sz w:val="22"/>
                <w:szCs w:val="32"/>
              </w:rPr>
            </w:pPr>
            <w:r>
              <w:rPr>
                <w:rFonts w:eastAsia="仿宋_GB2312" w:cs="Calibri" w:hint="eastAsia" w:ascii="仿宋_GB2312" w:hAnsi="仿宋_GB2312"/>
                <w:sz w:val="22"/>
                <w:szCs w:val="32"/>
              </w:rPr>
              <w:t>6</w:t>
            </w:r>
            <w:r>
              <w:rPr>
                <w:rFonts w:ascii="仿宋_GB2312" w:hAnsi="仿宋_GB2312" w:cs="Calibri" w:hint="eastAsia" w:eastAsia="仿宋_GB2312"/>
                <w:sz w:val="22"/>
                <w:szCs w:val="32"/>
              </w:rPr>
              <w:t>月</w:t>
            </w:r>
            <w:r>
              <w:rPr>
                <w:rFonts w:eastAsia="仿宋_GB2312" w:cs="Calibri" w:hint="eastAsia" w:ascii="仿宋_GB2312" w:hAnsi="仿宋_GB2312"/>
                <w:sz w:val="22"/>
                <w:szCs w:val="32"/>
              </w:rPr>
              <w:t>5</w:t>
            </w:r>
            <w:r>
              <w:rPr>
                <w:rFonts w:ascii="仿宋_GB2312" w:hAnsi="仿宋_GB2312" w:cs="Calibri" w:hint="eastAsia" w:eastAsia="仿宋_GB2312"/>
                <w:sz w:val="22"/>
                <w:szCs w:val="32"/>
              </w:rPr>
              <w:t>日</w:t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仿宋_GB2312" w:hAnsi="仿宋_GB2312" w:eastAsia="仿宋_GB2312" w:cs="Calibri"/>
                <w:sz w:val="22"/>
                <w:szCs w:val="32"/>
              </w:rPr>
            </w:pPr>
            <w:r>
              <w:rPr>
                <w:rFonts w:ascii="仿宋_GB2312" w:hAnsi="仿宋_GB2312" w:cs="Calibri" w:eastAsia="仿宋_GB2312"/>
                <w:sz w:val="22"/>
                <w:szCs w:val="32"/>
              </w:rPr>
              <w:t>数科公司、人力资源部、</w:t>
            </w:r>
            <w:r>
              <w:rPr>
                <w:rFonts w:ascii="仿宋_GB2312" w:hAnsi="仿宋_GB2312" w:cs="Calibri" w:hint="eastAsia" w:eastAsia="仿宋_GB2312"/>
                <w:sz w:val="22"/>
                <w:szCs w:val="32"/>
              </w:rPr>
              <w:t>各分、子公司、各部门</w:t>
            </w:r>
            <w:r>
              <w:rPr>
                <w:rFonts w:ascii="仿宋_GB2312" w:hAnsi="仿宋_GB2312" w:cs="Calibri" w:eastAsia="仿宋_GB2312"/>
                <w:sz w:val="22"/>
                <w:szCs w:val="32"/>
              </w:rPr>
              <w:t>协同</w:t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仿宋_GB2312" w:hAnsi="仿宋_GB2312" w:eastAsia="仿宋_GB2312" w:cs="Calibri"/>
                <w:sz w:val="22"/>
                <w:szCs w:val="32"/>
              </w:rPr>
            </w:pPr>
            <w:r>
              <w:rPr>
                <w:rFonts w:ascii="仿宋_GB2312" w:hAnsi="仿宋_GB2312" w:cs="Calibri" w:eastAsia="仿宋_GB2312"/>
                <w:sz w:val="22"/>
                <w:szCs w:val="32"/>
              </w:rPr>
              <w:t>内容：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00"/>
              <w:jc w:val="center"/>
              <w:rPr>
                <w:rFonts w:ascii="仿宋_GB2312" w:hAnsi="仿宋_GB2312" w:eastAsia="仿宋_GB2312" w:cs="Calibri"/>
                <w:sz w:val="22"/>
                <w:szCs w:val="32"/>
              </w:rPr>
            </w:pPr>
            <w:r>
              <w:rPr>
                <w:rFonts w:ascii="仿宋_GB2312" w:hAnsi="仿宋_GB2312" w:cs="Calibri" w:eastAsia="仿宋_GB2312"/>
                <w:sz w:val="22"/>
                <w:szCs w:val="32"/>
              </w:rPr>
              <w:t>行动计划。包括对标场景、项目目标、阶段成果、责任部门。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00"/>
              <w:jc w:val="center"/>
              <w:rPr>
                <w:rFonts w:ascii="仿宋_GB2312" w:hAnsi="仿宋_GB2312" w:eastAsia="仿宋_GB2312" w:cs="Calibri"/>
                <w:sz w:val="22"/>
                <w:szCs w:val="32"/>
              </w:rPr>
            </w:pPr>
            <w:r>
              <w:rPr>
                <w:rFonts w:ascii="仿宋_GB2312" w:hAnsi="仿宋_GB2312" w:cs="Calibri" w:eastAsia="仿宋_GB2312"/>
                <w:sz w:val="22"/>
                <w:szCs w:val="32"/>
              </w:rPr>
              <w:t>考核方案</w:t>
            </w:r>
          </w:p>
        </w:tc>
      </w:tr>
    </w:tbl>
    <w:p>
      <w:pPr>
        <w:pStyle w:val="BodyTextIndent"/>
        <w:spacing w:lineRule="exact" w:line="576"/>
        <w:ind w:hanging="0" w:end="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  <w:p>
      <w:pPr>
        <w:pStyle w:val="BodyTextIndent"/>
        <w:spacing w:lineRule="exact" w:line="576"/>
        <w:ind w:hanging="0" w:end="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  <w:p>
      <w:pPr>
        <w:pStyle w:val="BodyTextIndent"/>
        <w:spacing w:lineRule="exact" w:line="576"/>
        <w:ind w:hanging="0" w:end="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  <w:p>
      <w:pPr>
        <w:pStyle w:val="BodyTextIndent"/>
        <w:spacing w:lineRule="exact" w:line="576"/>
        <w:ind w:hanging="0" w:end="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  <w:p>
      <w:pPr>
        <w:pStyle w:val="BodyTextIndent"/>
        <w:spacing w:lineRule="exact" w:line="576"/>
        <w:ind w:hanging="0" w:end="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  <w:p>
      <w:pPr>
        <w:pStyle w:val="BodyTextIndent"/>
        <w:spacing w:lineRule="exact" w:line="576"/>
        <w:ind w:hanging="0" w:end="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  <w:p>
      <w:pPr>
        <w:pStyle w:val="BodyTextIndent"/>
        <w:spacing w:lineRule="exact" w:line="576"/>
        <w:ind w:hanging="0" w:end="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  <w:p>
      <w:pPr>
        <w:pStyle w:val="BodyTextIndent"/>
        <w:spacing w:lineRule="exact" w:line="576"/>
        <w:ind w:hanging="0" w:end="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  <w:p>
      <w:pPr>
        <w:pStyle w:val="BodyTextIndent"/>
        <w:spacing w:lineRule="exact" w:line="576"/>
        <w:ind w:hanging="0" w:end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出席人员：</w:t>
      </w:r>
    </w:p>
    <w:p>
      <w:pPr>
        <w:pStyle w:val="BodyTextIndent"/>
        <w:spacing w:lineRule="exact" w:line="576"/>
        <w:ind w:hanging="0" w:end="0"/>
        <w:rPr/>
      </w:pPr>
      <w:r>
        <w:rPr>
          <w:rFonts w:hint="eastAsia"/>
        </w:rPr>
        <w:t>刘启宏、王  宏、朱  丹、王  进、李  赫、刘晓燕、郑  东、李凌翔、陈  颖、杨  晶、师  波、林  勇、王晓宇、冯吉开、胡志江、钟  兰、徐文龙、孙松杰、徐  敏、卢洪堃、肖  伟、王耀程、吴  园、陈天蛟、陈  蕾、谢海福、马嘉熹、朱  宽、韩  飞、颜中冠、</w:t>
      </w:r>
      <w:r>
        <w:rPr/>
        <w:t>高国军、</w:t>
      </w:r>
      <w:r>
        <w:rPr>
          <w:rFonts w:hint="eastAsia"/>
        </w:rPr>
        <w:t>张  怀、方步云、孙  寅、余  倩、陶黎荣、张  瑜、严  渊、吴  斌、孙广野、南  鹏、姜红银、王  磊、张绍军、黄欢欢、高  翔、李  欢、杨学超、蒋  伟、任志渊、张  磊、胡洪杰、李跃建、胡洪杰、高倩倩、李游南、朱名强、周  盼、王嘉杰</w:t>
      </w:r>
      <w:r>
        <w:rPr/>
        <w:t>、</w:t>
      </w:r>
      <w:r>
        <w:rPr>
          <w:rFonts w:hint="eastAsia"/>
        </w:rPr>
        <w:t>李土军</w:t>
      </w:r>
    </w:p>
    <w:p>
      <w:pPr>
        <w:pStyle w:val="BodyTextIndent"/>
        <w:spacing w:lineRule="exact" w:line="576"/>
        <w:ind w:hanging="0" w:end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请假人员：</w:t>
      </w:r>
    </w:p>
    <w:p>
      <w:pPr>
        <w:pStyle w:val="BodyTextIndent"/>
        <w:spacing w:lineRule="exact" w:line="576"/>
        <w:ind w:hanging="0" w:end="0"/>
        <w:rPr>
          <w:rFonts w:cs="宋体" w:hint="eastAsia"/>
          <w:sz w:val="28"/>
        </w:rPr>
      </w:pPr>
      <w:r>
        <w:rPr>
          <w:rFonts w:hint="eastAsia"/>
        </w:rPr>
        <w:t>杨穗利、王  健、李平平、王玉国、冯吉开、倪海明、潘  鸣、张曦琼、宋  鑫、陈倩倩、陈兴超</w:t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32"/>
        </w:rPr>
      </w:pPr>
      <w:r>
        <w:rPr>
          <w:rFonts w:eastAsia="仿宋_GB2312" w:cs="宋体" w:hint="eastAsia" w:ascii="仿宋_GB2312" w:hAnsi="仿宋_GB2312"/>
          <w:sz w:val="32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9422765</wp:posOffset>
                </wp:positionV>
                <wp:extent cx="5600700" cy="0"/>
                <wp:effectExtent l="0" t="5080" r="0" b="5080"/>
                <wp:wrapNone/>
                <wp:docPr id="2" name="直线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741.95pt" to="440.95pt,741.95pt" stroked="t" o:allowincell="f" style="position:absolut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ge">
                  <wp:posOffset>8669020</wp:posOffset>
                </wp:positionV>
                <wp:extent cx="5600700" cy="0"/>
                <wp:effectExtent l="0" t="5080" r="0" b="5080"/>
                <wp:wrapNone/>
                <wp:docPr id="3" name="直线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45pt,682.6pt" to="441.4pt,682.6pt" stroked="t" o:allowincell="f" style="position:absolut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仿宋_GB2312" w:hAnsi="仿宋_GB2312" w:cs="宋体" w:hint="eastAsia" w:eastAsia="仿宋_GB2312"/>
          <w:sz w:val="32"/>
        </w:rPr>
        <w:t xml:space="preserve"> </w:t>
      </w:r>
      <w:r>
        <w:rPr>
          <w:rFonts w:ascii="仿宋_GB2312" w:hAnsi="仿宋_GB2312" w:cs="宋体" w:hint="eastAsia" w:eastAsia="仿宋_GB2312"/>
          <w:sz w:val="28"/>
          <w:szCs w:val="28"/>
        </w:rPr>
        <w:t xml:space="preserve"> </w:t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eastAsia="仿宋_GB2312" w:cs="宋体" w:hint="eastAsia" w:ascii="仿宋_GB2312" w:hAnsi="仿宋_GB2312"/>
          <w:sz w:val="28"/>
          <w:szCs w:val="28"/>
        </w:rPr>
      </w:r>
    </w:p>
    <w:p>
      <w:pPr>
        <w:pStyle w:val="Normal"/>
        <w:spacing w:lineRule="exact" w:line="576"/>
        <w:ind w:firstLineChars="0" w:firstLine="0" w:startChars="100" w:endChars="100"/>
        <w:rPr>
          <w:rFonts w:ascii="仿宋_GB2312" w:hAnsi="仿宋_GB2312" w:eastAsia="仿宋_GB2312" w:cs="宋体" w:hint="eastAsia"/>
          <w:sz w:val="28"/>
          <w:szCs w:val="28"/>
        </w:rPr>
      </w:pPr>
      <w:r>
        <w:rPr>
          <w:rFonts w:ascii="仿宋_GB2312" w:hAnsi="仿宋_GB2312" w:cs="宋体" w:hint="eastAsia" w:eastAsia="仿宋_GB2312"/>
          <w:sz w:val="28"/>
          <w:szCs w:val="28"/>
        </w:rPr>
        <w:t>主送：公司核心管理层、高管，各分、子公司、各部门领导。</w:t>
      </w:r>
    </w:p>
    <w:p>
      <w:pPr>
        <w:pStyle w:val="Normal"/>
        <w:spacing w:lineRule="exact" w:line="576"/>
        <w:ind w:firstLineChars="0" w:firstLine="0" w:startChars="100" w:endChars="100"/>
        <w:jc w:val="start"/>
        <w:rPr/>
      </w:pPr>
      <w: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ge">
                  <wp:posOffset>9038590</wp:posOffset>
                </wp:positionV>
                <wp:extent cx="5600700" cy="0"/>
                <wp:effectExtent l="0" t="5080" r="0" b="5080"/>
                <wp:wrapNone/>
                <wp:docPr id="4" name="直线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45pt,711.7pt" to="441.4pt,711.7pt" stroked="t" o:allowincell="f" style="position:absolut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仿宋_GB2312" w:hAnsi="仿宋_GB2312" w:cs="宋体" w:hint="eastAsia" w:eastAsia="仿宋_GB2312"/>
          <w:sz w:val="28"/>
          <w:szCs w:val="28"/>
        </w:rPr>
        <w:t>承办部门：长龙数智科技（杭州）有限公司</w:t>
      </w:r>
      <w:r>
        <w:rPr>
          <w:rFonts w:ascii="仿宋_GB2312" w:hAnsi="仿宋_GB2312" w:cs="宋体" w:hint="eastAsia" w:eastAsia="仿宋_GB2312"/>
          <w:sz w:val="28"/>
        </w:rPr>
        <w:t xml:space="preserve">    </w:t>
      </w:r>
      <w:r>
        <w:rPr>
          <w:rFonts w:eastAsia="仿宋_GB2312" w:cs="宋体" w:hint="eastAsia" w:ascii="仿宋_GB2312" w:hAnsi="仿宋_GB2312"/>
          <w:sz w:val="28"/>
        </w:rPr>
        <w:t>20</w:t>
      </w:r>
      <w:r>
        <w:rPr>
          <w:rFonts w:eastAsia="仿宋_GB2312" w:cs="宋体" w:ascii="仿宋_GB2312" w:hAnsi="仿宋_GB2312"/>
          <w:sz w:val="28"/>
        </w:rPr>
        <w:t>2</w:t>
      </w:r>
      <w:r>
        <w:rPr>
          <w:rFonts w:eastAsia="仿宋_GB2312" w:cs="宋体" w:hint="eastAsia" w:ascii="仿宋_GB2312" w:hAnsi="仿宋_GB2312"/>
          <w:sz w:val="28"/>
        </w:rPr>
        <w:t>6</w:t>
      </w:r>
      <w:r>
        <w:rPr>
          <w:rFonts w:ascii="仿宋_GB2312" w:hAnsi="仿宋_GB2312" w:cs="宋体" w:hint="eastAsia" w:eastAsia="仿宋_GB2312"/>
          <w:sz w:val="28"/>
        </w:rPr>
        <w:t>年</w:t>
      </w:r>
      <w:r>
        <w:rPr>
          <w:rFonts w:eastAsia="仿宋_GB2312" w:cs="宋体" w:hint="eastAsia" w:ascii="仿宋_GB2312" w:hAnsi="仿宋_GB2312"/>
          <w:sz w:val="28"/>
        </w:rPr>
        <w:t>6</w:t>
      </w:r>
      <w:r>
        <w:rPr>
          <w:rFonts w:ascii="仿宋_GB2312" w:hAnsi="仿宋_GB2312" w:cs="宋体" w:hint="eastAsia" w:eastAsia="仿宋_GB2312"/>
          <w:sz w:val="28"/>
        </w:rPr>
        <w:t>月</w:t>
      </w:r>
      <w:r>
        <w:rPr>
          <w:rFonts w:eastAsia="仿宋_GB2312" w:cs="宋体" w:hint="eastAsia" w:ascii="仿宋_GB2312" w:hAnsi="仿宋_GB2312"/>
          <w:sz w:val="28"/>
        </w:rPr>
        <w:t>4</w:t>
      </w:r>
      <w:r>
        <w:rPr>
          <w:rFonts w:ascii="仿宋_GB2312" w:hAnsi="仿宋_GB2312" w:cs="宋体" w:hint="eastAsia" w:eastAsia="仿宋_GB2312"/>
          <w:sz w:val="28"/>
        </w:rPr>
        <w:t xml:space="preserve">日印发  </w:t>
      </w:r>
    </w:p>
    <w:sectPr>
      <w:footerReference w:type="even" r:id="rId2"/>
      <w:footerReference w:type="default" r:id="rId3"/>
      <w:type w:val="nextPage"/>
      <w:pgSz w:w="11906" w:h="16838"/>
      <w:pgMar w:left="1588" w:right="1474" w:gutter="0" w:header="0" w:top="2098" w:footer="1588" w:bottom="198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仿宋_GB2312">
    <w:charset w:val="86"/>
    <w:family w:val="modern"/>
    <w:pitch w:val="default"/>
  </w:font>
  <w:font w:name="方正小标宋简体">
    <w:charset w:val="86"/>
    <w:family w:val="script"/>
    <w:pitch w:val="default"/>
  </w:font>
  <w:font w:name="黑体">
    <w:charset w:val="86"/>
    <w:family w:val="auto"/>
    <w:pitch w:val="default"/>
  </w:font>
  <w:font w:name="楷体_GB2312">
    <w:charset w:val="86"/>
    <w:family w:val="modern"/>
    <w:pitch w:val="default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02235" cy="241935"/>
              <wp:effectExtent l="0" t="0" r="0" b="0"/>
              <wp:wrapSquare wrapText="bothSides"/>
              <wp:docPr id="5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235" cy="2419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.05pt;height:19.0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t>4</w:t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宋体" w:hAnsi="宋体" w:cs="宋体"/>
        <w:sz w:val="28"/>
        <w:szCs w:val="28"/>
      </w:rPr>
    </w:pPr>
    <w:r>
      <w:rPr>
        <w:rFonts w:ascii="宋体" w:hAnsi="宋体" w:cs="宋体"/>
        <w:sz w:val="28"/>
        <w:szCs w:val="28"/>
      </w:rPr>
      <w:fldChar w:fldCharType="begin"/>
    </w:r>
    <w:r>
      <w:rPr>
        <w:rFonts w:ascii="宋体" w:hAnsi="宋体" w:cs="宋体"/>
        <w:sz w:val="28"/>
        <w:szCs w:val="28"/>
      </w:rPr>
      <w:instrText xml:space="preserve"> PAGE </w:instrText>
    </w:r>
    <w:r>
      <w:rPr>
        <w:rFonts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</w:rPr>
      <w:t>3</w:t>
    </w:r>
    <w:r>
      <w:rPr>
        <w:rFonts w:ascii="宋体" w:hAnsi="宋体" w:cs="宋体"/>
        <w:sz w:val="28"/>
        <w:szCs w:val="28"/>
      </w:rPr>
      <w:fldChar w:fldCharType="end"/>
    </w:r>
  </w:p>
  <w:p>
    <w:pPr>
      <w:pStyle w:val="Footer"/>
      <w:ind w:firstLine="360" w:end="360"/>
      <w:rPr>
        <w:rFonts w:ascii="宋体" w:hAnsi="宋体" w:cs="宋体"/>
        <w:sz w:val="28"/>
        <w:szCs w:val="28"/>
      </w:rPr>
    </w:pPr>
    <w:r>
      <w:rPr>
        <w:rFonts w:cs="宋体" w:ascii="宋体" w:hAnsi="宋体"/>
        <w:sz w:val="28"/>
        <w:szCs w:val="2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chineseCountingThousand"/>
      <w:suff w:val="space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3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3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mirrorMargins/>
  <w:defaultTabStop w:val="709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>
      <w:rFonts w:hint="eastAsi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PageNumber">
    <w:name w:val="pag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firstLine="630" w:start="0" w:end="0"/>
    </w:pPr>
    <w:rPr>
      <w:rFonts w:ascii="仿宋_GB2312" w:hAnsi="仿宋_GB2312" w:eastAsia="仿宋_GB2312"/>
      <w:sz w:val="32"/>
      <w:szCs w:val="20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修订"/>
    <w:qFormat/>
    <w:pPr>
      <w:widowControl/>
      <w:bidi w:val="0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2009-04-14T07:03:00Z</dcterms:created>
  <dc:creator>chp</dc:creator>
  <dc:description/>
  <dc:language>zh-CN</dc:language>
  <cp:lastModifiedBy>jiaqingchen</cp:lastModifiedBy>
  <cp:lastPrinted>2005-09-23T03:33:00Z</cp:lastPrinted>
  <dcterms:modified xsi:type="dcterms:W3CDTF">2026-06-04T14:04:58Z</dcterms:modified>
  <cp:revision>2</cp:revision>
  <dc:subject/>
  <dc:title>浙江长龙航空有限公司会议纪要纪要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85D6239FF6564751A73421A578FBF7F7_12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eyJoZGlkIjoiZTAyMWM2ODNlNGY1MjM0MzM0YTJkZTg0MGMyMDJiMTIiLCJ1c2VySWQiOiIyMzAzNTU1NDcifQ==</vt:lpwstr>
  </property>
</Properties>
</file>