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80"/>
        <w:gridCol w:w="2127"/>
        <w:gridCol w:w="1984"/>
        <w:gridCol w:w="1754"/>
      </w:tblGrid>
      <w:tr w:rsidR="00882ABC" w:rsidRPr="00713A9F" w:rsidTr="0019152D">
        <w:trPr>
          <w:trHeight w:val="343"/>
          <w:tblHeader/>
          <w:jc w:val="center"/>
        </w:trPr>
        <w:tc>
          <w:tcPr>
            <w:tcW w:w="218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2127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75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19152D">
        <w:trPr>
          <w:trHeight w:val="837"/>
          <w:jc w:val="center"/>
        </w:trPr>
        <w:tc>
          <w:tcPr>
            <w:tcW w:w="218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19152D" w:rsidRDefault="0019152D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a.belov</w:t>
            </w:r>
            <w:proofErr w:type="spellEnd"/>
          </w:p>
        </w:tc>
        <w:tc>
          <w:tcPr>
            <w:tcW w:w="1754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19152D">
        <w:trPr>
          <w:trHeight w:val="837"/>
          <w:jc w:val="center"/>
        </w:trPr>
        <w:tc>
          <w:tcPr>
            <w:tcW w:w="218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19152D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82ABC" w:rsidRPr="00882ABC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882ABC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Согласующий</w:t>
            </w:r>
          </w:p>
        </w:tc>
        <w:tc>
          <w:tcPr>
            <w:tcW w:w="1984" w:type="dxa"/>
          </w:tcPr>
          <w:p w:rsidR="0019152D" w:rsidRPr="0019152D" w:rsidRDefault="0019152D" w:rsidP="0019152D">
            <w:pPr>
              <w:pStyle w:val="EBTablenorm"/>
              <w:jc w:val="center"/>
              <w:rPr>
                <w:b/>
              </w:rPr>
            </w:pPr>
            <w:r w:rsidRPr="0019152D">
              <w:rPr>
                <w:b/>
              </w:rPr>
              <w:tab/>
            </w:r>
          </w:p>
          <w:p w:rsidR="0019152D" w:rsidRPr="00882ABC" w:rsidRDefault="0019152D" w:rsidP="0019152D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v.arkhipkina</w:t>
            </w:r>
            <w:proofErr w:type="spellEnd"/>
          </w:p>
        </w:tc>
        <w:tc>
          <w:tcPr>
            <w:tcW w:w="1754" w:type="dxa"/>
          </w:tcPr>
          <w:p w:rsidR="0019152D" w:rsidRPr="00657EA4" w:rsidRDefault="00657EA4" w:rsidP="00657EA4">
            <w:pPr>
              <w:pStyle w:val="EBTablenorm"/>
              <w:ind w:left="0"/>
              <w:rPr>
                <w:sz w:val="20"/>
              </w:rPr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Председатель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19152D" w:rsidRPr="00713A9F" w:rsidRDefault="00657EA4" w:rsidP="00657EA4">
            <w:pPr>
              <w:pStyle w:val="EBTablenorm"/>
              <w:ind w:left="0"/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754" w:type="dxa"/>
          </w:tcPr>
          <w:p w:rsidR="0019152D" w:rsidRPr="00713A9F" w:rsidRDefault="0019152D" w:rsidP="00FF1990">
            <w:pPr>
              <w:pStyle w:val="EBTablenorm"/>
            </w:pP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19152D" w:rsidRPr="00713A9F" w:rsidRDefault="0019152D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«Структурные </w:t>
      </w:r>
      <w:proofErr w:type="spellStart"/>
      <w:r>
        <w:t>поразделения</w:t>
      </w:r>
      <w:proofErr w:type="spellEnd"/>
      <w:r>
        <w:t>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«Типы документов»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«Справочник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«Дополнительные 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«Сводный реестр»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«Справочник ТРУ» заведены записи. </w:t>
      </w:r>
    </w:p>
    <w:p w:rsidR="00DD6AEF" w:rsidRDefault="00DD6AEF" w:rsidP="00DD6AEF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«Комиссии» заведены записи. </w:t>
      </w:r>
    </w:p>
    <w:p w:rsidR="00D51A6C" w:rsidRDefault="00D51A6C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D51A6C" w:rsidRDefault="00D51A6C" w:rsidP="00D51A6C">
      <w:r w:rsidRPr="008D5E9F">
        <w:rPr>
          <w:b/>
        </w:rPr>
        <w:lastRenderedPageBreak/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</w:t>
      </w:r>
      <w:r w:rsidR="00C80C23">
        <w:t>3</w:t>
      </w:r>
      <w:r>
        <w:t xml:space="preserve"> </w:t>
      </w:r>
      <w:r w:rsidR="00C80C23" w:rsidRPr="00C80C23">
        <w:t>Принятие к учету НФА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054991" w:rsidRPr="00146B83" w:rsidTr="00054991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numPr>
                <w:ilvl w:val="0"/>
                <w:numId w:val="35"/>
              </w:numPr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054991" w:rsidDel="00A03379" w:rsidRDefault="00054991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Управление НФА 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Формуляры →</w:t>
            </w:r>
          </w:p>
          <w:p w:rsidR="00054991" w:rsidRPr="00217BBB" w:rsidRDefault="00054991" w:rsidP="003842DA">
            <w:pPr>
              <w:pStyle w:val="EBTablenorm"/>
            </w:pPr>
            <w:r>
              <w:t>Поступление НФА</w:t>
            </w:r>
            <w:r w:rsidRPr="004C27E4">
              <w:t xml:space="preserve"> </w:t>
            </w:r>
            <w:r w:rsidRPr="00217BBB">
              <w:t>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Акт о приеме-передач</w:t>
            </w:r>
            <w:r>
              <w:t>е</w:t>
            </w:r>
            <w:r w:rsidRPr="00217BBB">
              <w:t xml:space="preserve"> объектов нефинансовых активов (ф. 0504101)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«Акт о приеме-передаче объектов нефинансовых активов (ф.0504101)»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Добавить новый ЭФ «Акт о приеме-передаче объектов нефинансовых активов (ф.0504101)»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КВФО, валюта, единица измерения, реквизиты получателя).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тип операции из выпадающего списка</w:t>
            </w:r>
          </w:p>
        </w:tc>
        <w:tc>
          <w:tcPr>
            <w:tcW w:w="1174" w:type="pct"/>
          </w:tcPr>
          <w:p w:rsidR="00054991" w:rsidRPr="00054991" w:rsidRDefault="00054991" w:rsidP="00054991">
            <w:pPr>
              <w:pStyle w:val="EBTablenorm"/>
            </w:pPr>
            <w:r w:rsidRPr="00217BBB">
              <w:t>Тип операции</w:t>
            </w:r>
            <w:r w:rsidRPr="00054991">
              <w:t xml:space="preserve"> </w:t>
            </w:r>
            <w:r>
              <w:t>ТО=003 «</w:t>
            </w:r>
            <w:r w:rsidRPr="00054991">
              <w:t>Принятие к учету НФА</w:t>
            </w:r>
            <w:r>
              <w:t>»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</w:t>
            </w:r>
            <w:r>
              <w:t>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подразделений»,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054991" w:rsidRPr="00BC7553" w:rsidRDefault="00BC7553" w:rsidP="003842DA">
            <w:pPr>
              <w:pStyle w:val="EBTablenorm"/>
            </w:pPr>
            <w:proofErr w:type="spellStart"/>
            <w:r>
              <w:rPr>
                <w:lang w:val="en-US"/>
              </w:rPr>
              <w:t>Заполнение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получателя</w:t>
            </w:r>
            <w:proofErr w:type="spellEnd"/>
          </w:p>
        </w:tc>
        <w:tc>
          <w:tcPr>
            <w:tcW w:w="1727" w:type="pct"/>
          </w:tcPr>
          <w:p w:rsidR="00054991" w:rsidRPr="00854517" w:rsidRDefault="00BC7553" w:rsidP="003842DA">
            <w:pPr>
              <w:pStyle w:val="EBTablenorm"/>
            </w:pPr>
            <w:r>
              <w:t>Заполнились реквизиты получателя.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КВФО </w:t>
            </w:r>
            <w:proofErr w:type="gramStart"/>
            <w:r w:rsidRPr="00217BBB">
              <w:t>заполненный</w:t>
            </w:r>
            <w:proofErr w:type="gramEnd"/>
            <w:r w:rsidRPr="00217BBB">
              <w:t xml:space="preserve"> по умолчанию, может быть отредактирован бухгалтером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КВФО остался прежни</w:t>
            </w:r>
            <w:r w:rsidRPr="00217BBB">
              <w:t>м (если значение не меняли), либо поменялся на тот, что установил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учете, по умолчанию заполненная датой документа, может быть отредактирована бухгалтером.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</w:t>
            </w:r>
            <w:r>
              <w:t>е</w:t>
            </w:r>
            <w:r w:rsidRPr="00217BBB">
              <w:t>те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 осталась прежней (если её не меняли), либо поменялась на ту, что установил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854517" w:rsidP="003842DA">
            <w:pPr>
              <w:pStyle w:val="EBTablenorm"/>
            </w:pPr>
            <w:r>
              <w:t>Указать вид имущества.</w:t>
            </w:r>
          </w:p>
        </w:tc>
        <w:tc>
          <w:tcPr>
            <w:tcW w:w="1174" w:type="pct"/>
          </w:tcPr>
          <w:p w:rsidR="00054991" w:rsidRPr="00217BBB" w:rsidRDefault="00854517" w:rsidP="003842DA">
            <w:pPr>
              <w:pStyle w:val="EBTablenorm"/>
            </w:pPr>
            <w:r w:rsidRPr="00854517">
              <w:t>Иное движимое имущество учреждения</w:t>
            </w:r>
          </w:p>
        </w:tc>
        <w:tc>
          <w:tcPr>
            <w:tcW w:w="1727" w:type="pct"/>
          </w:tcPr>
          <w:p w:rsidR="00054991" w:rsidRPr="00217BBB" w:rsidRDefault="00854517" w:rsidP="003842DA">
            <w:pPr>
              <w:pStyle w:val="EBTablenorm"/>
            </w:pPr>
            <w:r>
              <w:t>Отображается выбранный вид имущества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 xml:space="preserve">По желанию указать данные в реквизитах «Правовое </w:t>
            </w:r>
            <w:r>
              <w:lastRenderedPageBreak/>
              <w:t>основание» и «Дополнительное основание»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>Реквизиты доступны для ручного заполнения.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Перейти на вкладку «Состав объектов и их характеристика»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 xml:space="preserve">Отображается форма с кнопками и </w:t>
            </w:r>
            <w:proofErr w:type="gramStart"/>
            <w:r>
              <w:t>пустой</w:t>
            </w:r>
            <w:proofErr w:type="gramEnd"/>
            <w:r>
              <w:t xml:space="preserve"> ТЧ.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объекта и их характеристики» добавить новую строку</w:t>
            </w:r>
            <w:r w:rsidR="00854517">
              <w:t xml:space="preserve"> </w:t>
            </w:r>
            <w:r w:rsidR="004C27E4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5.5pt">
                  <v:imagedata r:id="rId5" o:title="Screenshot_32"/>
                </v:shape>
              </w:pic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форма заполнения строки таблицы, заполнился номер по порядку.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объект, принимаемый к учету, из списка карточек МЦ путем нажатия на кнопку выбора из справочника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Открывается списковая форма каточек материальных ценностей.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По завершению выбора данные из карточки МЦ запол</w:t>
            </w:r>
            <w:r>
              <w:t xml:space="preserve">няют </w:t>
            </w:r>
            <w:r w:rsidRPr="00217BBB">
              <w:t>табл</w:t>
            </w:r>
            <w:r>
              <w:t xml:space="preserve">ичную часть «Состав объектов и </w:t>
            </w:r>
            <w:r w:rsidRPr="00217BBB">
              <w:t>их характеристики»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>
              <w:t>Выбранный объект</w:t>
            </w:r>
          </w:p>
        </w:tc>
        <w:tc>
          <w:tcPr>
            <w:tcW w:w="1727" w:type="pct"/>
          </w:tcPr>
          <w:p w:rsidR="00054991" w:rsidRPr="00217BBB" w:rsidRDefault="006571C0" w:rsidP="004C27E4">
            <w:pPr>
              <w:pStyle w:val="EBTablenorm"/>
            </w:pPr>
            <w:r>
              <w:t>Создал</w:t>
            </w:r>
            <w:r w:rsidR="004C27E4">
              <w:t>а</w:t>
            </w:r>
            <w:r>
              <w:t xml:space="preserve">сь строка </w:t>
            </w:r>
            <w:r w:rsidR="00054991" w:rsidRPr="00217BBB">
              <w:t xml:space="preserve">в табличной части (по количеству, хранящемуся на карточке МЦ). </w:t>
            </w:r>
            <w:r>
              <w:t xml:space="preserve">Заполнился </w:t>
            </w:r>
            <w:r w:rsidR="00054991" w:rsidRPr="00217BBB">
              <w:t xml:space="preserve"> минимальный набор полей из карточки МЦ (Наименование объекта, Атрибут ТРУ, Атрибут ТРУ 2, Тип МЦ, Группа МЦ, Вид МЦ, Первоначальная балансовая стоимость).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реквизитов в строках табличной части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Обязательная часть реквизитов для текущей роли в строках табличной части заполнена.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изменения в каждой строке табличной части.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бухгалтером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«Записи на счетах учета»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Нажать на кнопку «Подобрать бухгалтерские записи»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Заполнилась строка табличной части «Бухгалтерские записи на счетах учета»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B616D" w:rsidP="003842DA">
            <w:pPr>
              <w:pStyle w:val="EBTablenorm"/>
            </w:pPr>
            <w:r>
              <w:rPr>
                <w:lang w:val="en-US"/>
              </w:rPr>
              <w:t>C</w:t>
            </w:r>
            <w:r w:rsidR="00DD6AEF">
              <w:t>охранить документ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DD6AEF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</w:t>
            </w:r>
            <w:r w:rsidR="00DD6AEF">
              <w:t>черновик</w:t>
            </w:r>
            <w:r w:rsidRPr="00217BBB">
              <w:t>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Материально</w:t>
            </w:r>
            <w:r>
              <w:t>-</w:t>
            </w:r>
            <w:r w:rsidRPr="00217BBB">
              <w:t xml:space="preserve"> ответственному лицу путем нажатия на кнопку «Завершить </w:t>
            </w:r>
            <w:r w:rsidRPr="00217BBB">
              <w:lastRenderedPageBreak/>
              <w:t>редактирование».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054991" w:rsidRPr="00DD6AEF" w:rsidRDefault="00DD6AEF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бухгалтер</w:t>
            </w:r>
            <w:r>
              <w:t>ом</w:t>
            </w:r>
            <w:r w:rsidRPr="00217BBB">
              <w:t xml:space="preserve"> и направленный материально</w:t>
            </w:r>
            <w:r>
              <w:t>-</w:t>
            </w:r>
            <w:r w:rsidRPr="00217BBB">
              <w:t xml:space="preserve"> 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 xml:space="preserve">данный бухгалтером </w:t>
            </w:r>
            <w:r w:rsidRPr="00217BBB">
              <w:t>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бухгалте</w:t>
            </w:r>
            <w:r>
              <w:t xml:space="preserve">ром </w:t>
            </w:r>
            <w:r w:rsidRPr="00217BBB">
              <w:t>полями.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«Информация об объектах»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«Информация об объектах».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объектов и их характеристика» открыть на редактирование строку путем нажатия на кнопку «Редактировать»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Открытие формы заполнения строки таблицы с данными уже заполненными бухгалтером.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табличной час</w:t>
            </w:r>
            <w:r>
              <w:t>ти от роли материально-</w:t>
            </w:r>
            <w:r w:rsidRPr="00217BBB">
              <w:t>ответственное лицо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табличной части от роли материально</w:t>
            </w:r>
            <w:r>
              <w:t>-</w:t>
            </w:r>
            <w:r w:rsidRPr="00217BBB">
              <w:t>ответственное лицо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для текущей роли в табличной части заполнен</w:t>
            </w:r>
            <w:r>
              <w:t>ы</w:t>
            </w:r>
            <w:r w:rsidRPr="00217BBB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DD6AEF" w:rsidRDefault="00054991" w:rsidP="00DD6AEF">
            <w:pPr>
              <w:pStyle w:val="EBTablenorm"/>
            </w:pPr>
            <w:r w:rsidRPr="00217BBB">
              <w:t>Сохранить изменения в строке</w:t>
            </w:r>
            <w:r w:rsidR="00DD6AEF" w:rsidRPr="00DD6AEF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материаль</w:t>
            </w:r>
            <w:r>
              <w:t>но-</w:t>
            </w:r>
            <w:r w:rsidRPr="00217BBB">
              <w:t>ответственным лицом.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>
              <w:t xml:space="preserve">Проставить галочку </w:t>
            </w:r>
            <w:r w:rsidRPr="00217BBB">
              <w:t>в реквизите «Заполнен».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Значение реквизита «Заполнен» = Истина.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Бухгалтеру путем нажатия на кнопку «Передать документ бухгалтеру».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Заполнены реквизиты документа «Объекты сдал» на вкладке «Подписи» должностью и ФИО подписавшего пользователя и датой подписания. Статус документа изменился на</w:t>
            </w:r>
            <w:r>
              <w:t xml:space="preserve"> </w:t>
            </w:r>
            <w:r w:rsidRPr="00217BBB">
              <w:t>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Открыть списочную форму </w:t>
            </w:r>
            <w:r w:rsidRPr="00217BBB">
              <w:lastRenderedPageBreak/>
              <w:t>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</w:t>
            </w:r>
            <w:r w:rsidRPr="00217BBB">
              <w:lastRenderedPageBreak/>
              <w:t>отобра</w:t>
            </w:r>
            <w:r>
              <w:t xml:space="preserve">зится </w:t>
            </w:r>
            <w:proofErr w:type="gramStart"/>
            <w:r>
              <w:t>созданный</w:t>
            </w:r>
            <w:proofErr w:type="gramEnd"/>
            <w:r>
              <w:t xml:space="preserve"> бухгалтером</w:t>
            </w:r>
            <w:r w:rsidRPr="00217BBB">
              <w:t xml:space="preserve"> и дозаполненный материально</w:t>
            </w:r>
            <w:r>
              <w:t>-</w:t>
            </w:r>
            <w:r w:rsidRPr="00217BBB">
              <w:t>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>данный бухгалтером</w:t>
            </w:r>
            <w:r w:rsidRPr="00217BBB">
              <w:t xml:space="preserve"> ЭФ «Акт о приеме-передаче объектов нефинансовых активов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</w:t>
            </w:r>
            <w:r>
              <w:t xml:space="preserve">галтером </w:t>
            </w:r>
            <w:r w:rsidRPr="00217BBB">
              <w:t>ранее и матери</w:t>
            </w:r>
            <w:r>
              <w:t>ально-</w:t>
            </w:r>
            <w:r w:rsidRPr="00217BBB">
              <w:t>ответственным лицом полями.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Открывается форма предоставляющая заполнение реквизитов уполномоченных для согласования лиц и комиссий.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174" w:type="pct"/>
          </w:tcPr>
          <w:p w:rsidR="000B616D" w:rsidRDefault="000B616D" w:rsidP="003842DA">
            <w:pPr>
              <w:pStyle w:val="EBTablenorm"/>
            </w:pPr>
            <w:r>
              <w:t>Выбор из справочника «Сотрудники»</w:t>
            </w:r>
          </w:p>
          <w:p w:rsidR="000B616D" w:rsidRDefault="000B616D" w:rsidP="003842DA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0B616D" w:rsidRDefault="000B616D" w:rsidP="003842DA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В ТЧ указать комиссию и выбрать лиц, которые будут входить в состав комиссии по согласованию текущего документа.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r>
              <w:t>Выбор из справочника «Комиссии». Выбрать комиссию №3</w:t>
            </w: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Заполнились поля: номер, название комиссии, номер и дата приказа. </w:t>
            </w:r>
            <w:proofErr w:type="gramStart"/>
            <w:r>
              <w:t>Заполнилась ТЧ указанными лицами состоящие в  комиссии.</w:t>
            </w:r>
            <w:proofErr w:type="gramEnd"/>
            <w:r>
              <w:t xml:space="preserve"> Указывается их порядок согласования.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0B616D" w:rsidRDefault="00054991" w:rsidP="000B616D">
            <w:pPr>
              <w:pStyle w:val="EBTablenorm"/>
            </w:pPr>
            <w:r w:rsidRPr="00217BBB">
              <w:t>Путем нажатия на кнопку «Передать на согласование», перевести ЭФ на статус «На согласовании»</w:t>
            </w:r>
            <w:r w:rsidR="000B616D" w:rsidRPr="000B616D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B616D" w:rsidP="000B616D">
            <w:pPr>
              <w:pStyle w:val="EBTablenorm"/>
              <w:ind w:left="0"/>
            </w:pPr>
            <w:r w:rsidRPr="000B616D">
              <w:t xml:space="preserve"> </w:t>
            </w:r>
            <w:r w:rsidR="00054991" w:rsidRPr="00217BBB">
              <w:t xml:space="preserve">Заполнены реквизиты документа «Исполнитель» на вкладке «Подписи» в секции «Получатель» должностью и ФИО подписавшего пользователя и датой подписания. </w:t>
            </w:r>
            <w:proofErr w:type="gramStart"/>
            <w:r w:rsidR="00054991" w:rsidRPr="00217BBB">
              <w:t>Статус документа изменился на</w:t>
            </w:r>
            <w:r w:rsidR="00054991">
              <w:t xml:space="preserve"> </w:t>
            </w:r>
            <w:r w:rsidR="00054991" w:rsidRPr="00217BBB">
              <w:t>«На согласовании».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</w:t>
            </w:r>
            <w:r w:rsidR="000B616D" w:rsidRPr="000B616D">
              <w:t>Согласующий</w:t>
            </w:r>
            <w:r w:rsidRPr="00217BBB">
              <w:t>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0B616D">
            <w:pPr>
              <w:pStyle w:val="EBTablenorm"/>
            </w:pPr>
            <w:r w:rsidRPr="00217BBB">
              <w:t>Путем нажатия на кнопку «Согласовать»</w:t>
            </w:r>
            <w:r w:rsidR="000B616D" w:rsidRPr="000B616D">
              <w:t xml:space="preserve"> производится согласованием членом комиссии.</w:t>
            </w:r>
            <w:r w:rsidR="000B616D">
              <w:t xml:space="preserve"> Документ </w:t>
            </w:r>
            <w:r w:rsidR="000B616D">
              <w:lastRenderedPageBreak/>
              <w:t>остаётся на статусе «На согласовании»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4C27E4" w:rsidRDefault="00054991" w:rsidP="000B616D">
            <w:pPr>
              <w:pStyle w:val="EBTablenorm"/>
            </w:pPr>
            <w:r w:rsidRPr="00217BBB">
              <w:t xml:space="preserve">Заполнены реквизиты документа «Дата подписания» табличной части «Состав комиссии» на вкладке </w:t>
            </w:r>
            <w:r w:rsidRPr="00217BBB">
              <w:lastRenderedPageBreak/>
              <w:t xml:space="preserve">«Сведения о согласовании» датой подписания.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0B616D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91EBF" w:rsidP="003842DA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3842D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«Утверждён»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Статус документа изменился </w:t>
            </w:r>
            <w:proofErr w:type="gramStart"/>
            <w:r w:rsidR="00054991" w:rsidRPr="00217BBB">
              <w:t>на</w:t>
            </w:r>
            <w:proofErr w:type="gramEnd"/>
            <w:r w:rsidR="00054991">
              <w:t xml:space="preserve"> </w:t>
            </w:r>
            <w:r w:rsidR="00054991" w:rsidRPr="00217BBB">
              <w:t>«Отражен в учете».</w:t>
            </w:r>
          </w:p>
          <w:p w:rsidR="00054991" w:rsidRPr="00217BBB" w:rsidRDefault="00480565" w:rsidP="003842DA">
            <w:pPr>
              <w:pStyle w:val="EBTablenorm"/>
            </w:pPr>
            <w:r>
              <w:t xml:space="preserve">- </w:t>
            </w:r>
            <w:r w:rsidR="00054991" w:rsidRPr="00217BBB">
              <w:t>В общесистемном журнале бухгалтерских записей поя</w:t>
            </w:r>
            <w:r w:rsidR="00054991">
              <w:t xml:space="preserve">вилась запись </w:t>
            </w:r>
            <w:r w:rsidR="00054991" w:rsidRPr="00217BBB">
              <w:t>о сформировавшейся проводке.</w:t>
            </w:r>
          </w:p>
          <w:p w:rsidR="00480565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Создалась Инвентарная карточка </w:t>
            </w:r>
            <w:r>
              <w:t>с указанными</w:t>
            </w:r>
            <w:r w:rsidR="00054991" w:rsidRPr="00217BBB">
              <w:t xml:space="preserve"> </w:t>
            </w:r>
            <w:r>
              <w:t>характеристиками</w:t>
            </w:r>
            <w:r w:rsidR="00480565">
              <w:t>.</w:t>
            </w:r>
          </w:p>
          <w:p w:rsidR="00054991" w:rsidRPr="00217BBB" w:rsidRDefault="00480565" w:rsidP="003842DA">
            <w:pPr>
              <w:pStyle w:val="EBTablenorm"/>
            </w:pPr>
            <w:proofErr w:type="gramStart"/>
            <w:r>
              <w:t>- Созданы</w:t>
            </w:r>
            <w:r w:rsidR="00054991" w:rsidRPr="00217BBB">
              <w:t xml:space="preserve"> операции </w:t>
            </w:r>
            <w:r>
              <w:t>движения: по созданной ИК – «Принятие к учёту» и по выбранной КМЦ «выбытие».</w:t>
            </w:r>
            <w:proofErr w:type="gramEnd"/>
          </w:p>
          <w:p w:rsidR="00054991" w:rsidRPr="00217BBB" w:rsidRDefault="00480565" w:rsidP="00091EBF">
            <w:pPr>
              <w:pStyle w:val="EBTablenorm"/>
            </w:pPr>
            <w:proofErr w:type="gramStart"/>
            <w:r>
              <w:t xml:space="preserve">- </w:t>
            </w:r>
            <w:r w:rsidR="00054991" w:rsidRPr="00217BBB">
              <w:t>В самом ЭФ в табличной части «Информация об открытии инвентарной карточки» за</w:t>
            </w:r>
            <w:r w:rsidR="00091EBF">
              <w:t>полнила</w:t>
            </w:r>
            <w:r w:rsidR="00054991" w:rsidRPr="00217BBB">
              <w:t xml:space="preserve">сь </w:t>
            </w:r>
            <w:r w:rsidR="00091EBF">
              <w:t>строка</w:t>
            </w:r>
            <w:r w:rsidR="00054991" w:rsidRPr="00217BBB">
              <w:t xml:space="preserve"> с данными из Инвентарной карточки.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Путем нажатия на кнопку «Печать» формируется </w:t>
            </w:r>
            <w:r w:rsidRPr="00217BBB">
              <w:lastRenderedPageBreak/>
              <w:t>печатная форма документа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E56674" w:rsidRDefault="00E56674">
      <w:pPr>
        <w:rPr>
          <w:lang w:val="en-US"/>
        </w:rPr>
      </w:pPr>
    </w:p>
    <w:p w:rsidR="00054991" w:rsidRDefault="00054991"/>
    <w:p w:rsidR="00480565" w:rsidRPr="00480565" w:rsidRDefault="00480565">
      <w:pPr>
        <w:rPr>
          <w:b/>
        </w:rPr>
      </w:pPr>
      <w:r w:rsidRPr="00480565">
        <w:rPr>
          <w:b/>
        </w:rPr>
        <w:t>Описание входных данных</w:t>
      </w:r>
    </w:p>
    <w:p w:rsidR="00480565" w:rsidRDefault="00480565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1412"/>
        <w:gridCol w:w="4221"/>
        <w:gridCol w:w="4221"/>
      </w:tblGrid>
      <w:tr w:rsidR="00751D3D" w:rsidRPr="000C6DC1" w:rsidTr="00751D3D">
        <w:trPr>
          <w:tblHeader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№ шага сценария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Ожидаемый результат/Значение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>
              <w:t>1.13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Выбранный объект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Карточка МЦ, созданная </w:t>
            </w:r>
            <w:r>
              <w:t xml:space="preserve">документом </w:t>
            </w:r>
            <w:r w:rsidRPr="00217BBB">
              <w:t>«Приходный ордер на приемку материальных ценностей (нефинансовых активов) (ф.0504207)»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>
              <w:t>1.14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Стол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Из карточки МЦ заполнить значение  = </w:t>
            </w:r>
            <w:proofErr w:type="gramStart"/>
            <w:r w:rsidRPr="00217BBB">
              <w:t>офисный</w:t>
            </w:r>
            <w:proofErr w:type="gramEnd"/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 2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сотрудника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Наименование объекта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«Стол офисный угловой»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Код по классификатору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Значение заполняется вручную из справочника ОКОФ = </w:t>
            </w:r>
            <w:r w:rsidRPr="004E42F1">
              <w:t>310.29.10.30.111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Амортизационная группа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Заполняется автоматически из справочника «Амортизационные группы» на основании выбранного кода</w:t>
            </w:r>
            <w:r>
              <w:t xml:space="preserve"> по классификатору. Значение = 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Первоначальная (балансовая) стоимость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3500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11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</w:t>
            </w:r>
            <w:r>
              <w:t>т роли материально-</w:t>
            </w:r>
            <w:r w:rsidRPr="00217BBB">
              <w:t>ответственное лицо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Паспорт, свидетельство, чертеж, модель, марка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Вручную значение = «</w:t>
            </w:r>
            <w:r>
              <w:t>Вспышка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Дата изготовления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24</w:t>
            </w:r>
            <w:r w:rsidRPr="00217BBB">
              <w:t>.</w:t>
            </w:r>
            <w:r>
              <w:t>12</w:t>
            </w:r>
            <w:r w:rsidRPr="00217BBB">
              <w:t>.201</w:t>
            </w:r>
            <w:r>
              <w:t>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21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  <w:r>
              <w:t>З</w:t>
            </w:r>
            <w:r w:rsidRPr="00217BBB">
              <w:t>начение = «</w:t>
            </w:r>
            <w:r w:rsidRPr="004E42F1">
              <w:t>01063920490019244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КППВ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31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Комиссия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Любое значение из справочника, отфильтрованного учреждению.</w:t>
            </w:r>
          </w:p>
        </w:tc>
      </w:tr>
    </w:tbl>
    <w:p w:rsidR="00480565" w:rsidRPr="00480565" w:rsidRDefault="00480565"/>
    <w:p w:rsidR="00054991" w:rsidRPr="00480565" w:rsidRDefault="00054991"/>
    <w:p w:rsidR="00054991" w:rsidRPr="00480565" w:rsidRDefault="00054991"/>
    <w:p w:rsidR="00054991" w:rsidRPr="00480565" w:rsidRDefault="00054991"/>
    <w:sectPr w:rsidR="00054991" w:rsidRPr="0048056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 w:numId="35">
    <w:abstractNumId w:val="33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54991"/>
    <w:rsid w:val="00083BBA"/>
    <w:rsid w:val="00086BE3"/>
    <w:rsid w:val="00091EBF"/>
    <w:rsid w:val="00093498"/>
    <w:rsid w:val="000B1C84"/>
    <w:rsid w:val="000B616D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152D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0565"/>
    <w:rsid w:val="00492985"/>
    <w:rsid w:val="004A14D2"/>
    <w:rsid w:val="004B1BE1"/>
    <w:rsid w:val="004B6758"/>
    <w:rsid w:val="004C27E4"/>
    <w:rsid w:val="004D3037"/>
    <w:rsid w:val="004D7BC5"/>
    <w:rsid w:val="004E1DED"/>
    <w:rsid w:val="004F5134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571C0"/>
    <w:rsid w:val="00657EA4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1920"/>
    <w:rsid w:val="00731628"/>
    <w:rsid w:val="00751D3D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4517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31D"/>
    <w:rsid w:val="00BB1757"/>
    <w:rsid w:val="00BB5200"/>
    <w:rsid w:val="00BB67A0"/>
    <w:rsid w:val="00BB7BA7"/>
    <w:rsid w:val="00BC4BC4"/>
    <w:rsid w:val="00BC7553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23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1475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D6AEF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10866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3</cp:revision>
  <dcterms:created xsi:type="dcterms:W3CDTF">2017-04-11T18:13:00Z</dcterms:created>
  <dcterms:modified xsi:type="dcterms:W3CDTF">2017-04-12T18:01:00Z</dcterms:modified>
</cp:coreProperties>
</file>