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882ABC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882ABC">
              <w:rPr>
                <w:b/>
              </w:rPr>
              <w:t>a.poddubny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«Структурные </w:t>
      </w:r>
      <w:proofErr w:type="spellStart"/>
      <w:r>
        <w:t>поразделения</w:t>
      </w:r>
      <w:proofErr w:type="spellEnd"/>
      <w:r>
        <w:t>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«Справочник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«Дополнительные 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«Сводный реестр»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«Справочник ТРУ» заведены записи. </w:t>
      </w:r>
    </w:p>
    <w:p w:rsidR="00D51A6C" w:rsidRDefault="00D51A6C" w:rsidP="00D51A6C">
      <w:pPr>
        <w:ind w:firstLine="0"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ТО=001 </w:t>
      </w:r>
      <w:r w:rsidRPr="00FF2C22">
        <w:t>Приобретение НФА (Поступление от поставщика) (Дт 105,106 - Кт 302)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commentRangeStart w:id="2"/>
            <w:r w:rsidRPr="00205643">
              <w:t>Входные данные</w:t>
            </w:r>
            <w:commentRangeEnd w:id="2"/>
            <w:r>
              <w:rPr>
                <w:rStyle w:val="ab"/>
                <w:b w:val="0"/>
                <w:bCs w:val="0"/>
              </w:rPr>
              <w:commentReference w:id="2"/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</w:t>
            </w:r>
            <w:r w:rsidRPr="00217BBB">
              <w:t>е</w:t>
            </w:r>
            <w:r w:rsidRPr="00217BBB">
              <w:t>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Поступление НФА →</w:t>
            </w:r>
          </w:p>
          <w:p w:rsidR="00D76BE6" w:rsidRPr="00217BBB" w:rsidRDefault="00D76BE6" w:rsidP="003842DA">
            <w:pPr>
              <w:pStyle w:val="EBTablenorm"/>
            </w:pPr>
            <w:r w:rsidRPr="00AD1074">
              <w:rPr>
                <w:sz w:val="22"/>
                <w:szCs w:val="22"/>
              </w:rPr>
              <w:t>Приходный о</w:t>
            </w:r>
            <w:r w:rsidRPr="00AD1074">
              <w:rPr>
                <w:sz w:val="22"/>
                <w:szCs w:val="22"/>
              </w:rPr>
              <w:t>р</w:t>
            </w:r>
            <w:r w:rsidRPr="00AD1074">
              <w:rPr>
                <w:sz w:val="22"/>
                <w:szCs w:val="22"/>
              </w:rPr>
              <w:t>дер на приемку МЦ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</w:t>
            </w:r>
            <w:r w:rsidRPr="00217BBB">
              <w:t>р</w:t>
            </w:r>
            <w:r w:rsidRPr="00217BBB">
              <w:t>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Добавить новый ЭФ «Пр</w:t>
            </w:r>
            <w:r w:rsidRPr="00217BBB">
              <w:t>и</w:t>
            </w:r>
            <w:r w:rsidRPr="00217BBB">
              <w:t>ходный ордер на приемку материальных ценностей (нефинансовых активов) (ф.0504207)»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реквизиты получателя, валюта, код валюты, КВФО, наимен</w:t>
            </w:r>
            <w:r w:rsidRPr="00217BBB">
              <w:t>о</w:t>
            </w:r>
            <w:r w:rsidRPr="00217BBB">
              <w:t>вание КВФО).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Тип операции</w:t>
            </w:r>
            <w:r>
              <w:t xml:space="preserve"> ТО=001</w:t>
            </w:r>
            <w:r w:rsidR="00AD1074">
              <w:t xml:space="preserve"> «</w:t>
            </w:r>
            <w:r w:rsidR="00AD1074" w:rsidRPr="00D76BE6">
              <w:t xml:space="preserve">Приобретение НФА (Поступление </w:t>
            </w:r>
            <w:r w:rsidR="00AD1074" w:rsidRPr="00D76BE6">
              <w:lastRenderedPageBreak/>
              <w:t>от поставщика) (Дт 105,106 - Кт 302)</w:t>
            </w:r>
            <w:r w:rsidR="00AD1074">
              <w:t>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lastRenderedPageBreak/>
              <w:t>Заполнилось поле «тип операции» и поле «код типа опер</w:t>
            </w:r>
            <w:r w:rsidRPr="00217BBB">
              <w:t>а</w:t>
            </w:r>
            <w:r w:rsidRPr="00217BBB">
              <w:t>ции».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>
              <w:t>В реквизитах «Получателя»</w:t>
            </w:r>
            <w:r w:rsidRPr="00217BBB">
              <w:t xml:space="preserve"> выбрать структурное подразделение из справочника «Структурных подраздел</w:t>
            </w:r>
            <w:r w:rsidRPr="00217BBB">
              <w:t>е</w:t>
            </w:r>
            <w:r w:rsidRPr="00217BBB">
              <w:t>ний», если подставленное по умолчанию значение не подходит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«структурные подразделения» значением, выбранным из справочн</w:t>
            </w:r>
            <w:r w:rsidRPr="00217BBB">
              <w:t>и</w:t>
            </w:r>
            <w:r w:rsidRPr="00217BBB">
              <w:t>ка.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В реквизитах «Поставщика» указать поставщика путем выбора из справочника «Контрагенты»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Заполнились все реквизиты поставщика из справочника «Контрагенты» на основании  выбранной записи.</w:t>
            </w:r>
          </w:p>
        </w:tc>
      </w:tr>
      <w:tr w:rsidR="00FB0F03" w:rsidRPr="002B18BF" w:rsidTr="003842DA">
        <w:trPr>
          <w:jc w:val="center"/>
        </w:trPr>
        <w:tc>
          <w:tcPr>
            <w:tcW w:w="462" w:type="pct"/>
          </w:tcPr>
          <w:p w:rsidR="00FB0F03" w:rsidRPr="00217BBB" w:rsidRDefault="00FB0F0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Заполнить реквизиты док</w:t>
            </w:r>
            <w:r w:rsidRPr="00217BBB">
              <w:t>у</w:t>
            </w:r>
            <w:r>
              <w:t>мента-</w:t>
            </w:r>
            <w:r w:rsidRPr="00217BBB">
              <w:t>основания</w:t>
            </w:r>
          </w:p>
        </w:tc>
        <w:tc>
          <w:tcPr>
            <w:tcW w:w="1174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док</w:t>
            </w:r>
            <w:r w:rsidRPr="00217BBB">
              <w:t>у</w:t>
            </w:r>
            <w:r w:rsidRPr="00217BBB">
              <w:t>мента-основания</w:t>
            </w:r>
          </w:p>
        </w:tc>
        <w:tc>
          <w:tcPr>
            <w:tcW w:w="1727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Заполнены реквизиты док</w:t>
            </w:r>
            <w:r w:rsidRPr="00217BBB">
              <w:t>у</w:t>
            </w:r>
            <w:r w:rsidRPr="00217BBB">
              <w:t>мента-основания.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Заполнить по желанию вручную реквизит «Допо</w:t>
            </w:r>
            <w:r w:rsidRPr="00217BBB">
              <w:t>л</w:t>
            </w:r>
            <w:r w:rsidRPr="00217BBB">
              <w:t>нительные сведения»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Если производилось заполнение, то поле «Дополнительные сведения» должно быть запо</w:t>
            </w:r>
            <w:r w:rsidRPr="00217BBB">
              <w:t>л</w:t>
            </w:r>
            <w:r w:rsidRPr="00217BBB">
              <w:t>нено.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на вкладку «Мат</w:t>
            </w:r>
            <w:r w:rsidRPr="00217BBB">
              <w:t>е</w:t>
            </w:r>
            <w:r w:rsidRPr="00217BBB">
              <w:t>риальные ценности»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Открылась вкладка «Матер</w:t>
            </w:r>
            <w:r w:rsidRPr="00217BBB">
              <w:t>и</w:t>
            </w:r>
            <w:r w:rsidRPr="00217BBB">
              <w:t>альные ценности».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В табличной части «Таблица материальных ценностей» добавить строку путем н</w:t>
            </w:r>
            <w:r w:rsidRPr="00217BBB">
              <w:t>а</w:t>
            </w:r>
            <w:r w:rsidRPr="00217BBB">
              <w:t>жатия на кнопку «Добавить»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Открытие формы заполнения строки таблицы, заполнился номер по порядку.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Заполнение реквизитов та</w:t>
            </w:r>
            <w:r w:rsidRPr="00217BBB">
              <w:t>б</w:t>
            </w:r>
            <w:r w:rsidRPr="00217BBB">
              <w:t>личной части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Реквизиты табли</w:t>
            </w:r>
            <w:r w:rsidRPr="00217BBB">
              <w:t>ч</w:t>
            </w:r>
            <w:r w:rsidRPr="00217BBB">
              <w:t>ной части от роли МОЛ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Обязательная часть реквизитов для текущей роли в та</w:t>
            </w:r>
            <w:r w:rsidRPr="00217BBB">
              <w:t>б</w:t>
            </w:r>
            <w:r w:rsidRPr="00217BBB">
              <w:t>личной части заполнена.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проверки и сохранен на статусе «Черновик». Документу пр</w:t>
            </w:r>
            <w:r w:rsidRPr="00217BBB">
              <w:t>и</w:t>
            </w:r>
            <w:r w:rsidRPr="00217BBB">
              <w:t>сваивается номер.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D76BE6">
            <w:pPr>
              <w:pStyle w:val="EBTablenorm"/>
            </w:pPr>
            <w:r w:rsidRPr="00217BBB">
              <w:t>Передать ЭФ Бухгалтеру путем нажатия на кнопку «Завершить редактиров</w:t>
            </w:r>
            <w:r w:rsidRPr="00217BBB">
              <w:t>а</w:t>
            </w:r>
            <w:r w:rsidRPr="00217BBB">
              <w:t>ние»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Заполнены реквизиты документа «Принял» должностью и ФИО подписавшего пользователя и датой подписания.</w:t>
            </w:r>
            <w:r>
              <w:t xml:space="preserve"> </w:t>
            </w:r>
            <w:r w:rsidRPr="00217BBB">
              <w:t>Статус документа изменился на</w:t>
            </w:r>
            <w:r>
              <w:t xml:space="preserve"> </w:t>
            </w:r>
            <w:r w:rsidRPr="00217BBB">
              <w:t>«Со</w:t>
            </w:r>
            <w:r w:rsidRPr="00217BBB">
              <w:t>з</w:t>
            </w:r>
            <w:r w:rsidRPr="00217BBB">
              <w:t>дан».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D76BE6" w:rsidRPr="00E56674" w:rsidRDefault="00E56674" w:rsidP="003842DA">
            <w:pPr>
              <w:pStyle w:val="EBTablenorm"/>
              <w:rPr>
                <w:lang w:val="en-US"/>
              </w:rPr>
            </w:pPr>
            <w:proofErr w:type="spellStart"/>
            <w:r w:rsidRPr="00E56674">
              <w:rPr>
                <w:lang w:val="en-US"/>
              </w:rPr>
              <w:t>a.poddubny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Открыть списочную форму ЭФ «Приходный ордер на </w:t>
            </w:r>
            <w:r w:rsidRPr="00217BBB">
              <w:lastRenderedPageBreak/>
              <w:t>приемку материальных ценностей (нефинансовых акт</w:t>
            </w:r>
            <w:r w:rsidRPr="00217BBB">
              <w:t>и</w:t>
            </w:r>
            <w:r w:rsidRPr="00217BBB">
              <w:t>вов) (ф.0504207)».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МОЛ и н</w:t>
            </w:r>
            <w:r w:rsidRPr="00217BBB">
              <w:t>а</w:t>
            </w:r>
            <w:r w:rsidRPr="00217BBB">
              <w:t xml:space="preserve">правленный Бухгалтеру </w:t>
            </w:r>
            <w:r w:rsidRPr="00217BBB">
              <w:lastRenderedPageBreak/>
              <w:t>ЭФ.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Открыть на редактирование из списочной </w:t>
            </w:r>
            <w:proofErr w:type="gramStart"/>
            <w:r w:rsidRPr="00217BBB">
              <w:t>формы</w:t>
            </w:r>
            <w:proofErr w:type="gramEnd"/>
            <w:r w:rsidRPr="00217BBB">
              <w:t xml:space="preserve"> созданные материально-ответственным лицом ЭФ «Приходный ордер на приемку материальных ценностей (нефинансовых акт</w:t>
            </w:r>
            <w:r w:rsidRPr="00217BBB">
              <w:t>и</w:t>
            </w:r>
            <w:r w:rsidRPr="00217BBB">
              <w:t>вов) (ф.0504207)».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Отобразится визуальная форма ЭФ с заполненными материально-ответственным л</w:t>
            </w:r>
            <w:r w:rsidRPr="00217BBB">
              <w:t>и</w:t>
            </w:r>
            <w:r w:rsidRPr="00217BBB">
              <w:t>цом полями.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Дата отражения в учете, по умолчанию заполненная датой документа, может быть отредактирована бухгалт</w:t>
            </w:r>
            <w:r w:rsidRPr="00217BBB">
              <w:t>е</w:t>
            </w:r>
            <w:r w:rsidRPr="00217BBB">
              <w:t>ром.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Дата отражения в уче</w:t>
            </w:r>
            <w:r>
              <w:t>те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Дата отражения в учете осталась прежней (если её не м</w:t>
            </w:r>
            <w:r w:rsidRPr="00217BBB">
              <w:t>е</w:t>
            </w:r>
            <w:r w:rsidRPr="00217BBB">
              <w:t>няли), либо поменялась на ту, что установил бухгалтер.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КВФО</w:t>
            </w:r>
            <w:r>
              <w:t xml:space="preserve"> </w:t>
            </w:r>
            <w:proofErr w:type="gramStart"/>
            <w:r>
              <w:t>заполненный</w:t>
            </w:r>
            <w:proofErr w:type="gramEnd"/>
            <w:r>
              <w:t xml:space="preserve"> по умолчанию,</w:t>
            </w:r>
            <w:r w:rsidRPr="00217BBB">
              <w:t xml:space="preserve"> может быть о</w:t>
            </w:r>
            <w:r w:rsidRPr="00217BBB">
              <w:t>т</w:t>
            </w:r>
            <w:r w:rsidRPr="00217BBB">
              <w:t>редактирован бухгалтером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КВФО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КВФО остался прежни</w:t>
            </w:r>
            <w:r w:rsidRPr="00217BBB">
              <w:t>м (если значение не меняли), либо поменялся на тот, что устан</w:t>
            </w:r>
            <w:r w:rsidRPr="00217BBB">
              <w:t>о</w:t>
            </w:r>
            <w:r w:rsidRPr="00217BBB">
              <w:t>вил бухгалтер.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на вкладку «Мат</w:t>
            </w:r>
            <w:r w:rsidRPr="00217BBB">
              <w:t>е</w:t>
            </w:r>
            <w:r w:rsidRPr="00217BBB">
              <w:t>риальные ценности»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Открылась вкладка «Матер</w:t>
            </w:r>
            <w:r w:rsidRPr="00217BBB">
              <w:t>и</w:t>
            </w:r>
            <w:r w:rsidRPr="00217BBB">
              <w:t>альные ценности».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В табличной части «Таблица материальных ценностей» открыть на редактирование строку путем нажатия на кнопку «Редактир</w:t>
            </w:r>
            <w:r w:rsidRPr="00217BBB">
              <w:t>о</w:t>
            </w:r>
            <w:r w:rsidRPr="00217BBB">
              <w:t>вать»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Открытие формы заполнения строки таблицы с данными уже заполненными матер</w:t>
            </w:r>
            <w:r w:rsidRPr="00217BBB">
              <w:t>и</w:t>
            </w:r>
            <w:r w:rsidRPr="00217BBB">
              <w:t>ально-ответственным лицом.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Заполнение табличной ча</w:t>
            </w:r>
            <w:r w:rsidRPr="00217BBB">
              <w:t>с</w:t>
            </w:r>
            <w:r w:rsidRPr="00217BBB">
              <w:t>ти от роли бухгалтер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Реквизиты табли</w:t>
            </w:r>
            <w:r w:rsidRPr="00217BBB">
              <w:t>ч</w:t>
            </w:r>
            <w:r w:rsidRPr="00217BBB">
              <w:t>ной части от роли бухгалтер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Обязательная часть реквизитов для текущей роли в та</w:t>
            </w:r>
            <w:r w:rsidRPr="00217BBB">
              <w:t>б</w:t>
            </w:r>
            <w:r w:rsidRPr="00217BBB">
              <w:t>личной части заполнена.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на вкладку «Зап</w:t>
            </w:r>
            <w:r w:rsidRPr="00217BBB">
              <w:t>и</w:t>
            </w:r>
            <w:r w:rsidRPr="00217BBB">
              <w:t>си на счетах учета»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Открылась вкладка «Записи на счетах учета».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Нажать на кнопку «Подо</w:t>
            </w:r>
            <w:r w:rsidRPr="00217BBB">
              <w:t>б</w:t>
            </w:r>
            <w:r w:rsidRPr="00217BBB">
              <w:t>рать бухгалтерские записи»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Заполнилась строка табличной части «Бухгалтерские з</w:t>
            </w:r>
            <w:r w:rsidRPr="00217BBB">
              <w:t>а</w:t>
            </w:r>
            <w:r w:rsidRPr="00217BBB">
              <w:t>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</w:t>
            </w:r>
            <w:r w:rsidRPr="00217BBB">
              <w:t>р</w:t>
            </w:r>
            <w:r w:rsidRPr="00217BBB">
              <w:t>ки и сохранен на статусе «Создан».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</w:t>
            </w:r>
            <w:r w:rsidRPr="00217BBB">
              <w:t>с</w:t>
            </w:r>
            <w:r w:rsidRPr="00217BBB">
              <w:t>ти ЭФ на статус «Отражен в учете», подписать ЭП.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Документ подписан ЭП.</w:t>
            </w:r>
            <w:r w:rsidRPr="00217BBB">
              <w:t xml:space="preserve"> Заполнены реквизиты документа «Ответственный исполнитель» должностью и ФИО подписавшего пользователя и датой подписания. 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</w:t>
            </w:r>
            <w:r w:rsidRPr="00217BBB">
              <w:t>е</w:t>
            </w:r>
            <w:r w:rsidRPr="00217BBB">
              <w:t>те».</w:t>
            </w:r>
          </w:p>
          <w:p w:rsidR="00D76BE6" w:rsidRPr="00217BBB" w:rsidRDefault="00D76BE6" w:rsidP="003842DA">
            <w:pPr>
              <w:pStyle w:val="EBTablenorm"/>
            </w:pPr>
            <w:r w:rsidRPr="00217BBB">
              <w:lastRenderedPageBreak/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</w:t>
            </w:r>
            <w:r w:rsidRPr="00217BBB">
              <w:t>в</w:t>
            </w:r>
            <w:r w:rsidRPr="00217BBB">
              <w:t>шейся проводке.</w:t>
            </w:r>
          </w:p>
          <w:p w:rsidR="00D76BE6" w:rsidRPr="00217BBB" w:rsidRDefault="00D76BE6" w:rsidP="003842DA">
            <w:pPr>
              <w:pStyle w:val="EBTablenorm"/>
            </w:pPr>
            <w:r w:rsidRPr="00217BBB">
              <w:t>Создалась Карточка МЦ и операция по ней с типом «п</w:t>
            </w:r>
            <w:r w:rsidRPr="00217BBB">
              <w:t>о</w:t>
            </w:r>
            <w:r w:rsidRPr="00217BBB">
              <w:t>ступление».</w:t>
            </w:r>
          </w:p>
          <w:p w:rsidR="00D76BE6" w:rsidRPr="00217BBB" w:rsidRDefault="00D76BE6" w:rsidP="003842DA">
            <w:pPr>
              <w:pStyle w:val="EBTablenorm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</w:t>
            </w:r>
            <w:r w:rsidRPr="00217BBB">
              <w:t>е</w:t>
            </w:r>
            <w:r w:rsidRPr="00217BBB">
              <w:t>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</w:t>
            </w:r>
            <w:r w:rsidRPr="00217BBB">
              <w:t>р</w:t>
            </w:r>
            <w:r w:rsidRPr="00217BBB">
              <w:t>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Pr="00E56674" w:rsidRDefault="00E56674" w:rsidP="00E56674">
      <w:pPr>
        <w:ind w:firstLine="0"/>
        <w:rPr>
          <w:b/>
          <w:lang w:val="en-US"/>
        </w:rPr>
      </w:pPr>
      <w:proofErr w:type="spellStart"/>
      <w:r w:rsidRPr="00E56674">
        <w:rPr>
          <w:b/>
          <w:lang w:val="en-US"/>
        </w:rPr>
        <w:t>Описание</w:t>
      </w:r>
      <w:proofErr w:type="spellEnd"/>
      <w:r w:rsidRPr="00E56674">
        <w:rPr>
          <w:b/>
          <w:lang w:val="en-US"/>
        </w:rPr>
        <w:t xml:space="preserve"> </w:t>
      </w:r>
      <w:proofErr w:type="spellStart"/>
      <w:r w:rsidRPr="00E56674">
        <w:rPr>
          <w:b/>
          <w:lang w:val="en-US"/>
        </w:rPr>
        <w:t>входных</w:t>
      </w:r>
      <w:proofErr w:type="spellEnd"/>
      <w:r w:rsidRPr="00E56674">
        <w:rPr>
          <w:b/>
          <w:lang w:val="en-US"/>
        </w:rPr>
        <w:t xml:space="preserve"> </w:t>
      </w:r>
      <w:proofErr w:type="spellStart"/>
      <w:r w:rsidRPr="00E56674">
        <w:rPr>
          <w:b/>
          <w:lang w:val="en-US"/>
        </w:rPr>
        <w:t>данных</w:t>
      </w:r>
      <w:proofErr w:type="spellEnd"/>
    </w:p>
    <w:p w:rsidR="00E56674" w:rsidRDefault="00E56674">
      <w:pPr>
        <w:rPr>
          <w:lang w:val="en-US"/>
        </w:rPr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1412"/>
        <w:gridCol w:w="4221"/>
        <w:gridCol w:w="4221"/>
      </w:tblGrid>
      <w:tr w:rsidR="00E56674" w:rsidRPr="000C6DC1" w:rsidTr="00A4270A">
        <w:trPr>
          <w:tblHeader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E56674" w:rsidRPr="00205643" w:rsidRDefault="00E56674" w:rsidP="003842DA">
            <w:pPr>
              <w:pStyle w:val="EBTableHead"/>
            </w:pPr>
            <w:r w:rsidRPr="00205643">
              <w:t>№ шага сценария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E56674" w:rsidRPr="00205643" w:rsidRDefault="00E56674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E56674" w:rsidRPr="00205643" w:rsidRDefault="00E56674" w:rsidP="003842DA">
            <w:pPr>
              <w:pStyle w:val="EBTableHead"/>
            </w:pPr>
            <w:r w:rsidRPr="00205643">
              <w:t>Ожидаемый результат/Значение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 w:val="restart"/>
          </w:tcPr>
          <w:p w:rsidR="00FB0F03" w:rsidRPr="00217BBB" w:rsidRDefault="00FB0F03" w:rsidP="003842DA">
            <w:pPr>
              <w:pStyle w:val="EBTablenorm"/>
            </w:pPr>
            <w:r>
              <w:rPr>
                <w:lang w:val="en-US"/>
              </w:rPr>
              <w:t>1.7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документа-основания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Вид документа-основания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Накладная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Номер документа-основания</w:t>
            </w:r>
          </w:p>
        </w:tc>
        <w:tc>
          <w:tcPr>
            <w:tcW w:w="2142" w:type="pct"/>
          </w:tcPr>
          <w:p w:rsidR="00FB0F03" w:rsidRPr="00E56674" w:rsidRDefault="00FB0F03" w:rsidP="003842DA">
            <w:pPr>
              <w:pStyle w:val="EBTablenorm"/>
              <w:rPr>
                <w:lang w:val="en-US"/>
              </w:rPr>
            </w:pPr>
            <w:r w:rsidRPr="00217BBB">
              <w:t>654321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Дата документа-основания</w:t>
            </w:r>
          </w:p>
        </w:tc>
        <w:tc>
          <w:tcPr>
            <w:tcW w:w="2142" w:type="pct"/>
          </w:tcPr>
          <w:p w:rsidR="00FB0F03" w:rsidRPr="00E56674" w:rsidRDefault="00FB0F03" w:rsidP="00E56674">
            <w:pPr>
              <w:pStyle w:val="EBTablenorm"/>
              <w:rPr>
                <w:lang w:val="en-US"/>
              </w:rPr>
            </w:pPr>
            <w:r w:rsidRPr="00217BBB">
              <w:t>08.12.2015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 w:val="restart"/>
          </w:tcPr>
          <w:p w:rsidR="00FB0F03" w:rsidRPr="00217BBB" w:rsidRDefault="00FB0F03" w:rsidP="003842DA">
            <w:pPr>
              <w:pStyle w:val="EBTablenorm"/>
            </w:pPr>
            <w:r>
              <w:rPr>
                <w:lang w:val="en-US"/>
              </w:rPr>
              <w:t>1.</w:t>
            </w:r>
            <w:r w:rsidRPr="00217BBB">
              <w:t>11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табличной части от роли МОЛ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ТРУ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Из справочника «ТРУ» заполнить значение  = Стол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Атрибут ТРУ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Из справочника «Атрибут ТРУ» з</w:t>
            </w:r>
            <w:r w:rsidRPr="00217BBB">
              <w:t>а</w:t>
            </w:r>
            <w:r w:rsidRPr="00217BBB">
              <w:t>полнить значение  = офисный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Атрибут ТРУ 2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Из справочника «Атрибут ТРУ 2» з</w:t>
            </w:r>
            <w:r w:rsidRPr="00217BBB">
              <w:t>а</w:t>
            </w:r>
            <w:r w:rsidRPr="00217BBB">
              <w:t>полнить значение  = сотрудника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Наименование из ГК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 xml:space="preserve">Вручную </w:t>
            </w:r>
            <w:r>
              <w:t>вбить «Фотоаппарат</w:t>
            </w:r>
            <w:r w:rsidRPr="00217BBB">
              <w:t>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Наименование мат</w:t>
            </w:r>
            <w:proofErr w:type="gramStart"/>
            <w:r w:rsidRPr="00217BBB">
              <w:t>.ц</w:t>
            </w:r>
            <w:proofErr w:type="gramEnd"/>
            <w:r w:rsidRPr="00217BBB">
              <w:t>енностей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Скопировалось значение из поля «Наименование из ГК». Поменять вру</w:t>
            </w:r>
            <w:r w:rsidRPr="00217BBB">
              <w:t>ч</w:t>
            </w:r>
            <w:r w:rsidRPr="00217BBB">
              <w:t>ную значение на</w:t>
            </w:r>
            <w:r>
              <w:t xml:space="preserve"> </w:t>
            </w:r>
            <w:r w:rsidRPr="00217BBB">
              <w:t>«</w:t>
            </w:r>
            <w:r>
              <w:t>Фотоаппарат</w:t>
            </w:r>
            <w:r w:rsidRPr="00217BBB">
              <w:t>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Единица измерения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Подт</w:t>
            </w:r>
            <w:r>
              <w:t>я</w:t>
            </w:r>
            <w:r w:rsidRPr="00217BBB">
              <w:t>нулась из справочника «ТРУ» на основании  выбранной записи ТРУ из справочника «ТРУ». Значение = «</w:t>
            </w:r>
            <w:proofErr w:type="spellStart"/>
            <w:r w:rsidRPr="00217BBB">
              <w:t>шт</w:t>
            </w:r>
            <w:proofErr w:type="spellEnd"/>
            <w:r w:rsidRPr="00217BBB">
              <w:t>».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Код единицы измерения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>Под</w:t>
            </w:r>
            <w:r w:rsidRPr="00217BBB">
              <w:t>т</w:t>
            </w:r>
            <w:r>
              <w:t>я</w:t>
            </w:r>
            <w:r w:rsidRPr="00217BBB">
              <w:t xml:space="preserve">нулась из </w:t>
            </w:r>
            <w:r>
              <w:t xml:space="preserve">справочника «ТРУ» на основании </w:t>
            </w:r>
            <w:r w:rsidRPr="00217BBB">
              <w:t>выбранной записи ТРУ из справочника «ТРУ» Значение = «796».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Цена (в валюте документа)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 xml:space="preserve">Выставить вручную </w:t>
            </w:r>
            <w:r w:rsidRPr="00217BBB">
              <w:t xml:space="preserve">значение  = </w:t>
            </w:r>
            <w:r>
              <w:t>7400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Количество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Выставить в</w:t>
            </w:r>
            <w:r>
              <w:t xml:space="preserve">ручную </w:t>
            </w:r>
            <w:r w:rsidRPr="00217BBB">
              <w:t xml:space="preserve">значение  = </w:t>
            </w:r>
            <w:r>
              <w:t>20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Сумма (в валюте документа)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Подсчет автоматически на основании введенных «Цены» и «Количества»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Кому предназначение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Не заполнять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</w:tcPr>
          <w:p w:rsidR="00FB0F03" w:rsidRPr="00217BBB" w:rsidRDefault="00FB0F03" w:rsidP="003842DA">
            <w:pPr>
              <w:pStyle w:val="EBTablenorm"/>
            </w:pPr>
            <w:r>
              <w:t>1.</w:t>
            </w:r>
            <w:r w:rsidRPr="00217BBB">
              <w:t>17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Дата отражения в учете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>11.04.2017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</w:tcPr>
          <w:p w:rsidR="00FB0F03" w:rsidRPr="00217BBB" w:rsidDel="00613A1F" w:rsidRDefault="00FB0F03" w:rsidP="003842DA">
            <w:pPr>
              <w:pStyle w:val="EBTablenorm"/>
            </w:pPr>
            <w:r>
              <w:t>1.</w:t>
            </w:r>
            <w:r w:rsidRPr="00217BBB">
              <w:t>18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КВФО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1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 w:val="restart"/>
          </w:tcPr>
          <w:p w:rsidR="00FB0F03" w:rsidRPr="00217BBB" w:rsidRDefault="00FB0F03" w:rsidP="003842DA">
            <w:pPr>
              <w:pStyle w:val="EBTablenorm"/>
            </w:pPr>
            <w:r>
              <w:t>1.</w:t>
            </w:r>
            <w:r w:rsidRPr="00217BBB">
              <w:t>21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КБК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10007025221300244340. После ввода автоматически заполнилось поле КОСГУ значением = 310, автоматически заполнилось поле КППВ пе</w:t>
            </w:r>
            <w:r w:rsidRPr="00217BBB">
              <w:t>р</w:t>
            </w:r>
            <w:r w:rsidRPr="00217BBB">
              <w:t>выми 17 символами КБК, т</w:t>
            </w:r>
            <w:proofErr w:type="gramStart"/>
            <w:r w:rsidRPr="00217BBB">
              <w:t>.е</w:t>
            </w:r>
            <w:proofErr w:type="gramEnd"/>
            <w:r w:rsidRPr="00217BBB">
              <w:t xml:space="preserve"> значение = «10007025221300244»</w:t>
            </w:r>
          </w:p>
        </w:tc>
      </w:tr>
      <w:tr w:rsidR="00FB0F03" w:rsidRPr="000C6DC1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Тип МЦ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>
              <w:t xml:space="preserve">Выбор из списка </w:t>
            </w:r>
            <w:r w:rsidRPr="00217BBB">
              <w:t>значения = «Основные средства». Реквизит «Через 106 счет» автоматически  = Истина и н</w:t>
            </w:r>
            <w:r w:rsidRPr="00217BBB">
              <w:t>е</w:t>
            </w:r>
            <w:r w:rsidRPr="00217BBB">
              <w:t>доступен на редактирование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Группа МЦ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Выбор из списка значения  = «Иное движимое имущество»</w:t>
            </w:r>
          </w:p>
        </w:tc>
      </w:tr>
      <w:tr w:rsidR="00FB0F03" w:rsidRPr="00146B83" w:rsidTr="003842DA">
        <w:trPr>
          <w:jc w:val="center"/>
        </w:trPr>
        <w:tc>
          <w:tcPr>
            <w:tcW w:w="716" w:type="pct"/>
            <w:vMerge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Вид МЦ</w:t>
            </w:r>
          </w:p>
        </w:tc>
        <w:tc>
          <w:tcPr>
            <w:tcW w:w="21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Выбор из списка значения  = «Пр</w:t>
            </w:r>
            <w:r w:rsidRPr="00217BBB">
              <w:t>о</w:t>
            </w:r>
            <w:r w:rsidRPr="00217BBB">
              <w:t>чие ОС»</w:t>
            </w:r>
          </w:p>
        </w:tc>
      </w:tr>
    </w:tbl>
    <w:p w:rsidR="00E56674" w:rsidRPr="00E56674" w:rsidRDefault="00E56674"/>
    <w:sectPr w:rsidR="00E56674" w:rsidRP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rtynova.tatyana" w:date="2017-04-11T17:51:00Z" w:initials="m">
    <w:p w:rsidR="00D76BE6" w:rsidRPr="00554FE4" w:rsidRDefault="00D76BE6" w:rsidP="00D76BE6">
      <w:pPr>
        <w:pStyle w:val="a9"/>
      </w:pPr>
      <w:r>
        <w:rPr>
          <w:rStyle w:val="ab"/>
        </w:rPr>
        <w:annotationRef/>
      </w:r>
      <w:proofErr w:type="gramStart"/>
      <w:r>
        <w:t>Возмо</w:t>
      </w:r>
      <w:r>
        <w:t>ж</w:t>
      </w:r>
      <w:r>
        <w:t>но</w:t>
      </w:r>
      <w:proofErr w:type="gramEnd"/>
      <w:r>
        <w:t xml:space="preserve"> пустые ячейки необходимо заполнить данными.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7169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6</cp:revision>
  <dcterms:created xsi:type="dcterms:W3CDTF">2017-04-11T14:37:00Z</dcterms:created>
  <dcterms:modified xsi:type="dcterms:W3CDTF">2017-04-11T16:11:00Z</dcterms:modified>
</cp:coreProperties>
</file>