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b/>
          <w:color w:val="1F4E79"/>
          <w:sz w:val="52"/>
        </w:rPr>
        <w:t>论文修改方案</w:t>
      </w:r>
    </w:p>
    <w:p>
      <w:pPr>
        <w:jc w:val="center"/>
      </w:pPr>
      <w:r>
        <w:rPr>
          <w:i/>
          <w:color w:val="404040"/>
          <w:sz w:val="26"/>
        </w:rPr>
        <w:t>Detailed Revision Plan for Applied Energy Submission</w:t>
      </w:r>
    </w:p>
    <w:p>
      <w:pPr>
        <w:spacing w:after="400"/>
        <w:jc w:val="center"/>
      </w:pPr>
      <w:r>
        <w:rPr>
          <w:color w:val="404040"/>
          <w:sz w:val="20"/>
        </w:rPr>
        <w:t>Operating-Boundary Routing Accountability and Transition-Window Reserve Diagnostics for Wind-Power Transitions</w:t>
      </w:r>
    </w:p>
    <w:p>
      <w:r>
        <w:br w:type="page"/>
      </w:r>
    </w:p>
    <w:p>
      <w:pPr>
        <w:spacing w:before="360" w:after="120"/>
        <w:pBdr>
          <w:bottom w:val="single" w:sz="6" w:color="1F4E79"/>
        </w:pBdr>
      </w:pPr>
      <w:r>
        <w:rPr>
          <w:b/>
          <w:color w:val="1F4E79"/>
          <w:sz w:val="32"/>
        </w:rPr>
        <w:t>一、总体诊断  General Diagnosis</w:t>
      </w:r>
    </w:p>
    <w:p>
      <w:pPr>
        <w:spacing w:before="80" w:after="120"/>
      </w:pPr>
      <w:r>
        <w:rPr>
          <w:b w:val="0"/>
          <w:i w:val="0"/>
          <w:color w:val="404040"/>
          <w:sz w:val="21"/>
        </w:rPr>
        <w:t>本文的核心贡献是真实且有价值的，但整篇文章的写作风格介于内部技术审计（audit log）和学术期刊论文之间，存在三个系统性问题，需要在投稿 Applied Energy 前解决。</w:t>
      </w:r>
    </w:p>
    <w:tbl>
      <w:tblPr>
        <w:tblStyle w:val="TableGrid"/>
        <w:tblW w:type="auto" w:w="0"/>
        <w:tblLook w:firstColumn="1" w:firstRow="1" w:lastColumn="0" w:lastRow="0" w:noHBand="0" w:noVBand="1" w:val="04A0"/>
      </w:tblPr>
      <w:tblGrid>
        <w:gridCol w:w="9360"/>
      </w:tblGrid>
      <w:tr>
        <w:tc>
          <w:tcPr>
            <w:tcW w:type="dxa" w:w="9360"/>
            <w:shd w:val="clear" w:color="auto" w:fill="D6E4F0"/>
            <w:tcBorders>
              <w:top w:val="nil"/>
              <w:left w:val="nil"/>
              <w:bottom w:val="nil"/>
              <w:right w:val="nil"/>
              <w:insideH w:val="nil"/>
              <w:insideV w:val="nil"/>
            </w:tcBorders>
          </w:tcPr>
          <w:p>
            <w:pPr>
              <w:spacing w:before="80" w:after="60"/>
            </w:pPr>
            <w:r>
              <w:rPr>
                <w:b/>
                <w:color w:val="1F4E79"/>
                <w:sz w:val="21"/>
              </w:rPr>
              <w:t>三个核心问题 / Three Systemic Problems</w:t>
            </w:r>
          </w:p>
          <w:p>
            <w:pPr>
              <w:spacing w:before="20" w:after="40"/>
            </w:pPr>
            <w:r>
              <w:rPr>
                <w:color w:val="404040"/>
                <w:sz w:val="20"/>
              </w:rPr>
              <w:t>① 过度自我限定（Over-qualification）：每一个结论后立即跟随5-6句免责声明，打断叙事节奏。Applied Energy 审稿人希望看到清晰、有据可查的论点，而边界条件应集中在 Limitations 一节。</w:t>
            </w:r>
          </w:p>
          <w:p>
            <w:pPr>
              <w:spacing w:before="20" w:after="40"/>
            </w:pPr>
            <w:r>
              <w:rPr>
                <w:color w:val="404040"/>
                <w:sz w:val="20"/>
              </w:rPr>
            </w:r>
          </w:p>
          <w:p>
            <w:pPr>
              <w:spacing w:before="20" w:after="40"/>
            </w:pPr>
            <w:r>
              <w:rPr>
                <w:color w:val="404040"/>
                <w:sz w:val="20"/>
              </w:rPr>
              <w:t>② 非人称报告语言（Impersonal register）：'The paper makes three contributions...' / 'The study does not implement...' 是内部报告语言，不是期刊论文语言。全文应转向第一人称主动句，或让发现本身做主语。</w:t>
            </w:r>
          </w:p>
          <w:p>
            <w:pPr>
              <w:spacing w:before="20" w:after="40"/>
            </w:pPr>
            <w:r>
              <w:rPr>
                <w:color w:val="404040"/>
                <w:sz w:val="20"/>
              </w:rPr>
            </w:r>
          </w:p>
          <w:p>
            <w:pPr>
              <w:spacing w:before="20" w:after="40"/>
            </w:pPr>
            <w:r>
              <w:rPr>
                <w:color w:val="404040"/>
                <w:sz w:val="20"/>
              </w:rPr>
              <w:t>③ 实验部分像审计日志（Results as audit logs）：数字直接从表格搬入正文，没有分析性解读；每段重复表格内容而不解释含义；存在大量形如 'The X table is the evidence source...' 的内部追溯语句。</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F4E79"/>
          </w:tcPr>
          <w:p>
            <w:r>
              <w:rPr>
                <w:b/>
                <w:color w:val="FFFFFF"/>
                <w:sz w:val="20"/>
              </w:rPr>
              <w:t>当前状态 Current State</w:t>
            </w:r>
          </w:p>
        </w:tc>
        <w:tc>
          <w:tcPr>
            <w:tcW w:type="dxa" w:w="4680"/>
            <w:shd w:val="clear" w:color="auto" w:fill="1F4E79"/>
          </w:tcPr>
          <w:p>
            <w:r>
              <w:rPr>
                <w:b/>
                <w:color w:val="FFFFFF"/>
                <w:sz w:val="20"/>
              </w:rPr>
              <w:t>目标状态 Target State</w:t>
            </w:r>
          </w:p>
        </w:tc>
      </w:tr>
      <w:tr>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Results 章节逐行复述表格数字</w:t>
            </w:r>
          </w:p>
        </w:tc>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文字解读意义，数字留在表格</w:t>
            </w:r>
          </w:p>
        </w:tc>
      </w:tr>
      <w:tr>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免责声明散布在 Results 全文</w:t>
            </w:r>
          </w:p>
        </w:tc>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Limitations 章节集中处理边界条件</w:t>
            </w:r>
          </w:p>
        </w:tc>
      </w:tr>
      <w:tr>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'The paper reports...' / 'The study avoids...'</w:t>
            </w:r>
          </w:p>
        </w:tc>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'We show...' / 'Gate-conditioned binning reduces...'</w:t>
            </w:r>
          </w:p>
        </w:tc>
      </w:tr>
      <w:tr>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Gap summary 在 Related Work 子节（2.4）</w:t>
            </w:r>
          </w:p>
        </w:tc>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Gap statement 移至 Introduction 末段</w:t>
            </w:r>
          </w:p>
        </w:tc>
      </w:tr>
      <w:tr>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内部文档语言（frozen evaluation split, artifact package...）</w:t>
            </w:r>
          </w:p>
        </w:tc>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面向期刊读者的学术表达，细节入 Supplementary</w:t>
            </w:r>
          </w:p>
        </w:tc>
      </w:tr>
      <w:tr>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Abstract 首句解释「什么是预测价值」</w:t>
            </w:r>
          </w:p>
        </w:tc>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Abstract 首句直接呈现操作问题（reserve violation）</w:t>
            </w:r>
          </w:p>
        </w:tc>
      </w:tr>
    </w:tbl>
    <w:p/>
    <w:p>
      <w:pPr>
        <w:spacing w:before="80" w:after="120"/>
      </w:pPr>
      <w:r>
        <w:rPr>
          <w:b w:val="0"/>
          <w:i w:val="0"/>
          <w:color w:val="404040"/>
          <w:sz w:val="21"/>
        </w:rPr>
        <w:t>Applied Energy 期刊偏好：能源系统的实际应用价值清晰；方法论严谨但叙述流畅；Discussion 与 Results 有效整合。目标字数：主文 8,000–10,000 词（不含参考文献）。当前估计约 16,000–18,000 词，需压缩约 40%。</w:t>
      </w:r>
    </w:p>
    <w:p>
      <w:pPr>
        <w:spacing w:before="360" w:after="120"/>
        <w:pBdr>
          <w:bottom w:val="single" w:sz="6" w:color="1F4E79"/>
        </w:pBdr>
      </w:pPr>
      <w:r>
        <w:rPr>
          <w:b/>
          <w:color w:val="1F4E79"/>
          <w:sz w:val="32"/>
        </w:rPr>
        <w:t>二、Abstract 修改方案</w:t>
      </w:r>
    </w:p>
    <w:p>
      <w:pPr>
        <w:spacing w:before="240" w:after="80"/>
      </w:pPr>
      <w:r>
        <w:rPr>
          <w:b/>
          <w:color w:val="1F4E79"/>
          <w:sz w:val="26"/>
        </w:rPr>
        <w:t>2.1 当前问题诊断</w:t>
      </w:r>
    </w:p>
    <w:tbl>
      <w:tblPr>
        <w:tblStyle w:val="TableGrid"/>
        <w:tblW w:type="auto" w:w="0"/>
        <w:tblLook w:firstColumn="1" w:firstRow="1" w:lastColumn="0" w:lastRow="0" w:noHBand="0" w:noVBand="1" w:val="04A0"/>
      </w:tblPr>
      <w:tblGrid>
        <w:gridCol w:w="9360"/>
      </w:tblGrid>
      <w:tr>
        <w:tc>
          <w:tcPr>
            <w:tcW w:type="dxa" w:w="9360"/>
            <w:shd w:val="clear" w:color="auto" w:fill="FDECEA"/>
            <w:tcBorders>
              <w:top w:val="nil"/>
              <w:left w:val="nil"/>
              <w:bottom w:val="nil"/>
              <w:right w:val="nil"/>
              <w:insideH w:val="nil"/>
              <w:insideV w:val="nil"/>
            </w:tcBorders>
          </w:tcPr>
          <w:p>
            <w:pPr>
              <w:spacing w:before="80" w:after="60"/>
            </w:pPr>
            <w:r>
              <w:rPr>
                <w:b/>
                <w:color w:val="843C0C"/>
                <w:sz w:val="21"/>
              </w:rPr>
              <w:t>问题 1 — 开篇哲学化，不抓人</w:t>
            </w:r>
          </w:p>
          <w:p>
            <w:pPr>
              <w:spacing w:before="20" w:after="40"/>
            </w:pPr>
            <w:r>
              <w:rPr>
                <w:color w:val="404040"/>
                <w:sz w:val="20"/>
              </w:rPr>
              <w:t>原文：'Wind-power forecasts become operationally valuable when they change how much reserve an operator carries, not merely when they lower a fleet-wide error score.'</w:t>
            </w:r>
          </w:p>
          <w:p>
            <w:pPr>
              <w:spacing w:before="20" w:after="40"/>
            </w:pPr>
            <w:r>
              <w:rPr>
                <w:color w:val="404040"/>
                <w:sz w:val="20"/>
              </w:rPr>
            </w:r>
          </w:p>
          <w:p>
            <w:pPr>
              <w:spacing w:before="20" w:after="40"/>
            </w:pPr>
            <w:r>
              <w:rPr>
                <w:color w:val="404040"/>
                <w:sz w:val="20"/>
              </w:rPr>
              <w:t>这句话本可作为 Introduction 的 hook，但作为 Abstract 开篇，它消耗宝贵空间解释一个已知观点，而非立即呈现本文要解决的具体工程问题。Applied Energy 读者在 Abstract 第一句就想知道：这篇文章研究的是什么操作问题？</w:t>
            </w:r>
          </w:p>
        </w:tc>
      </w:tr>
    </w:tbl>
    <w:p/>
    <w:tbl>
      <w:tblPr>
        <w:tblStyle w:val="TableGrid"/>
        <w:tblW w:type="auto" w:w="0"/>
        <w:tblLook w:firstColumn="1" w:firstRow="1" w:lastColumn="0" w:lastRow="0" w:noHBand="0" w:noVBand="1" w:val="04A0"/>
      </w:tblPr>
      <w:tblGrid>
        <w:gridCol w:w="9360"/>
      </w:tblGrid>
      <w:tr>
        <w:tc>
          <w:tcPr>
            <w:tcW w:type="dxa" w:w="9360"/>
            <w:shd w:val="clear" w:color="auto" w:fill="FDECEA"/>
            <w:tcBorders>
              <w:top w:val="nil"/>
              <w:left w:val="nil"/>
              <w:bottom w:val="nil"/>
              <w:right w:val="nil"/>
              <w:insideH w:val="nil"/>
              <w:insideV w:val="nil"/>
            </w:tcBorders>
          </w:tcPr>
          <w:p>
            <w:pPr>
              <w:spacing w:before="80" w:after="60"/>
            </w:pPr>
            <w:r>
              <w:rPr>
                <w:b/>
                <w:color w:val="843C0C"/>
                <w:sz w:val="21"/>
              </w:rPr>
              <w:t>问题 2 — 首句出现六个专业缩写</w:t>
            </w:r>
          </w:p>
          <w:p>
            <w:pPr>
              <w:spacing w:before="20" w:after="40"/>
            </w:pPr>
            <w:r>
              <w:rPr>
                <w:color w:val="404040"/>
                <w:sz w:val="20"/>
              </w:rPr>
              <w:t>MPPT、SCADA、WTB、ERA5、MoE、GRU 在前两句同时出现，大幅提高了 Applied Energy 能源系统读者（非控制/ML 专家）的阅读门槛。</w:t>
            </w:r>
          </w:p>
          <w:p>
            <w:pPr>
              <w:spacing w:before="20" w:after="40"/>
            </w:pPr>
            <w:r>
              <w:rPr>
                <w:color w:val="404040"/>
                <w:sz w:val="20"/>
              </w:rPr>
              <w:t>建议：只在必要时引入缩写；第一次出现时写全称并在括号内给缩写。</w:t>
            </w:r>
          </w:p>
        </w:tc>
      </w:tr>
    </w:tbl>
    <w:p/>
    <w:tbl>
      <w:tblPr>
        <w:tblStyle w:val="TableGrid"/>
        <w:tblW w:type="auto" w:w="0"/>
        <w:tblLook w:firstColumn="1" w:firstRow="1" w:lastColumn="0" w:lastRow="0" w:noHBand="0" w:noVBand="1" w:val="04A0"/>
      </w:tblPr>
      <w:tblGrid>
        <w:gridCol w:w="9360"/>
      </w:tblGrid>
      <w:tr>
        <w:tc>
          <w:tcPr>
            <w:tcW w:type="dxa" w:w="9360"/>
            <w:shd w:val="clear" w:color="auto" w:fill="FDECEA"/>
            <w:tcBorders>
              <w:top w:val="nil"/>
              <w:left w:val="nil"/>
              <w:bottom w:val="nil"/>
              <w:right w:val="nil"/>
              <w:insideH w:val="nil"/>
              <w:insideV w:val="nil"/>
            </w:tcBorders>
          </w:tcPr>
          <w:p>
            <w:pPr>
              <w:spacing w:before="80" w:after="60"/>
            </w:pPr>
            <w:r>
              <w:rPr>
                <w:b/>
                <w:color w:val="843C0C"/>
                <w:sz w:val="21"/>
              </w:rPr>
              <w:t>问题 3 — 结果数字缺乏可读语境</w:t>
            </w:r>
          </w:p>
          <w:p>
            <w:pPr>
              <w:spacing w:before="20" w:after="40"/>
            </w:pPr>
            <w:r>
              <w:rPr>
                <w:color w:val="404040"/>
                <w:sz w:val="20"/>
              </w:rPr>
              <w:t>原文：'lowers same-model total cost from 88.13M to 84.58M normalized reserve-energy cost units'</w:t>
            </w:r>
          </w:p>
          <w:p>
            <w:pPr>
              <w:spacing w:before="20" w:after="40"/>
            </w:pPr>
            <w:r>
              <w:rPr>
                <w:color w:val="404040"/>
                <w:sz w:val="20"/>
              </w:rPr>
            </w:r>
          </w:p>
          <w:p>
            <w:pPr>
              <w:spacing w:before="20" w:after="40"/>
            </w:pPr>
            <w:r>
              <w:rPr>
                <w:color w:val="404040"/>
                <w:sz w:val="20"/>
              </w:rPr>
              <w:t>'normalized reserve-energy cost units' 对大多数 Applied Energy 读者不直观。百分比变化（如 'reduces boundary-window shortage energy by 14%'）更有说服力，且便于与其他研究比较。</w:t>
            </w:r>
          </w:p>
        </w:tc>
      </w:tr>
    </w:tbl>
    <w:p/>
    <w:tbl>
      <w:tblPr>
        <w:tblStyle w:val="TableGrid"/>
        <w:tblW w:type="auto" w:w="0"/>
        <w:tblLook w:firstColumn="1" w:firstRow="1" w:lastColumn="0" w:lastRow="0" w:noHBand="0" w:noVBand="1" w:val="04A0"/>
      </w:tblPr>
      <w:tblGrid>
        <w:gridCol w:w="9360"/>
      </w:tblGrid>
      <w:tr>
        <w:tc>
          <w:tcPr>
            <w:tcW w:type="dxa" w:w="9360"/>
            <w:shd w:val="clear" w:color="auto" w:fill="FDECEA"/>
            <w:tcBorders>
              <w:top w:val="nil"/>
              <w:left w:val="nil"/>
              <w:bottom w:val="nil"/>
              <w:right w:val="nil"/>
              <w:insideH w:val="nil"/>
              <w:insideV w:val="nil"/>
            </w:tcBorders>
          </w:tcPr>
          <w:p>
            <w:pPr>
              <w:spacing w:before="80" w:after="60"/>
            </w:pPr>
            <w:r>
              <w:rPr>
                <w:b/>
                <w:color w:val="843C0C"/>
                <w:sz w:val="21"/>
              </w:rPr>
              <w:t>问题 4 — 三个贡献平权，无主次</w:t>
            </w:r>
          </w:p>
          <w:p>
            <w:pPr>
              <w:spacing w:before="20" w:after="40"/>
            </w:pPr>
            <w:r>
              <w:rPr>
                <w:color w:val="404040"/>
                <w:sz w:val="20"/>
              </w:rPr>
              <w:t>从 Applied Energy 读者（能源系统研究者）的角度，reserve diagnostic 的操作价值最高，但在摘要中三个贡献被平等呈现。建议调整顺序：reserve improvement → routing recovery → external failure boundary。</w:t>
            </w:r>
          </w:p>
        </w:tc>
      </w:tr>
    </w:tbl>
    <w:p/>
    <w:p>
      <w:pPr>
        <w:spacing w:before="240" w:after="80"/>
      </w:pPr>
      <w:r>
        <w:rPr>
          <w:b/>
          <w:color w:val="1F4E79"/>
          <w:sz w:val="26"/>
        </w:rPr>
        <w:t>2.2 修改后 Abstract 模板（约 220 词）</w:t>
      </w:r>
    </w:p>
    <w:tbl>
      <w:tblPr>
        <w:tblStyle w:val="TableGrid"/>
        <w:tblW w:type="auto" w:w="0"/>
        <w:tblLook w:firstColumn="1" w:firstRow="1" w:lastColumn="0" w:lastRow="0" w:noHBand="0" w:noVBand="1" w:val="04A0"/>
      </w:tblPr>
      <w:tblGrid>
        <w:gridCol w:w="9360"/>
      </w:tblGrid>
      <w:tr>
        <w:tc>
          <w:tcPr>
            <w:tcW w:type="dxa" w:w="9360"/>
            <w:shd w:val="clear" w:color="auto" w:fill="E2EFDA"/>
            <w:tcBorders>
              <w:top w:val="nil"/>
              <w:left w:val="nil"/>
              <w:bottom w:val="nil"/>
              <w:right w:val="nil"/>
              <w:insideH w:val="nil"/>
              <w:insideV w:val="nil"/>
            </w:tcBorders>
          </w:tcPr>
          <w:p>
            <w:pPr>
              <w:spacing w:before="80" w:after="60"/>
            </w:pPr>
            <w:r>
              <w:rPr>
                <w:b/>
                <w:color w:val="375623"/>
                <w:sz w:val="21"/>
              </w:rPr>
              <w:t>建议重写结构（可直接参考）</w:t>
            </w:r>
          </w:p>
          <w:p>
            <w:pPr>
              <w:spacing w:before="20" w:after="40"/>
            </w:pPr>
            <w:r>
              <w:rPr>
                <w:color w:val="404040"/>
                <w:sz w:val="20"/>
              </w:rPr>
              <w:t>[句 1-2：操作问题——1 句话抓住读者]</w:t>
            </w:r>
          </w:p>
          <w:p>
            <w:pPr>
              <w:spacing w:before="20" w:after="40"/>
            </w:pPr>
            <w:r>
              <w:rPr>
                <w:color w:val="404040"/>
                <w:sz w:val="20"/>
              </w:rPr>
              <w:t>Wind turbine transitions from maximum power point tracking (MPPT) to blade-pitch control create concentrated reserve exposure that fleet-level forecasting accuracy metrics systematically miss: over-forecasts in this control window translate directly into unmet reserve commitments.</w:t>
            </w:r>
          </w:p>
          <w:p>
            <w:pPr>
              <w:spacing w:before="20" w:after="40"/>
            </w:pPr>
            <w:r>
              <w:rPr>
                <w:color w:val="404040"/>
                <w:sz w:val="20"/>
              </w:rPr>
            </w:r>
          </w:p>
          <w:p>
            <w:pPr>
              <w:spacing w:before="20" w:after="40"/>
            </w:pPr>
            <w:r>
              <w:rPr>
                <w:color w:val="404040"/>
                <w:sz w:val="20"/>
              </w:rPr>
              <w:t>[句 3：现有方法的盲点——明确 gap]</w:t>
            </w:r>
          </w:p>
          <w:p>
            <w:pPr>
              <w:spacing w:before="20" w:after="40"/>
            </w:pPr>
            <w:r>
              <w:rPr>
                <w:color w:val="404040"/>
                <w:sz w:val="20"/>
              </w:rPr>
              <w:t>State-of-the-art spatio-temporal graph forecasters achieve competitive mean error across turbine arrays but do not identify which local power-response law governs a given operating instant, leaving reserve planners without a physically grounded basis for boundary-specific allocation.</w:t>
            </w:r>
          </w:p>
          <w:p>
            <w:pPr>
              <w:spacing w:before="20" w:after="40"/>
            </w:pPr>
            <w:r>
              <w:rPr>
                <w:color w:val="404040"/>
                <w:sz w:val="20"/>
              </w:rPr>
            </w:r>
          </w:p>
          <w:p>
            <w:pPr>
              <w:spacing w:before="20" w:after="40"/>
            </w:pPr>
            <w:r>
              <w:rPr>
                <w:color w:val="404040"/>
                <w:sz w:val="20"/>
              </w:rPr>
              <w:t>[句 4-5：本文方案——方法，平实语言]</w:t>
            </w:r>
          </w:p>
          <w:p>
            <w:pPr>
              <w:spacing w:before="20" w:after="40"/>
            </w:pPr>
            <w:r>
              <w:rPr>
                <w:color w:val="404040"/>
                <w:sz w:val="20"/>
              </w:rPr>
              <w:t>We address this gap by constraining a node-level mixture-of-experts (MoE) gate with SCADA operating anchors—wind speed, blade-pitch angle, and wake exposure—so that the learned routing assignment aligns with the declared MPPT-to-pitch partition. The model is validated on the KDD Cup 2022 wind-farm SCADA benchmark (WTB), with ERA5 reanalysis as an observability contrast.</w:t>
            </w:r>
          </w:p>
          <w:p>
            <w:pPr>
              <w:spacing w:before="20" w:after="40"/>
            </w:pPr>
            <w:r>
              <w:rPr>
                <w:color w:val="404040"/>
                <w:sz w:val="20"/>
              </w:rPr>
            </w:r>
          </w:p>
          <w:p>
            <w:pPr>
              <w:spacing w:before="20" w:after="40"/>
            </w:pPr>
            <w:r>
              <w:rPr>
                <w:color w:val="404040"/>
                <w:sz w:val="20"/>
              </w:rPr>
              <w:t>[句 6-8：三个主要结果，按操作重要性排序]</w:t>
            </w:r>
          </w:p>
          <w:p>
            <w:pPr>
              <w:spacing w:before="20" w:after="40"/>
            </w:pPr>
            <w:r>
              <w:rPr>
                <w:color w:val="404040"/>
                <w:sz w:val="20"/>
              </w:rPr>
              <w:t>Applied to a frozen validation-to-test reserve diagnostic at shortage-to-reserve cost ratio 10, gate-conditioned binning reduces boundary-window violation rate by 1.4 percentage points and shortage energy by 14%, at a cost of 3.6% additional reserve energy. The physics-constrained router recovers the MPPT-to-pitch operating partition with NMI/ARI of 0.87/0.92 across five seeds—agreement that collapses under boundary-anchor removal. External validation on Kelmarsh and Penmanshiel farms fails the pre-specified routing criterion, explicitly delimiting transferability.</w:t>
            </w:r>
          </w:p>
          <w:p>
            <w:pPr>
              <w:spacing w:before="20" w:after="40"/>
            </w:pPr>
            <w:r>
              <w:rPr>
                <w:color w:val="404040"/>
                <w:sz w:val="20"/>
              </w:rPr>
            </w:r>
          </w:p>
          <w:p>
            <w:pPr>
              <w:spacing w:before="20" w:after="40"/>
            </w:pPr>
            <w:r>
              <w:rPr>
                <w:color w:val="404040"/>
                <w:sz w:val="20"/>
              </w:rPr>
              <w:t>[句 9：应用范围界定]</w:t>
            </w:r>
          </w:p>
          <w:p>
            <w:pPr>
              <w:spacing w:before="20" w:after="40"/>
            </w:pPr>
            <w:r>
              <w:rPr>
                <w:color w:val="404040"/>
                <w:sz w:val="20"/>
              </w:rPr>
              <w:t>These results position physics-aligned MoE routing as a transition-window reserve diagnostic tool, and specify the sensor coverage, boundary support, and held-out routing criteria required before deployment at a new site.</w:t>
            </w:r>
          </w:p>
          <w:p>
            <w:pPr>
              <w:spacing w:before="20" w:after="40"/>
            </w:pPr>
            <w:r>
              <w:rPr>
                <w:color w:val="404040"/>
                <w:sz w:val="20"/>
              </w:rPr>
            </w:r>
          </w:p>
          <w:p>
            <w:pPr>
              <w:spacing w:before="20" w:after="40"/>
            </w:pPr>
            <w:r>
              <w:rPr>
                <w:color w:val="404040"/>
                <w:sz w:val="20"/>
              </w:rPr>
              <w:t>关键改写逻辑：① 第一句直接呈现操作问题，不解释「什么是预测价值」；② 百分比替代归一化单位；③ 三个结果按操作重要性排序；④ 最后一句清楚界定应用范围。</w:t>
            </w:r>
          </w:p>
        </w:tc>
      </w:tr>
    </w:tbl>
    <w:p/>
    <w:p>
      <w:pPr>
        <w:spacing w:before="360" w:after="120"/>
        <w:pBdr>
          <w:bottom w:val="single" w:sz="6" w:color="1F4E79"/>
        </w:pBdr>
      </w:pPr>
      <w:r>
        <w:rPr>
          <w:b/>
          <w:color w:val="1F4E79"/>
          <w:sz w:val="32"/>
        </w:rPr>
        <w:t>三、Introduction 修改方案</w:t>
      </w:r>
    </w:p>
    <w:p>
      <w:pPr>
        <w:spacing w:before="240" w:after="80"/>
      </w:pPr>
      <w:r>
        <w:rPr>
          <w:b/>
          <w:color w:val="1F4E79"/>
          <w:sz w:val="26"/>
        </w:rPr>
        <w:t>3.1 当前问题诊断</w:t>
      </w:r>
    </w:p>
    <w:tbl>
      <w:tblPr>
        <w:tblStyle w:val="TableGrid"/>
        <w:tblW w:type="auto" w:w="0"/>
        <w:tblLook w:firstColumn="1" w:firstRow="1" w:lastColumn="0" w:lastRow="0" w:noHBand="0" w:noVBand="1" w:val="04A0"/>
      </w:tblPr>
      <w:tblGrid>
        <w:gridCol w:w="9360"/>
      </w:tblGrid>
      <w:tr>
        <w:tc>
          <w:tcPr>
            <w:tcW w:type="dxa" w:w="9360"/>
            <w:shd w:val="clear" w:color="auto" w:fill="FDECEA"/>
            <w:tcBorders>
              <w:top w:val="nil"/>
              <w:left w:val="nil"/>
              <w:bottom w:val="nil"/>
              <w:right w:val="nil"/>
              <w:insideH w:val="nil"/>
              <w:insideV w:val="nil"/>
            </w:tcBorders>
          </w:tcPr>
          <w:p>
            <w:pPr>
              <w:spacing w:before="80" w:after="60"/>
            </w:pPr>
            <w:r>
              <w:rPr>
                <w:b/>
                <w:color w:val="843C0C"/>
                <w:sz w:val="21"/>
              </w:rPr>
              <w:t>问题 1 — 铺垫过长，进入主题太慢</w:t>
            </w:r>
          </w:p>
          <w:p>
            <w:pPr>
              <w:spacing w:before="20" w:after="40"/>
            </w:pPr>
            <w:r>
              <w:rPr>
                <w:color w:val="404040"/>
                <w:sz w:val="20"/>
              </w:rPr>
              <w:t>当前引言前两段花了大量篇幅建立「预测价值体现在操作决策」这个框架（配8个引用），但 Applied Energy 读者对这个框架已经非常熟悉。这个内容应该压缩为1-2句话，腾出空间深化 MPPT-to-pitch 边界的动机论证。</w:t>
            </w:r>
          </w:p>
        </w:tc>
      </w:tr>
    </w:tbl>
    <w:p/>
    <w:tbl>
      <w:tblPr>
        <w:tblStyle w:val="TableGrid"/>
        <w:tblW w:type="auto" w:w="0"/>
        <w:tblLook w:firstColumn="1" w:firstRow="1" w:lastColumn="0" w:lastRow="0" w:noHBand="0" w:noVBand="1" w:val="04A0"/>
      </w:tblPr>
      <w:tblGrid>
        <w:gridCol w:w="9360"/>
      </w:tblGrid>
      <w:tr>
        <w:tc>
          <w:tcPr>
            <w:tcW w:type="dxa" w:w="9360"/>
            <w:shd w:val="clear" w:color="auto" w:fill="FDECEA"/>
            <w:tcBorders>
              <w:top w:val="nil"/>
              <w:left w:val="nil"/>
              <w:bottom w:val="nil"/>
              <w:right w:val="nil"/>
              <w:insideH w:val="nil"/>
              <w:insideV w:val="nil"/>
            </w:tcBorders>
          </w:tcPr>
          <w:p>
            <w:pPr>
              <w:spacing w:before="80" w:after="60"/>
            </w:pPr>
            <w:r>
              <w:rPr>
                <w:b/>
                <w:color w:val="843C0C"/>
                <w:sz w:val="21"/>
              </w:rPr>
              <w:t>问题 2 — MPPT-to-pitch 边界的操作重要性论证不足</w:t>
            </w:r>
          </w:p>
          <w:p>
            <w:pPr>
              <w:spacing w:before="20" w:after="40"/>
            </w:pPr>
            <w:r>
              <w:rPr>
                <w:color w:val="404040"/>
                <w:sz w:val="20"/>
              </w:rPr>
              <w:t>为什么这个特定的控制边界是研究重点？目前只有一句话（'blade-pitch control changes the local power response law'），不足以让读者理解为何这是 reserve planning 的关键窗口。</w:t>
            </w:r>
          </w:p>
          <w:p>
            <w:pPr>
              <w:spacing w:before="20" w:after="40"/>
            </w:pPr>
            <w:r>
              <w:rPr>
                <w:color w:val="404040"/>
                <w:sz w:val="20"/>
              </w:rPr>
            </w:r>
          </w:p>
          <w:p>
            <w:pPr>
              <w:spacing w:before="20" w:after="40"/>
            </w:pPr>
            <w:r>
              <w:rPr>
                <w:color w:val="404040"/>
                <w:sz w:val="20"/>
              </w:rPr>
              <w:t>需要补充的技术动机（约 60-80 词）：</w:t>
            </w:r>
          </w:p>
          <w:p>
            <w:pPr>
              <w:spacing w:before="20" w:after="40"/>
            </w:pPr>
            <w:r>
              <w:rPr>
                <w:color w:val="404040"/>
                <w:sz w:val="20"/>
              </w:rPr>
              <w:t xml:space="preserve">  • 在 MPPT 区域，功率随风速三次方变化，轻微过预测可产生显著 reserve shortfall</w:t>
            </w:r>
          </w:p>
          <w:p>
            <w:pPr>
              <w:spacing w:before="20" w:after="40"/>
            </w:pPr>
            <w:r>
              <w:rPr>
                <w:color w:val="404040"/>
                <w:sz w:val="20"/>
              </w:rPr>
              <w:t xml:space="preserve">  • 进入 pitch control 后，功率被主动调节至额定值附近，预测误差的性质根本改变</w:t>
            </w:r>
          </w:p>
          <w:p>
            <w:pPr>
              <w:spacing w:before="20" w:after="40"/>
            </w:pPr>
            <w:r>
              <w:rPr>
                <w:color w:val="404040"/>
                <w:sz w:val="20"/>
              </w:rPr>
              <w:t xml:space="preserve">  • 这种机制变化在 fleet-level RMSE 中几乎不可见（被稀释），但在 transition 窗口的 reserve violation 中集中体现</w:t>
            </w:r>
          </w:p>
          <w:p>
            <w:pPr>
              <w:spacing w:before="20" w:after="40"/>
            </w:pPr>
            <w:r>
              <w:rPr>
                <w:color w:val="404040"/>
                <w:sz w:val="20"/>
              </w:rPr>
              <w:t xml:space="preserve">  • 现有模型即使 RMSE 很低，也无法告知 operator 当前处于哪个控制状态、reserve 暴露量应该是多少</w:t>
            </w:r>
          </w:p>
        </w:tc>
      </w:tr>
    </w:tbl>
    <w:p/>
    <w:tbl>
      <w:tblPr>
        <w:tblStyle w:val="TableGrid"/>
        <w:tblW w:type="auto" w:w="0"/>
        <w:tblLook w:firstColumn="1" w:firstRow="1" w:lastColumn="0" w:lastRow="0" w:noHBand="0" w:noVBand="1" w:val="04A0"/>
      </w:tblPr>
      <w:tblGrid>
        <w:gridCol w:w="9360"/>
      </w:tblGrid>
      <w:tr>
        <w:tc>
          <w:tcPr>
            <w:tcW w:type="dxa" w:w="9360"/>
            <w:shd w:val="clear" w:color="auto" w:fill="FDECEA"/>
            <w:tcBorders>
              <w:top w:val="nil"/>
              <w:left w:val="nil"/>
              <w:bottom w:val="nil"/>
              <w:right w:val="nil"/>
              <w:insideH w:val="nil"/>
              <w:insideV w:val="nil"/>
            </w:tcBorders>
          </w:tcPr>
          <w:p>
            <w:pPr>
              <w:spacing w:before="80" w:after="60"/>
            </w:pPr>
            <w:r>
              <w:rPr>
                <w:b/>
                <w:color w:val="843C0C"/>
                <w:sz w:val="21"/>
              </w:rPr>
              <w:t>问题 3 — 贡献表述过于报告化</w:t>
            </w:r>
          </w:p>
          <w:p>
            <w:pPr>
              <w:spacing w:before="20" w:after="40"/>
            </w:pPr>
            <w:r>
              <w:rPr>
                <w:color w:val="404040"/>
                <w:sz w:val="20"/>
              </w:rPr>
              <w:t>原文：'The paper makes three contributions ordered by their operating value.'</w:t>
            </w:r>
          </w:p>
          <w:p>
            <w:pPr>
              <w:spacing w:before="20" w:after="40"/>
            </w:pPr>
            <w:r>
              <w:rPr>
                <w:color w:val="404040"/>
                <w:sz w:val="20"/>
              </w:rPr>
              <w:t>这句话在解释「我如何排列贡献」，而不是在陈述贡献本身。更好的做法：用主动句直接陈述每个贡献的内容，不需要先解释排列逻辑。</w:t>
            </w:r>
          </w:p>
        </w:tc>
      </w:tr>
    </w:tbl>
    <w:p/>
    <w:tbl>
      <w:tblPr>
        <w:tblStyle w:val="TableGrid"/>
        <w:tblW w:type="auto" w:w="0"/>
        <w:tblLook w:firstColumn="1" w:firstRow="1" w:lastColumn="0" w:lastRow="0" w:noHBand="0" w:noVBand="1" w:val="04A0"/>
      </w:tblPr>
      <w:tblGrid>
        <w:gridCol w:w="9360"/>
      </w:tblGrid>
      <w:tr>
        <w:tc>
          <w:tcPr>
            <w:tcW w:type="dxa" w:w="9360"/>
            <w:shd w:val="clear" w:color="auto" w:fill="FCE4D6"/>
            <w:tcBorders>
              <w:top w:val="nil"/>
              <w:left w:val="nil"/>
              <w:bottom w:val="nil"/>
              <w:right w:val="nil"/>
              <w:insideH w:val="nil"/>
              <w:insideV w:val="nil"/>
            </w:tcBorders>
          </w:tcPr>
          <w:p>
            <w:pPr>
              <w:spacing w:before="80" w:after="60"/>
            </w:pPr>
            <w:r>
              <w:rPr>
                <w:b/>
                <w:color w:val="C55A11"/>
                <w:sz w:val="21"/>
              </w:rPr>
              <w:t>问题 4 — Section 2.4 的 Gap Summary 位置错误</w:t>
            </w:r>
          </w:p>
          <w:p>
            <w:pPr>
              <w:spacing w:before="20" w:after="40"/>
            </w:pPr>
            <w:r>
              <w:rPr>
                <w:color w:val="404040"/>
                <w:sz w:val="20"/>
              </w:rPr>
              <w:t>Gap summary 目前作为 Related Work 的子节（2.4），但按照 Applied Energy 的标准结构，gap statement 应该在 Introduction 末尾。建议：将 2.4 的核心内容（约 80 词）移至 Introduction 倒数第二段，Related Work 变为三个紧凑的功能性子节。</w:t>
            </w:r>
          </w:p>
        </w:tc>
      </w:tr>
    </w:tbl>
    <w:p/>
    <w:p>
      <w:pPr>
        <w:spacing w:before="240" w:after="80"/>
      </w:pPr>
      <w:r>
        <w:rPr>
          <w:b/>
          <w:color w:val="1F4E79"/>
          <w:sz w:val="26"/>
        </w:rPr>
        <w:t>3.2 建议的 Introduction 结构（约 650 词）</w:t>
      </w:r>
    </w:p>
    <w:tbl>
      <w:tblPr>
        <w:tblStyle w:val="TableGrid"/>
        <w:tblW w:type="auto" w:w="0"/>
        <w:tblLook w:firstColumn="1" w:firstRow="1" w:lastColumn="0" w:lastRow="0" w:noHBand="0" w:noVBand="1" w:val="04A0"/>
      </w:tblPr>
      <w:tblGrid>
        <w:gridCol w:w="9360"/>
      </w:tblGrid>
      <w:tr>
        <w:tc>
          <w:tcPr>
            <w:tcW w:type="dxa" w:w="9360"/>
            <w:shd w:val="clear" w:color="auto" w:fill="D6E4F0"/>
            <w:tcBorders>
              <w:top w:val="nil"/>
              <w:left w:val="nil"/>
              <w:bottom w:val="nil"/>
              <w:right w:val="nil"/>
              <w:insideH w:val="nil"/>
              <w:insideV w:val="nil"/>
            </w:tcBorders>
          </w:tcPr>
          <w:p>
            <w:pPr>
              <w:spacing w:before="80" w:after="60"/>
            </w:pPr>
            <w:r>
              <w:rPr>
                <w:b/>
                <w:color w:val="1F4E79"/>
                <w:sz w:val="21"/>
              </w:rPr>
              <w:t>段落 1（Hook，~80词）——示例</w:t>
            </w:r>
          </w:p>
          <w:p>
            <w:pPr>
              <w:spacing w:before="20" w:after="40"/>
            </w:pPr>
            <w:r>
              <w:rPr>
                <w:color w:val="404040"/>
                <w:sz w:val="20"/>
              </w:rPr>
              <w:t>Reserve planning for wind-integrated power systems becomes acutely sensitive at turbine control transitions. At the MPPT-to-pitch boundary—where blade pitch activates to hold power near rated output—the power-response law changes discontinuously, so an over-forecast that is benign on average can represent a substantial reserve shortfall in this window. System operators who rely on fleet-level accuracy metrics to set reserve margins may carry inadequate reserve precisely where transition-window exposure is concentrated. [2-3 key citations]</w:t>
            </w:r>
          </w:p>
        </w:tc>
      </w:tr>
    </w:tbl>
    <w:p/>
    <w:tbl>
      <w:tblPr>
        <w:tblStyle w:val="TableGrid"/>
        <w:tblW w:type="auto" w:w="0"/>
        <w:tblLook w:firstColumn="1" w:firstRow="1" w:lastColumn="0" w:lastRow="0" w:noHBand="0" w:noVBand="1" w:val="04A0"/>
      </w:tblPr>
      <w:tblGrid>
        <w:gridCol w:w="9360"/>
      </w:tblGrid>
      <w:tr>
        <w:tc>
          <w:tcPr>
            <w:tcW w:type="dxa" w:w="9360"/>
            <w:shd w:val="clear" w:color="auto" w:fill="D6E4F0"/>
            <w:tcBorders>
              <w:top w:val="nil"/>
              <w:left w:val="nil"/>
              <w:bottom w:val="nil"/>
              <w:right w:val="nil"/>
              <w:insideH w:val="nil"/>
              <w:insideV w:val="nil"/>
            </w:tcBorders>
          </w:tcPr>
          <w:p>
            <w:pPr>
              <w:spacing w:before="80" w:after="60"/>
            </w:pPr>
            <w:r>
              <w:rPr>
                <w:b/>
                <w:color w:val="1F4E79"/>
                <w:sz w:val="21"/>
              </w:rPr>
              <w:t>段落 2（Gap，~100词）——示例</w:t>
            </w:r>
          </w:p>
          <w:p>
            <w:pPr>
              <w:spacing w:before="20" w:after="40"/>
            </w:pPr>
            <w:r>
              <w:rPr>
                <w:color w:val="404040"/>
                <w:sz w:val="20"/>
              </w:rPr>
              <w:t>Spatio-temporal graph forecasters have substantially reduced mean prediction error across wind farms by encoding turbine coupling, wake interaction, and dynamic dependence [refs]. Physics-guided learning adds domain constraints through features, losses, or latent-state regularization [refs]. Yet both lines of work treat routing—if it exists at all—as a prediction-loss-minimizing decision. A mixture-of-experts gate driven purely by forecast error can specialize on any partition of the data; it carries no information about which physical response law is active at the anchor time. Without physically traceable state assignment at the MPPT-to-pitch boundary, a reserve planner cannot condition allocation on the control state that governs the next operating interval.</w:t>
            </w:r>
          </w:p>
        </w:tc>
      </w:tr>
    </w:tbl>
    <w:p/>
    <w:tbl>
      <w:tblPr>
        <w:tblStyle w:val="TableGrid"/>
        <w:tblW w:type="auto" w:w="0"/>
        <w:tblLook w:firstColumn="1" w:firstRow="1" w:lastColumn="0" w:lastRow="0" w:noHBand="0" w:noVBand="1" w:val="04A0"/>
      </w:tblPr>
      <w:tblGrid>
        <w:gridCol w:w="9360"/>
      </w:tblGrid>
      <w:tr>
        <w:tc>
          <w:tcPr>
            <w:tcW w:type="dxa" w:w="9360"/>
            <w:shd w:val="clear" w:color="auto" w:fill="E2EFDA"/>
            <w:tcBorders>
              <w:top w:val="nil"/>
              <w:left w:val="nil"/>
              <w:bottom w:val="nil"/>
              <w:right w:val="nil"/>
              <w:insideH w:val="nil"/>
              <w:insideV w:val="nil"/>
            </w:tcBorders>
          </w:tcPr>
          <w:p>
            <w:pPr>
              <w:spacing w:before="80" w:after="60"/>
            </w:pPr>
            <w:r>
              <w:rPr>
                <w:b/>
                <w:color w:val="375623"/>
                <w:sz w:val="21"/>
              </w:rPr>
              <w:t>段落 4（贡献，~130词）——示例</w:t>
            </w:r>
          </w:p>
          <w:p>
            <w:pPr>
              <w:spacing w:before="20" w:after="40"/>
            </w:pPr>
            <w:r>
              <w:rPr>
                <w:color w:val="404040"/>
                <w:sz w:val="20"/>
              </w:rPr>
              <w:t>This paper makes three contributions:</w:t>
            </w:r>
          </w:p>
          <w:p>
            <w:pPr>
              <w:spacing w:before="20" w:after="40"/>
            </w:pPr>
            <w:r>
              <w:rPr>
                <w:color w:val="404040"/>
                <w:sz w:val="20"/>
              </w:rPr>
            </w:r>
          </w:p>
          <w:p>
            <w:pPr>
              <w:spacing w:before="20" w:after="40"/>
            </w:pPr>
            <w:r>
              <w:rPr>
                <w:color w:val="404040"/>
                <w:sz w:val="20"/>
              </w:rPr>
              <w:t>(1) We demonstrate that SCADA-anchored routing recovers the MPPT-to-pitch operating partition with NMI/ARI of 0.87/0.92—agreement that collapses under boundary-anchor removal and survives placebo, spatial holdout, and future-period stress tests.</w:t>
            </w:r>
          </w:p>
          <w:p>
            <w:pPr>
              <w:spacing w:before="20" w:after="40"/>
            </w:pPr>
            <w:r>
              <w:rPr>
                <w:color w:val="404040"/>
                <w:sz w:val="20"/>
              </w:rPr>
            </w:r>
          </w:p>
          <w:p>
            <w:pPr>
              <w:spacing w:before="20" w:after="40"/>
            </w:pPr>
            <w:r>
              <w:rPr>
                <w:color w:val="404040"/>
                <w:sz w:val="20"/>
              </w:rPr>
              <w:t>(2) We convert the recovered gate into a transition-window reserve diagnostic, showing that gate-conditioned reserve binning simultaneously reduces boundary-window violation rate and shortage energy at a measured reserve-energy cost, with an explicit cost-ratio envelope defining when this tradeoff is operationally acceptable.</w:t>
            </w:r>
          </w:p>
          <w:p>
            <w:pPr>
              <w:spacing w:before="20" w:after="40"/>
            </w:pPr>
            <w:r>
              <w:rPr>
                <w:color w:val="404040"/>
                <w:sz w:val="20"/>
              </w:rPr>
            </w:r>
          </w:p>
          <w:p>
            <w:pPr>
              <w:spacing w:before="20" w:after="40"/>
            </w:pPr>
            <w:r>
              <w:rPr>
                <w:color w:val="404040"/>
                <w:sz w:val="20"/>
              </w:rPr>
              <w:t>(3) We report external wind-farm routing failure—at Kelmarsh and Penmanshiel—as a deployment safety contribution. The failure audit identifies the sensor coverage, pitch observability, turbine geometry, and boundary support conditions that must be locally verified before gate-bin reserve use at a new site.</w:t>
            </w:r>
          </w:p>
        </w:tc>
      </w:tr>
    </w:tbl>
    <w:p/>
    <w:p>
      <w:pPr>
        <w:spacing w:before="360" w:after="120"/>
        <w:pBdr>
          <w:bottom w:val="single" w:sz="6" w:color="1F4E79"/>
        </w:pBdr>
      </w:pPr>
      <w:r>
        <w:rPr>
          <w:b/>
          <w:color w:val="1F4E79"/>
          <w:sz w:val="32"/>
        </w:rPr>
        <w:t>四、Related Work 修改方案</w:t>
      </w:r>
    </w:p>
    <w:p>
      <w:pPr>
        <w:spacing w:before="240" w:after="80"/>
      </w:pPr>
      <w:r>
        <w:rPr>
          <w:b/>
          <w:color w:val="1F4E79"/>
          <w:sz w:val="26"/>
        </w:rPr>
        <w:t>4.1 当前问题诊断</w:t>
      </w:r>
    </w:p>
    <w:tbl>
      <w:tblPr>
        <w:tblStyle w:val="TableGrid"/>
        <w:tblW w:type="auto" w:w="0"/>
        <w:tblLook w:firstColumn="1" w:firstRow="1" w:lastColumn="0" w:lastRow="0" w:noHBand="0" w:noVBand="1" w:val="04A0"/>
      </w:tblPr>
      <w:tblGrid>
        <w:gridCol w:w="9360"/>
      </w:tblGrid>
      <w:tr>
        <w:tc>
          <w:tcPr>
            <w:tcW w:type="dxa" w:w="9360"/>
            <w:shd w:val="clear" w:color="auto" w:fill="FDECEA"/>
            <w:tcBorders>
              <w:top w:val="nil"/>
              <w:left w:val="nil"/>
              <w:bottom w:val="nil"/>
              <w:right w:val="nil"/>
              <w:insideH w:val="nil"/>
              <w:insideV w:val="nil"/>
            </w:tcBorders>
          </w:tcPr>
          <w:p>
            <w:pPr>
              <w:spacing w:before="80" w:after="60"/>
            </w:pPr>
            <w:r>
              <w:rPr>
                <w:b/>
                <w:color w:val="843C0C"/>
                <w:sz w:val="21"/>
              </w:rPr>
              <w:t>问题 1 — Citation catalog，论证结构隐含</w:t>
            </w:r>
          </w:p>
          <w:p>
            <w:pPr>
              <w:spacing w:before="20" w:after="40"/>
            </w:pPr>
            <w:r>
              <w:rPr>
                <w:color w:val="404040"/>
                <w:sz w:val="20"/>
              </w:rPr>
              <w:t>当前每个子节的结构是：列举研究领域 → 堆积引用 → 一句 'this defines the baseline'。这是文献目录，不是论点构建（argument building）。Applied Energy 审稿人期望文献综述呈现一条清晰的论证链。</w:t>
            </w:r>
          </w:p>
          <w:p>
            <w:pPr>
              <w:spacing w:before="20" w:after="40"/>
            </w:pPr>
            <w:r>
              <w:rPr>
                <w:color w:val="404040"/>
                <w:sz w:val="20"/>
              </w:rPr>
            </w:r>
          </w:p>
          <w:p>
            <w:pPr>
              <w:spacing w:before="20" w:after="40"/>
            </w:pPr>
            <w:r>
              <w:rPr>
                <w:color w:val="404040"/>
                <w:sz w:val="20"/>
              </w:rPr>
              <w:t>反例：'Spatio-temporal graph models address part of this difficulty by encoding dependence across turbines or locations [Li et al., 2018, Yu et al., 2018, Wu et al., 2019, 2020, Guo et al., 2019, Bai et al., 2020]'</w:t>
            </w:r>
          </w:p>
          <w:p>
            <w:pPr>
              <w:spacing w:before="20" w:after="40"/>
            </w:pPr>
            <w:r>
              <w:rPr>
                <w:color w:val="404040"/>
                <w:sz w:val="20"/>
              </w:rPr>
              <w:t>→ 六个引用作为一个块，读者不知道各自的具体贡献是什么。建议区分：哪篇引入了 diffusion convolution？哪篇专门处理 wake interaction？</w:t>
            </w:r>
          </w:p>
        </w:tc>
      </w:tr>
    </w:tbl>
    <w:p/>
    <w:tbl>
      <w:tblPr>
        <w:tblStyle w:val="TableGrid"/>
        <w:tblW w:type="auto" w:w="0"/>
        <w:tblLook w:firstColumn="1" w:firstRow="1" w:lastColumn="0" w:lastRow="0" w:noHBand="0" w:noVBand="1" w:val="04A0"/>
      </w:tblPr>
      <w:tblGrid>
        <w:gridCol w:w="9360"/>
      </w:tblGrid>
      <w:tr>
        <w:tc>
          <w:tcPr>
            <w:tcW w:type="dxa" w:w="9360"/>
            <w:shd w:val="clear" w:color="auto" w:fill="FDECEA"/>
            <w:tcBorders>
              <w:top w:val="nil"/>
              <w:left w:val="nil"/>
              <w:bottom w:val="nil"/>
              <w:right w:val="nil"/>
              <w:insideH w:val="nil"/>
              <w:insideV w:val="nil"/>
            </w:tcBorders>
          </w:tcPr>
          <w:p>
            <w:pPr>
              <w:spacing w:before="80" w:after="60"/>
            </w:pPr>
            <w:r>
              <w:rPr>
                <w:b/>
                <w:color w:val="843C0C"/>
                <w:sz w:val="21"/>
              </w:rPr>
              <w:t>问题 2 — 子节间的逻辑衔接不清晰</w:t>
            </w:r>
          </w:p>
          <w:p>
            <w:pPr>
              <w:spacing w:before="20" w:after="40"/>
            </w:pPr>
            <w:r>
              <w:rPr>
                <w:color w:val="404040"/>
                <w:sz w:val="20"/>
              </w:rPr>
              <w:t>从 2.1（forecast accuracy）→ 2.2（SCADA observability）→ 2.3（reserve allocation）的跳跃缺少过渡。建议：每个子节末尾添加一句「桥接句」，明确说明为什么需要下一个维度的文献。</w:t>
            </w:r>
          </w:p>
        </w:tc>
      </w:tr>
    </w:tbl>
    <w:p/>
    <w:tbl>
      <w:tblPr>
        <w:tblStyle w:val="TableGrid"/>
        <w:tblW w:type="auto" w:w="0"/>
        <w:tblLook w:firstColumn="1" w:firstRow="1" w:lastColumn="0" w:lastRow="0" w:noHBand="0" w:noVBand="1" w:val="04A0"/>
      </w:tblPr>
      <w:tblGrid>
        <w:gridCol w:w="9360"/>
      </w:tblGrid>
      <w:tr>
        <w:tc>
          <w:tcPr>
            <w:tcW w:type="dxa" w:w="9360"/>
            <w:shd w:val="clear" w:color="auto" w:fill="FCE4D6"/>
            <w:tcBorders>
              <w:top w:val="nil"/>
              <w:left w:val="nil"/>
              <w:bottom w:val="nil"/>
              <w:right w:val="nil"/>
              <w:insideH w:val="nil"/>
              <w:insideV w:val="nil"/>
            </w:tcBorders>
          </w:tcPr>
          <w:p>
            <w:pPr>
              <w:spacing w:before="80" w:after="60"/>
            </w:pPr>
            <w:r>
              <w:rPr>
                <w:b/>
                <w:color w:val="C55A11"/>
                <w:sz w:val="21"/>
              </w:rPr>
              <w:t>结构性建议 — 移除 Section 2.4，整合至 Introduction</w:t>
            </w:r>
          </w:p>
          <w:p>
            <w:pPr>
              <w:spacing w:before="20" w:after="40"/>
            </w:pPr>
            <w:r>
              <w:rPr>
                <w:color w:val="404040"/>
                <w:sz w:val="20"/>
              </w:rPr>
              <w:t>Gap summary（2.4）是 motivation for this work，属于 Introduction 的范畴。Applied Energy 标准结构：Introduction 末段陈述 gap + paper's position；Related Work 展开文献综述，不需要 meta-summary。</w:t>
            </w:r>
          </w:p>
          <w:p>
            <w:pPr>
              <w:spacing w:before="20" w:after="40"/>
            </w:pPr>
            <w:r>
              <w:rPr>
                <w:color w:val="404040"/>
                <w:sz w:val="20"/>
              </w:rPr>
            </w:r>
          </w:p>
          <w:p>
            <w:pPr>
              <w:spacing w:before="20" w:after="40"/>
            </w:pPr>
            <w:r>
              <w:rPr>
                <w:color w:val="404040"/>
                <w:sz w:val="20"/>
              </w:rPr>
              <w:t>操作建议：删除 Section 2.4；将其核心内容（约 80 词）移至 Introduction 的倒数第二段；Related Work 变为三个功能性子节，最后一句自然过渡到 Methodology。</w:t>
            </w:r>
          </w:p>
        </w:tc>
      </w:tr>
    </w:tbl>
    <w:p/>
    <w:p>
      <w:pPr>
        <w:spacing w:before="240" w:after="80"/>
      </w:pPr>
      <w:r>
        <w:rPr>
          <w:b/>
          <w:color w:val="1F4E79"/>
          <w:sz w:val="26"/>
        </w:rPr>
        <w:t>4.2 各子节改写方向</w:t>
      </w:r>
    </w:p>
    <w:tbl>
      <w:tblPr>
        <w:tblStyle w:val="TableGrid"/>
        <w:tblW w:type="auto" w:w="0"/>
        <w:tblLook w:firstColumn="1" w:firstRow="1" w:lastColumn="0" w:lastRow="0" w:noHBand="0" w:noVBand="1" w:val="04A0"/>
      </w:tblPr>
      <w:tblGrid>
        <w:gridCol w:w="9360"/>
      </w:tblGrid>
      <w:tr>
        <w:tc>
          <w:tcPr>
            <w:tcW w:type="dxa" w:w="9360"/>
            <w:shd w:val="clear" w:color="auto" w:fill="D6E4F0"/>
            <w:tcBorders>
              <w:top w:val="nil"/>
              <w:left w:val="nil"/>
              <w:bottom w:val="nil"/>
              <w:right w:val="nil"/>
              <w:insideH w:val="nil"/>
              <w:insideV w:val="nil"/>
            </w:tcBorders>
          </w:tcPr>
          <w:p>
            <w:pPr>
              <w:spacing w:before="80" w:after="60"/>
            </w:pPr>
            <w:r>
              <w:rPr>
                <w:b/>
                <w:color w:val="1F4E79"/>
                <w:sz w:val="21"/>
              </w:rPr>
              <w:t>Section 2.1 — 从「平均精度」到「操作价值」</w:t>
            </w:r>
          </w:p>
          <w:p>
            <w:pPr>
              <w:spacing w:before="20" w:after="40"/>
            </w:pPr>
            <w:r>
              <w:rPr>
                <w:color w:val="404040"/>
                <w:sz w:val="20"/>
              </w:rPr>
              <w:t>建议论证链（3段）：</w:t>
            </w:r>
          </w:p>
          <w:p>
            <w:pPr>
              <w:spacing w:before="20" w:after="40"/>
            </w:pPr>
            <w:r>
              <w:rPr>
                <w:color w:val="404040"/>
                <w:sz w:val="20"/>
              </w:rPr>
              <w:t>① 时空图模型在编码 turbine coupling 和 wake interaction 方面的具体进展——用 2-3 个最代表性的引用，区分各自贡献，而非 6 篇一块堆放</w:t>
            </w:r>
          </w:p>
          <w:p>
            <w:pPr>
              <w:spacing w:before="20" w:after="40"/>
            </w:pPr>
            <w:r>
              <w:rPr>
                <w:color w:val="404040"/>
                <w:sz w:val="20"/>
              </w:rPr>
              <w:t>② 这些模型的评估框架（RMSE/MAE）无法定位 reserve exposure 集中的控制转换区域——这是结构性盲点，而非精度不足</w:t>
            </w:r>
          </w:p>
          <w:p>
            <w:pPr>
              <w:spacing w:before="20" w:after="40"/>
            </w:pPr>
            <w:r>
              <w:rPr>
                <w:color w:val="404040"/>
                <w:sz w:val="20"/>
              </w:rPr>
              <w:t>③ 问题：当 router 无法区分 MPPT 操作和 pitch control 操作时，operator 没有物理依据进行差异化 reserve 配置</w:t>
            </w:r>
          </w:p>
          <w:p>
            <w:pPr>
              <w:spacing w:before="20" w:after="40"/>
            </w:pPr>
            <w:r>
              <w:rPr>
                <w:color w:val="404040"/>
                <w:sz w:val="20"/>
              </w:rPr>
            </w:r>
          </w:p>
          <w:p>
            <w:pPr>
              <w:spacing w:before="20" w:after="40"/>
            </w:pPr>
            <w:r>
              <w:rPr>
                <w:color w:val="404040"/>
                <w:sz w:val="20"/>
              </w:rPr>
              <w:t>桥接句至 2.2：'Addressing this gap requires the routing assignment itself to carry a physically interpretable operating-state meaning—which depends critically on SCADA sensor coverage and regime observability.'</w:t>
            </w:r>
          </w:p>
        </w:tc>
      </w:tr>
    </w:tbl>
    <w:p/>
    <w:tbl>
      <w:tblPr>
        <w:tblStyle w:val="TableGrid"/>
        <w:tblW w:type="auto" w:w="0"/>
        <w:tblLook w:firstColumn="1" w:firstRow="1" w:lastColumn="0" w:lastRow="0" w:noHBand="0" w:noVBand="1" w:val="04A0"/>
      </w:tblPr>
      <w:tblGrid>
        <w:gridCol w:w="9360"/>
      </w:tblGrid>
      <w:tr>
        <w:tc>
          <w:tcPr>
            <w:tcW w:type="dxa" w:w="9360"/>
            <w:shd w:val="clear" w:color="auto" w:fill="D6E4F0"/>
            <w:tcBorders>
              <w:top w:val="nil"/>
              <w:left w:val="nil"/>
              <w:bottom w:val="nil"/>
              <w:right w:val="nil"/>
              <w:insideH w:val="nil"/>
              <w:insideV w:val="nil"/>
            </w:tcBorders>
          </w:tcPr>
          <w:p>
            <w:pPr>
              <w:spacing w:before="80" w:after="60"/>
            </w:pPr>
            <w:r>
              <w:rPr>
                <w:b/>
                <w:color w:val="1F4E79"/>
                <w:sz w:val="21"/>
              </w:rPr>
              <w:t>Section 2.2 — SCADA 可观测性与物理可解释性</w:t>
            </w:r>
          </w:p>
          <w:p>
            <w:pPr>
              <w:spacing w:before="20" w:after="40"/>
            </w:pPr>
            <w:r>
              <w:rPr>
                <w:color w:val="404040"/>
                <w:sz w:val="20"/>
              </w:rPr>
              <w:t>改写重点——明确区分本文与 prior physics-guided work 的核心差异：</w:t>
            </w:r>
          </w:p>
          <w:p>
            <w:pPr>
              <w:spacing w:before="20" w:after="40"/>
            </w:pPr>
            <w:r>
              <w:rPr>
                <w:color w:val="404040"/>
                <w:sz w:val="20"/>
              </w:rPr>
              <w:t>'Prior physics-guided approaches constrain model outputs or latent states; our approach constrains the routing decision itself—the assignment of an operating instant to a local predictor—so that the gate carries an interpretable physical meaning that downstream reserve logic can consume.'</w:t>
            </w:r>
          </w:p>
          <w:p>
            <w:pPr>
              <w:spacing w:before="20" w:after="40"/>
            </w:pPr>
            <w:r>
              <w:rPr>
                <w:color w:val="404040"/>
                <w:sz w:val="20"/>
              </w:rPr>
            </w:r>
          </w:p>
          <w:p>
            <w:pPr>
              <w:spacing w:before="20" w:after="40"/>
            </w:pPr>
            <w:r>
              <w:rPr>
                <w:color w:val="404040"/>
                <w:sz w:val="20"/>
              </w:rPr>
              <w:t>桥接句至 2.3：'However, identifying the correct operating regime is only the first step; the value of regime-aware routing is realized through reserve and dispatch decisions.'</w:t>
            </w:r>
          </w:p>
        </w:tc>
      </w:tr>
    </w:tbl>
    <w:p/>
    <w:tbl>
      <w:tblPr>
        <w:tblStyle w:val="TableGrid"/>
        <w:tblW w:type="auto" w:w="0"/>
        <w:tblLook w:firstColumn="1" w:firstRow="1" w:lastColumn="0" w:lastRow="0" w:noHBand="0" w:noVBand="1" w:val="04A0"/>
      </w:tblPr>
      <w:tblGrid>
        <w:gridCol w:w="9360"/>
      </w:tblGrid>
      <w:tr>
        <w:tc>
          <w:tcPr>
            <w:tcW w:type="dxa" w:w="9360"/>
            <w:shd w:val="clear" w:color="auto" w:fill="D6E4F0"/>
            <w:tcBorders>
              <w:top w:val="nil"/>
              <w:left w:val="nil"/>
              <w:bottom w:val="nil"/>
              <w:right w:val="nil"/>
              <w:insideH w:val="nil"/>
              <w:insideV w:val="nil"/>
            </w:tcBorders>
          </w:tcPr>
          <w:p>
            <w:pPr>
              <w:spacing w:before="80" w:after="60"/>
            </w:pPr>
            <w:r>
              <w:rPr>
                <w:b/>
                <w:color w:val="1F4E79"/>
                <w:sz w:val="21"/>
              </w:rPr>
              <w:t>Section 2.3 — Reserve Literature 与本文方法的连接</w:t>
            </w:r>
          </w:p>
          <w:p>
            <w:pPr>
              <w:spacing w:before="20" w:after="40"/>
            </w:pPr>
            <w:r>
              <w:rPr>
                <w:color w:val="404040"/>
                <w:sz w:val="20"/>
              </w:rPr>
              <w:t>在 2.3 末尾需明确说明本文 reserve diagnostic 如何区别于现有工作：</w:t>
            </w:r>
          </w:p>
          <w:p>
            <w:pPr>
              <w:spacing w:before="20" w:after="40"/>
            </w:pPr>
            <w:r>
              <w:rPr>
                <w:color w:val="404040"/>
                <w:sz w:val="20"/>
              </w:rPr>
              <w:t>• 现有 reserve 研究：给定不确定性分布，如何优化 reserve 量</w:t>
            </w:r>
          </w:p>
          <w:p>
            <w:pPr>
              <w:spacing w:before="20" w:after="40"/>
            </w:pPr>
            <w:r>
              <w:rPr>
                <w:color w:val="404040"/>
                <w:sz w:val="20"/>
              </w:rPr>
              <w:t>• 本文解决的是更早期的问题：如何识别 reserve exposure 集中在哪个操作窗口（boundary diagnostic）</w:t>
            </w:r>
          </w:p>
          <w:p>
            <w:pPr>
              <w:spacing w:before="20" w:after="40"/>
            </w:pPr>
            <w:r>
              <w:rPr>
                <w:color w:val="404040"/>
                <w:sz w:val="20"/>
              </w:rPr>
              <w:t>• 这个区分说明本文的贡献是 complementary 而非竞争性的——这对审稿人非常重要</w:t>
            </w:r>
          </w:p>
        </w:tc>
      </w:tr>
    </w:tbl>
    <w:p/>
    <w:p>
      <w:pPr>
        <w:spacing w:before="360" w:after="120"/>
        <w:pBdr>
          <w:bottom w:val="single" w:sz="6" w:color="1F4E79"/>
        </w:pBdr>
      </w:pPr>
      <w:r>
        <w:rPr>
          <w:b/>
          <w:color w:val="1F4E79"/>
          <w:sz w:val="32"/>
        </w:rPr>
        <w:t>五、Results &amp; Discussion 修改方案（最重要）</w:t>
      </w:r>
    </w:p>
    <w:p>
      <w:pPr>
        <w:spacing w:before="80" w:after="120"/>
      </w:pPr>
      <w:r>
        <w:rPr>
          <w:b w:val="0"/>
          <w:i w:val="0"/>
          <w:color w:val="404040"/>
          <w:sz w:val="21"/>
        </w:rPr>
        <w:t>核心变换：从「审计日志」（audit log）改为「研究叙事」（research narrative）。</w:t>
      </w:r>
    </w:p>
    <w:p>
      <w:pPr>
        <w:spacing w:before="240" w:after="80"/>
      </w:pPr>
      <w:r>
        <w:rPr>
          <w:b/>
          <w:color w:val="1F4E79"/>
          <w:sz w:val="26"/>
        </w:rPr>
        <w:t>5.1 系统性问题诊断</w:t>
      </w:r>
    </w:p>
    <w:tbl>
      <w:tblPr>
        <w:tblStyle w:val="TableGrid"/>
        <w:tblW w:type="auto" w:w="0"/>
        <w:tblLook w:firstColumn="1" w:firstRow="1" w:lastColumn="0" w:lastRow="0" w:noHBand="0" w:noVBand="1" w:val="04A0"/>
      </w:tblPr>
      <w:tblGrid>
        <w:gridCol w:w="9360"/>
      </w:tblGrid>
      <w:tr>
        <w:tc>
          <w:tcPr>
            <w:tcW w:type="dxa" w:w="9360"/>
            <w:shd w:val="clear" w:color="auto" w:fill="FDECEA"/>
            <w:tcBorders>
              <w:top w:val="nil"/>
              <w:left w:val="nil"/>
              <w:bottom w:val="nil"/>
              <w:right w:val="nil"/>
              <w:insideH w:val="nil"/>
              <w:insideV w:val="nil"/>
            </w:tcBorders>
          </w:tcPr>
          <w:p>
            <w:pPr>
              <w:spacing w:before="80" w:after="60"/>
            </w:pPr>
            <w:r>
              <w:rPr>
                <w:b/>
                <w:color w:val="843C0C"/>
                <w:sz w:val="21"/>
              </w:rPr>
              <w:t>症状 1 — 内部文档语言，需全部删除</w:t>
            </w:r>
          </w:p>
          <w:p>
            <w:pPr>
              <w:spacing w:before="20" w:after="40"/>
            </w:pPr>
            <w:r>
              <w:rPr>
                <w:color w:val="404040"/>
                <w:sz w:val="20"/>
              </w:rPr>
              <w:t>以下句型在期刊论文正文中不应出现，请全文检索删除：</w:t>
            </w:r>
          </w:p>
          <w:p>
            <w:pPr>
              <w:spacing w:before="20" w:after="40"/>
            </w:pPr>
            <w:r>
              <w:rPr>
                <w:color w:val="404040"/>
                <w:sz w:val="20"/>
              </w:rPr>
              <w:t xml:space="preserve">  • 'The forecast evidence is restricted to the current frozen evaluation split and artifact package.'</w:t>
            </w:r>
          </w:p>
          <w:p>
            <w:pPr>
              <w:spacing w:before="20" w:after="40"/>
            </w:pPr>
            <w:r>
              <w:rPr>
                <w:color w:val="404040"/>
                <w:sz w:val="20"/>
              </w:rPr>
              <w:t xml:space="preserve">  • 'The current WTB mechanism table above is the evidence source for the corrected router.'</w:t>
            </w:r>
          </w:p>
          <w:p>
            <w:pPr>
              <w:spacing w:before="20" w:after="40"/>
            </w:pPr>
            <w:r>
              <w:rPr>
                <w:color w:val="404040"/>
                <w:sz w:val="20"/>
              </w:rPr>
              <w:t xml:space="preserve">  • 'The completed strict-mask artifact records 50/50 expected runs complete...'</w:t>
            </w:r>
          </w:p>
          <w:p>
            <w:pPr>
              <w:spacing w:before="20" w:after="40"/>
            </w:pPr>
            <w:r>
              <w:rPr>
                <w:color w:val="404040"/>
                <w:sz w:val="20"/>
              </w:rPr>
              <w:t xml:space="preserve">  • 'SHA256 hashes where file size permits...'</w:t>
            </w:r>
          </w:p>
          <w:p>
            <w:pPr>
              <w:spacing w:before="20" w:after="40"/>
            </w:pPr>
            <w:r>
              <w:rPr>
                <w:color w:val="404040"/>
                <w:sz w:val="20"/>
              </w:rPr>
            </w:r>
          </w:p>
          <w:p>
            <w:pPr>
              <w:spacing w:before="20" w:after="40"/>
            </w:pPr>
            <w:r>
              <w:rPr>
                <w:color w:val="404040"/>
                <w:sz w:val="20"/>
              </w:rPr>
              <w:t>这些内容可放入 Data Availability Statement 或 Supplementary Material，不能出现在 Results 正文。</w:t>
            </w:r>
          </w:p>
        </w:tc>
      </w:tr>
    </w:tbl>
    <w:p/>
    <w:tbl>
      <w:tblPr>
        <w:tblStyle w:val="TableGrid"/>
        <w:tblW w:type="auto" w:w="0"/>
        <w:tblLook w:firstColumn="1" w:firstRow="1" w:lastColumn="0" w:lastRow="0" w:noHBand="0" w:noVBand="1" w:val="04A0"/>
      </w:tblPr>
      <w:tblGrid>
        <w:gridCol w:w="9360"/>
      </w:tblGrid>
      <w:tr>
        <w:tc>
          <w:tcPr>
            <w:tcW w:type="dxa" w:w="9360"/>
            <w:shd w:val="clear" w:color="auto" w:fill="FDECEA"/>
            <w:tcBorders>
              <w:top w:val="nil"/>
              <w:left w:val="nil"/>
              <w:bottom w:val="nil"/>
              <w:right w:val="nil"/>
              <w:insideH w:val="nil"/>
              <w:insideV w:val="nil"/>
            </w:tcBorders>
          </w:tcPr>
          <w:p>
            <w:pPr>
              <w:spacing w:before="80" w:after="60"/>
            </w:pPr>
            <w:r>
              <w:rPr>
                <w:b/>
                <w:color w:val="843C0C"/>
                <w:sz w:val="21"/>
              </w:rPr>
              <w:t>症状 2 — 文字复述表格，没有分析解读</w:t>
            </w:r>
          </w:p>
          <w:p>
            <w:pPr>
              <w:spacing w:before="20" w:after="40"/>
            </w:pPr>
            <w:r>
              <w:rPr>
                <w:color w:val="404040"/>
                <w:sz w:val="20"/>
              </w:rPr>
              <w:t>原文（Section 5.1）：'Graph WaveNet reaches overall RMSE 225.74 +/- 2.60 and switch-window RMSE 228.12 +/- 3.23 across seeds 201-205. PatchTST reaches 228.07 +/- 4.05 and 231.22 +/- 4.15...'</w:t>
            </w:r>
          </w:p>
          <w:p>
            <w:pPr>
              <w:spacing w:before="20" w:after="40"/>
            </w:pPr>
            <w:r>
              <w:rPr>
                <w:color w:val="404040"/>
                <w:sz w:val="20"/>
              </w:rPr>
              <w:t>→ 这是在用文字重复表格内容。Applied Energy 期望文字做表格做不到的事：解读意义、比较重要性、解释原因。</w:t>
            </w:r>
          </w:p>
          <w:p>
            <w:pPr>
              <w:spacing w:before="20" w:after="40"/>
            </w:pPr>
            <w:r>
              <w:rPr>
                <w:color w:val="404040"/>
                <w:sz w:val="20"/>
              </w:rPr>
            </w:r>
          </w:p>
          <w:p>
            <w:pPr>
              <w:spacing w:before="20" w:after="40"/>
            </w:pPr>
            <w:r>
              <w:rPr>
                <w:color w:val="404040"/>
                <w:sz w:val="20"/>
              </w:rPr>
              <w:t>改为（只说一个数字对比，解释其意义）：</w:t>
            </w:r>
          </w:p>
          <w:p>
            <w:pPr>
              <w:spacing w:before="20" w:after="40"/>
            </w:pPr>
            <w:r>
              <w:rPr>
                <w:color w:val="404040"/>
                <w:sz w:val="20"/>
              </w:rPr>
              <w:t>'Graph WaveNet establishes the accuracy ceiling at RMSE 225.74 ± 2.60, while the boundary-forced router reaches 236.13 ± 8.41—a 10.4-unit gap that represents the measurable cost of constraining routing to a declared physical boundary (Table X). This tradeoff is the paper's central engineering premise.'</w:t>
            </w:r>
          </w:p>
        </w:tc>
      </w:tr>
    </w:tbl>
    <w:p/>
    <w:tbl>
      <w:tblPr>
        <w:tblStyle w:val="TableGrid"/>
        <w:tblW w:type="auto" w:w="0"/>
        <w:tblLook w:firstColumn="1" w:firstRow="1" w:lastColumn="0" w:lastRow="0" w:noHBand="0" w:noVBand="1" w:val="04A0"/>
      </w:tblPr>
      <w:tblGrid>
        <w:gridCol w:w="9360"/>
      </w:tblGrid>
      <w:tr>
        <w:tc>
          <w:tcPr>
            <w:tcW w:type="dxa" w:w="9360"/>
            <w:shd w:val="clear" w:color="auto" w:fill="FCE4D6"/>
            <w:tcBorders>
              <w:top w:val="nil"/>
              <w:left w:val="nil"/>
              <w:bottom w:val="nil"/>
              <w:right w:val="nil"/>
              <w:insideH w:val="nil"/>
              <w:insideV w:val="nil"/>
            </w:tcBorders>
          </w:tcPr>
          <w:p>
            <w:pPr>
              <w:spacing w:before="80" w:after="60"/>
            </w:pPr>
            <w:r>
              <w:rPr>
                <w:b/>
                <w:color w:val="C55A11"/>
                <w:sz w:val="21"/>
              </w:rPr>
              <w:t>症状 3 — 免责声明打断叙事节奏</w:t>
            </w:r>
          </w:p>
          <w:p>
            <w:pPr>
              <w:spacing w:before="20" w:after="40"/>
            </w:pPr>
            <w:r>
              <w:rPr>
                <w:color w:val="404040"/>
                <w:sz w:val="20"/>
              </w:rPr>
              <w:t>当前 Results 中几乎每段后面都有 scope qualifications。策略：</w:t>
            </w:r>
          </w:p>
          <w:p>
            <w:pPr>
              <w:spacing w:before="20" w:after="40"/>
            </w:pPr>
            <w:r>
              <w:rPr>
                <w:color w:val="404040"/>
                <w:sz w:val="20"/>
              </w:rPr>
              <w:t xml:space="preserve">  • 每个子节只保留 1 句核心 scope qualifier（如 'these results should be read as boundary-window diagnostics, not whole-sample reserve controllers'）</w:t>
            </w:r>
          </w:p>
          <w:p>
            <w:pPr>
              <w:spacing w:before="20" w:after="40"/>
            </w:pPr>
            <w:r>
              <w:rPr>
                <w:color w:val="404040"/>
                <w:sz w:val="20"/>
              </w:rPr>
              <w:t xml:space="preserve">  • 其余详细限制说明全部移至 Section 7（Limitations）</w:t>
            </w:r>
          </w:p>
          <w:p>
            <w:pPr>
              <w:spacing w:before="20" w:after="40"/>
            </w:pPr>
            <w:r>
              <w:rPr>
                <w:color w:val="404040"/>
                <w:sz w:val="20"/>
              </w:rPr>
              <w:t xml:space="preserve">  • 这样 Results 读起来更有力，Limitations 更完整</w:t>
            </w:r>
          </w:p>
        </w:tc>
      </w:tr>
    </w:tbl>
    <w:p/>
    <w:tbl>
      <w:tblPr>
        <w:tblStyle w:val="TableGrid"/>
        <w:tblW w:type="auto" w:w="0"/>
        <w:tblLook w:firstColumn="1" w:firstRow="1" w:lastColumn="0" w:lastRow="0" w:noHBand="0" w:noVBand="1" w:val="04A0"/>
      </w:tblPr>
      <w:tblGrid>
        <w:gridCol w:w="9360"/>
      </w:tblGrid>
      <w:tr>
        <w:tc>
          <w:tcPr>
            <w:tcW w:type="dxa" w:w="9360"/>
            <w:shd w:val="clear" w:color="auto" w:fill="FCE4D6"/>
            <w:tcBorders>
              <w:top w:val="nil"/>
              <w:left w:val="nil"/>
              <w:bottom w:val="nil"/>
              <w:right w:val="nil"/>
              <w:insideH w:val="nil"/>
              <w:insideV w:val="nil"/>
            </w:tcBorders>
          </w:tcPr>
          <w:p>
            <w:pPr>
              <w:spacing w:before="80" w:after="60"/>
            </w:pPr>
            <w:r>
              <w:rPr>
                <w:b/>
                <w:color w:val="C55A11"/>
                <w:sz w:val="21"/>
              </w:rPr>
              <w:t>症状 4 — 非人称主语 'The paper' / 'The study'</w:t>
            </w:r>
          </w:p>
          <w:p>
            <w:pPr>
              <w:spacing w:before="20" w:after="40"/>
            </w:pPr>
            <w:r>
              <w:rPr>
                <w:color w:val="404040"/>
                <w:sz w:val="20"/>
              </w:rPr>
              <w:t>统一替换原则（Applied Energy 接受第一人称，且鼓励主动语态）：</w:t>
            </w:r>
          </w:p>
          <w:p>
            <w:pPr>
              <w:spacing w:before="20" w:after="40"/>
            </w:pPr>
            <w:r>
              <w:rPr>
                <w:color w:val="404040"/>
                <w:sz w:val="20"/>
              </w:rPr>
            </w:r>
          </w:p>
          <w:p>
            <w:pPr>
              <w:spacing w:before="20" w:after="40"/>
            </w:pPr>
            <w:r>
              <w:rPr>
                <w:color w:val="404040"/>
                <w:sz w:val="20"/>
              </w:rPr>
              <w:t xml:space="preserve">  'The paper evaluates four policies...'  →  'We evaluate four policies...'</w:t>
            </w:r>
          </w:p>
          <w:p>
            <w:pPr>
              <w:spacing w:before="20" w:after="40"/>
            </w:pPr>
            <w:r>
              <w:rPr>
                <w:color w:val="404040"/>
                <w:sz w:val="20"/>
              </w:rPr>
              <w:t xml:space="preserve">  'The study is deliberately narrower...'  →  'This reserve diagnostic is narrower than unit commitment by design...'</w:t>
            </w:r>
          </w:p>
          <w:p>
            <w:pPr>
              <w:spacing w:before="20" w:after="40"/>
            </w:pPr>
            <w:r>
              <w:rPr>
                <w:color w:val="404040"/>
                <w:sz w:val="20"/>
              </w:rPr>
              <w:t xml:space="preserve">  'The paper shows that gate-bin reduces...'  →  'Gate-bin policy reduces...'（让发现做主语，最优）</w:t>
            </w:r>
          </w:p>
        </w:tc>
      </w:tr>
    </w:tbl>
    <w:p/>
    <w:p>
      <w:pPr>
        <w:spacing w:before="240" w:after="80"/>
      </w:pPr>
      <w:r>
        <w:rPr>
          <w:b/>
          <w:color w:val="1F4E79"/>
          <w:sz w:val="26"/>
        </w:rPr>
        <w:t>5.2 各子节具体改写建议</w:t>
      </w:r>
    </w:p>
    <w:p>
      <w:pPr>
        <w:spacing w:before="160" w:after="60"/>
      </w:pPr>
      <w:r>
        <w:rPr>
          <w:b/>
          <w:color w:val="C55A11"/>
          <w:sz w:val="23"/>
        </w:rPr>
        <w:t>5.1 Overall Performance  →  建议改名：'Forecasting Accuracy: Establishing the Baseline'</w:t>
      </w:r>
    </w:p>
    <w:tbl>
      <w:tblPr>
        <w:tblStyle w:val="TableGrid"/>
        <w:tblW w:type="auto" w:w="0"/>
        <w:tblLook w:firstColumn="1" w:firstRow="1" w:lastColumn="0" w:lastRow="0" w:noHBand="0" w:noVBand="1" w:val="04A0"/>
      </w:tblPr>
      <w:tblGrid>
        <w:gridCol w:w="9360"/>
      </w:tblGrid>
      <w:tr>
        <w:tc>
          <w:tcPr>
            <w:tcW w:type="dxa" w:w="9360"/>
            <w:shd w:val="clear" w:color="auto" w:fill="D6E4F0"/>
            <w:tcBorders>
              <w:top w:val="nil"/>
              <w:left w:val="nil"/>
              <w:bottom w:val="nil"/>
              <w:right w:val="nil"/>
              <w:insideH w:val="nil"/>
              <w:insideV w:val="nil"/>
            </w:tcBorders>
          </w:tcPr>
          <w:p>
            <w:pPr>
              <w:spacing w:before="80" w:after="60"/>
            </w:pPr>
            <w:r>
              <w:rPr>
                <w:b/>
                <w:color w:val="1F4E79"/>
                <w:sz w:val="21"/>
              </w:rPr>
              <w:t>改写方案</w:t>
            </w:r>
          </w:p>
          <w:p>
            <w:pPr>
              <w:spacing w:before="20" w:after="40"/>
            </w:pPr>
            <w:r>
              <w:rPr>
                <w:color w:val="404040"/>
                <w:sz w:val="20"/>
              </w:rPr>
              <w:t>改写逻辑：</w:t>
            </w:r>
          </w:p>
          <w:p>
            <w:pPr>
              <w:spacing w:before="20" w:after="40"/>
            </w:pPr>
            <w:r>
              <w:rPr>
                <w:color w:val="404040"/>
                <w:sz w:val="20"/>
              </w:rPr>
              <w:t xml:space="preserve">  1. 第一段（2-3句）：清晰陈述核心发现。Graph WaveNet 是精度上限，routed model 付出了约10单位的 RMSE 代价。这是已知且被接受的。</w:t>
            </w:r>
          </w:p>
          <w:p>
            <w:pPr>
              <w:spacing w:before="20" w:after="40"/>
            </w:pPr>
            <w:r>
              <w:rPr>
                <w:color w:val="404040"/>
                <w:sz w:val="20"/>
              </w:rPr>
              <w:t xml:space="preserve">  2. 第二段（3-4句）：为什么这个代价值得考虑——routing correction 与预测精度之间的 tradeoff 是可量化的，这使得后续 reserve diagnostic 有意义。</w:t>
            </w:r>
          </w:p>
          <w:p>
            <w:pPr>
              <w:spacing w:before="20" w:after="40"/>
            </w:pPr>
            <w:r>
              <w:rPr>
                <w:color w:val="404040"/>
                <w:sz w:val="20"/>
              </w:rPr>
              <w:t xml:space="preserve">  3. 删除：单独列举每个模型所有 RMSE 数字的段落。改为：'Table X presents the full accuracy comparison.'</w:t>
            </w:r>
          </w:p>
          <w:p>
            <w:pPr>
              <w:spacing w:before="20" w:after="40"/>
            </w:pPr>
            <w:r>
              <w:rPr>
                <w:color w:val="404040"/>
                <w:sz w:val="20"/>
              </w:rPr>
            </w:r>
          </w:p>
          <w:p>
            <w:pPr>
              <w:spacing w:before="20" w:after="40"/>
            </w:pPr>
            <w:r>
              <w:rPr>
                <w:color w:val="404040"/>
                <w:sz w:val="20"/>
              </w:rPr>
              <w:t>示例改写（第一段）：</w:t>
            </w:r>
          </w:p>
          <w:p>
            <w:pPr>
              <w:spacing w:before="20" w:after="40"/>
            </w:pPr>
            <w:r>
              <w:rPr>
                <w:color w:val="404040"/>
                <w:sz w:val="20"/>
              </w:rPr>
              <w:t>原文：'WTB delivers a hard accuracy result: the strongest graph and engineering forecasters beat the routed family...'</w:t>
            </w:r>
          </w:p>
          <w:p>
            <w:pPr>
              <w:spacing w:before="20" w:after="40"/>
            </w:pPr>
            <w:r>
              <w:rPr>
                <w:color w:val="404040"/>
                <w:sz w:val="20"/>
              </w:rPr>
            </w:r>
          </w:p>
          <w:p>
            <w:pPr>
              <w:spacing w:before="20" w:after="40"/>
            </w:pPr>
            <w:r>
              <w:rPr>
                <w:color w:val="404040"/>
                <w:sz w:val="20"/>
              </w:rPr>
              <w:t>改为：'Strong graph and lag-feature baselines establish an accuracy ceiling that the physics-constrained router does not match: Graph WaveNet achieves overall RMSE 225.74 ± 2.60 (Table 3), while the boundary-forced router reaches 236.13 ± 8.41—a 10.4-unit gap that quantifies the cost of constraining routing to a declared physical boundary. This tradeoff is central to the paper's premise: the router is chosen for operating-regime accountability, not for error minimization.'</w:t>
            </w:r>
          </w:p>
        </w:tc>
      </w:tr>
    </w:tbl>
    <w:p/>
    <w:p>
      <w:pPr>
        <w:spacing w:before="160" w:after="60"/>
      </w:pPr>
      <w:r>
        <w:rPr>
          <w:b/>
          <w:color w:val="C55A11"/>
          <w:sz w:val="23"/>
        </w:rPr>
        <w:t>5.3 Routing Evidence  →  'Physics-Aligned Gate Recovery'</w:t>
      </w:r>
    </w:p>
    <w:tbl>
      <w:tblPr>
        <w:tblStyle w:val="TableGrid"/>
        <w:tblW w:type="auto" w:w="0"/>
        <w:tblLook w:firstColumn="1" w:firstRow="1" w:lastColumn="0" w:lastRow="0" w:noHBand="0" w:noVBand="1" w:val="04A0"/>
      </w:tblPr>
      <w:tblGrid>
        <w:gridCol w:w="9360"/>
      </w:tblGrid>
      <w:tr>
        <w:tc>
          <w:tcPr>
            <w:tcW w:type="dxa" w:w="9360"/>
            <w:shd w:val="clear" w:color="auto" w:fill="D6E4F0"/>
            <w:tcBorders>
              <w:top w:val="nil"/>
              <w:left w:val="nil"/>
              <w:bottom w:val="nil"/>
              <w:right w:val="nil"/>
              <w:insideH w:val="nil"/>
              <w:insideV w:val="nil"/>
            </w:tcBorders>
          </w:tcPr>
          <w:p>
            <w:pPr>
              <w:spacing w:before="80" w:after="60"/>
            </w:pPr>
            <w:r>
              <w:rPr>
                <w:b/>
                <w:color w:val="1F4E79"/>
                <w:sz w:val="21"/>
              </w:rPr>
              <w:t>改写方案</w:t>
            </w:r>
          </w:p>
          <w:p>
            <w:pPr>
              <w:spacing w:before="20" w:after="40"/>
            </w:pPr>
            <w:r>
              <w:rPr>
                <w:color w:val="404040"/>
                <w:sz w:val="20"/>
              </w:rPr>
              <w:t>1. 核心发现移至段首（目前埋在中间）：</w:t>
            </w:r>
          </w:p>
          <w:p>
            <w:pPr>
              <w:spacing w:before="20" w:after="40"/>
            </w:pPr>
            <w:r>
              <w:rPr>
                <w:color w:val="404040"/>
                <w:sz w:val="20"/>
              </w:rPr>
              <w:t xml:space="preserve">   'Physics-anchored routing substantially recovers the MPPT-to-pitch operating partition. Across five seeds, the boundary-forced router achieves gate-regime NMI/ARI of 0.87 ± 0.04 / 0.92 ± 0.04 (Table 2, Fig. 4D).'</w:t>
            </w:r>
          </w:p>
          <w:p>
            <w:pPr>
              <w:spacing w:before="20" w:after="40"/>
            </w:pPr>
            <w:r>
              <w:rPr>
                <w:color w:val="404040"/>
                <w:sz w:val="20"/>
              </w:rPr>
            </w:r>
          </w:p>
          <w:p>
            <w:pPr>
              <w:spacing w:before="20" w:after="40"/>
            </w:pPr>
            <w:r>
              <w:rPr>
                <w:color w:val="404040"/>
                <w:sz w:val="20"/>
              </w:rPr>
              <w:t>2. 机制证据集中在一段：</w:t>
            </w:r>
          </w:p>
          <w:p>
            <w:pPr>
              <w:spacing w:before="20" w:after="40"/>
            </w:pPr>
            <w:r>
              <w:rPr>
                <w:color w:val="404040"/>
                <w:sz w:val="20"/>
              </w:rPr>
              <w:t xml:space="preserve">   'Zeroing the boundary anchors collapses routing agreement by 0.70 NMI units while increasing RMSE by only 2.68 (Table 3), confirming that the gate encodes the physical partition rather than exploiting prediction accuracy correlations. In contrast, zeroing the wake score is a near-null control: NMI drops by 0.001. This selectivity constitutes the mechanism evidence.'</w:t>
            </w:r>
          </w:p>
          <w:p>
            <w:pPr>
              <w:spacing w:before="20" w:after="40"/>
            </w:pPr>
            <w:r>
              <w:rPr>
                <w:color w:val="404040"/>
                <w:sz w:val="20"/>
              </w:rPr>
            </w:r>
          </w:p>
          <w:p>
            <w:pPr>
              <w:spacing w:before="20" w:after="40"/>
            </w:pPr>
            <w:r>
              <w:rPr>
                <w:color w:val="404040"/>
                <w:sz w:val="20"/>
              </w:rPr>
              <w:t>3. ERA5 对比压缩为一段（强调其「对比」功能）：</w:t>
            </w:r>
          </w:p>
          <w:p>
            <w:pPr>
              <w:spacing w:before="20" w:after="40"/>
            </w:pPr>
            <w:r>
              <w:rPr>
                <w:color w:val="404040"/>
                <w:sz w:val="20"/>
              </w:rPr>
              <w:t xml:space="preserve">   'ERA5 confirms the observability interpretation: physics-aligned routing improves NMI from 0.03 to 0.21 without the strong regularization needed in the control-confounded WTB setting. The WTB-ERA5 contrast is the paper's main scientific insight: routing correction value scales with how much of the physical boundary is already visible in observations.'</w:t>
            </w:r>
          </w:p>
          <w:p>
            <w:pPr>
              <w:spacing w:before="20" w:after="40"/>
            </w:pPr>
            <w:r>
              <w:rPr>
                <w:color w:val="404040"/>
                <w:sz w:val="20"/>
              </w:rPr>
            </w:r>
          </w:p>
          <w:p>
            <w:pPr>
              <w:spacing w:before="20" w:after="40"/>
            </w:pPr>
            <w:r>
              <w:rPr>
                <w:color w:val="404040"/>
                <w:sz w:val="20"/>
              </w:rPr>
              <w:t>4. 'Anchor-only routing is not a straw baseline' 这段移入 Discussion，作为方法选择的 rationale。</w:t>
            </w:r>
          </w:p>
        </w:tc>
      </w:tr>
    </w:tbl>
    <w:p/>
    <w:p>
      <w:pPr>
        <w:spacing w:before="160" w:after="60"/>
      </w:pPr>
      <w:r>
        <w:rPr>
          <w:b/>
          <w:color w:val="C55A11"/>
          <w:sz w:val="23"/>
        </w:rPr>
        <w:t>5.4 Operational Value  →  'Transition-Window Reserve Diagnostic'（最需要改写）</w:t>
      </w:r>
    </w:p>
    <w:tbl>
      <w:tblPr>
        <w:tblStyle w:val="TableGrid"/>
        <w:tblW w:type="auto" w:w="0"/>
        <w:tblLook w:firstColumn="1" w:firstRow="1" w:lastColumn="0" w:lastRow="0" w:noHBand="0" w:noVBand="1" w:val="04A0"/>
      </w:tblPr>
      <w:tblGrid>
        <w:gridCol w:w="9360"/>
      </w:tblGrid>
      <w:tr>
        <w:tc>
          <w:tcPr>
            <w:tcW w:type="dxa" w:w="9360"/>
            <w:shd w:val="clear" w:color="auto" w:fill="D6E4F0"/>
            <w:tcBorders>
              <w:top w:val="nil"/>
              <w:left w:val="nil"/>
              <w:bottom w:val="nil"/>
              <w:right w:val="nil"/>
              <w:insideH w:val="nil"/>
              <w:insideV w:val="nil"/>
            </w:tcBorders>
          </w:tcPr>
          <w:p>
            <w:pPr>
              <w:spacing w:before="80" w:after="60"/>
            </w:pPr>
            <w:r>
              <w:rPr>
                <w:b/>
                <w:color w:val="1F4E79"/>
                <w:sz w:val="21"/>
              </w:rPr>
              <w:t>建议结构（将 400+ 词压缩为 250 词，信息量不减）</w:t>
            </w:r>
          </w:p>
          <w:p>
            <w:pPr>
              <w:spacing w:before="20" w:after="40"/>
            </w:pPr>
            <w:r>
              <w:rPr>
                <w:color w:val="404040"/>
                <w:sz w:val="20"/>
              </w:rPr>
              <w:t>① 开篇直接呈现核心发现（50词）</w:t>
            </w:r>
          </w:p>
          <w:p>
            <w:pPr>
              <w:spacing w:before="20" w:after="40"/>
            </w:pPr>
            <w:r>
              <w:rPr>
                <w:color w:val="404040"/>
                <w:sz w:val="20"/>
              </w:rPr>
              <w:t xml:space="preserve">   'Gate-conditioned reserve binning improves the boundary-window cost-violation-shortage tradeoff at a measured reserve-energy price (Table 6). At cost ratio 10, boundary router/gate-bin reduces violation from 10.4% to 9.0% and shortage energy from 3.73M to 3.19M units, while carrying 1.85M additional reserve energy.'</w:t>
            </w:r>
          </w:p>
          <w:p>
            <w:pPr>
              <w:spacing w:before="20" w:after="40"/>
            </w:pPr>
            <w:r>
              <w:rPr>
                <w:color w:val="404040"/>
                <w:sz w:val="20"/>
              </w:rPr>
            </w:r>
          </w:p>
          <w:p>
            <w:pPr>
              <w:spacing w:before="20" w:after="40"/>
            </w:pPr>
            <w:r>
              <w:rPr>
                <w:color w:val="404040"/>
                <w:sz w:val="20"/>
              </w:rPr>
              <w:t>② 一段解释 4 个 policy 的逻辑（50词，比目前短3倍）</w:t>
            </w:r>
          </w:p>
          <w:p>
            <w:pPr>
              <w:spacing w:before="20" w:after="40"/>
            </w:pPr>
            <w:r>
              <w:rPr>
                <w:color w:val="404040"/>
                <w:sz w:val="20"/>
              </w:rPr>
              <w:t xml:space="preserve">   'Four policies isolate the source of this improvement. Graph WaveNet/global is the accuracy reference without boundary stratification. Graph WaveNet/physical-bin tests physics stratification without a learned gate. Boundary router/global isolates the accuracy cost of the routed model at a flat reserve quantile. Boundary router/gate-bin adds gate-conditioned allocation, enabling attribution of the reserve benefit to the learned partition.'</w:t>
            </w:r>
          </w:p>
          <w:p>
            <w:pPr>
              <w:spacing w:before="20" w:after="40"/>
            </w:pPr>
            <w:r>
              <w:rPr>
                <w:color w:val="404040"/>
                <w:sz w:val="20"/>
              </w:rPr>
            </w:r>
          </w:p>
          <w:p>
            <w:pPr>
              <w:spacing w:before="20" w:after="40"/>
            </w:pPr>
            <w:r>
              <w:rPr>
                <w:color w:val="404040"/>
                <w:sz w:val="20"/>
              </w:rPr>
              <w:t>③ 一段 cost-ratio envelope（目前散布在两个表格和三段文字中，集中为1段）</w:t>
            </w:r>
          </w:p>
          <w:p>
            <w:pPr>
              <w:spacing w:before="20" w:after="40"/>
            </w:pPr>
            <w:r>
              <w:rPr>
                <w:color w:val="404040"/>
                <w:sz w:val="20"/>
              </w:rPr>
              <w:t xml:space="preserve">   'The gate-bin benefit holds only within a moderate cost-ratio envelope (Table 7). At ratio 2, no benefit materializes. At ratios 5-10, gate-conditioned allocation reduces boundary violation and shortage at a reserve-energy cost—acceptable for transition-window scheduling. At ratio 50, gate-bin raises violation relative to the same model's global rule. The gate marks a conditional tradeoff region, not a universal reserve controller.'</w:t>
            </w:r>
          </w:p>
          <w:p>
            <w:pPr>
              <w:spacing w:before="20" w:after="40"/>
            </w:pPr>
            <w:r>
              <w:rPr>
                <w:color w:val="404040"/>
                <w:sz w:val="20"/>
              </w:rPr>
            </w:r>
          </w:p>
          <w:p>
            <w:pPr>
              <w:spacing w:before="20" w:after="40"/>
            </w:pPr>
            <w:r>
              <w:rPr>
                <w:color w:val="404040"/>
                <w:sz w:val="20"/>
              </w:rPr>
              <w:t>④ 全样本 vs 边界窗口（1段）——明确说明全样本下 gate-bin 不赢</w:t>
            </w:r>
          </w:p>
          <w:p>
            <w:pPr>
              <w:spacing w:before="20" w:after="40"/>
            </w:pPr>
            <w:r>
              <w:rPr>
                <w:color w:val="404040"/>
                <w:sz w:val="20"/>
              </w:rPr>
              <w:t xml:space="preserve">   'These benefits are specific to the boundary window. On the full sample, boundary violation rises from 8.6% to 12.1% under gate-bin allocation (Table 6), reflecting the higher-RMSE forecaster's disadvantage outside the boundary window. The useful claim is therefore local.'</w:t>
            </w:r>
          </w:p>
        </w:tc>
      </w:tr>
    </w:tbl>
    <w:p/>
    <w:p>
      <w:pPr>
        <w:spacing w:before="160" w:after="60"/>
      </w:pPr>
      <w:r>
        <w:rPr>
          <w:b/>
          <w:color w:val="C55A11"/>
          <w:sz w:val="23"/>
        </w:rPr>
        <w:t>Sections 5.5–5.9（Stress Tests, Ablation, External Failure）</w:t>
      </w:r>
    </w:p>
    <w:tbl>
      <w:tblPr>
        <w:tblStyle w:val="TableGrid"/>
        <w:tblW w:type="auto" w:w="0"/>
        <w:tblLook w:firstColumn="1" w:firstRow="1" w:lastColumn="0" w:lastRow="0" w:noHBand="0" w:noVBand="1" w:val="04A0"/>
      </w:tblPr>
      <w:tblGrid>
        <w:gridCol w:w="9360"/>
      </w:tblGrid>
      <w:tr>
        <w:tc>
          <w:tcPr>
            <w:tcW w:type="dxa" w:w="9360"/>
            <w:shd w:val="clear" w:color="auto" w:fill="D6E4F0"/>
            <w:tcBorders>
              <w:top w:val="nil"/>
              <w:left w:val="nil"/>
              <w:bottom w:val="nil"/>
              <w:right w:val="nil"/>
              <w:insideH w:val="nil"/>
              <w:insideV w:val="nil"/>
            </w:tcBorders>
          </w:tcPr>
          <w:p>
            <w:pPr>
              <w:spacing w:before="80" w:after="60"/>
            </w:pPr>
            <w:r>
              <w:rPr>
                <w:b/>
                <w:color w:val="1F4E79"/>
                <w:sz w:val="21"/>
              </w:rPr>
              <w:t>通用改写原则</w:t>
            </w:r>
          </w:p>
          <w:p>
            <w:pPr>
              <w:spacing w:before="20" w:after="40"/>
            </w:pPr>
            <w:r>
              <w:rPr>
                <w:color w:val="404040"/>
                <w:sz w:val="20"/>
              </w:rPr>
              <w:t>原则 1：每个子节以核心发现的一句话开始，不以程序描述开始</w:t>
            </w:r>
          </w:p>
          <w:p>
            <w:pPr>
              <w:spacing w:before="20" w:after="40"/>
            </w:pPr>
            <w:r>
              <w:rPr>
                <w:color w:val="404040"/>
                <w:sz w:val="20"/>
              </w:rPr>
              <w:t xml:space="preserve">  原文：'The spatial holdout tests whether the routing evidence survives when entire turbines are unavailable during training...'</w:t>
            </w:r>
          </w:p>
          <w:p>
            <w:pPr>
              <w:spacing w:before="20" w:after="40"/>
            </w:pPr>
            <w:r>
              <w:rPr>
                <w:color w:val="404040"/>
                <w:sz w:val="20"/>
              </w:rPr>
              <w:t xml:space="preserve">  改为：'Routing semantics transfer to unseen turbines within the farm. Holding out 27 of 134 turbines during training, the boundary-forced router achieves NMI/ARI 0.83/0.88 on held-out nodes.'</w:t>
            </w:r>
          </w:p>
          <w:p>
            <w:pPr>
              <w:spacing w:before="20" w:after="40"/>
            </w:pPr>
            <w:r>
              <w:rPr>
                <w:color w:val="404040"/>
                <w:sz w:val="20"/>
              </w:rPr>
            </w:r>
          </w:p>
          <w:p>
            <w:pPr>
              <w:spacing w:before="20" w:after="40"/>
            </w:pPr>
            <w:r>
              <w:rPr>
                <w:color w:val="404040"/>
                <w:sz w:val="20"/>
              </w:rPr>
              <w:t>原则 2：消除所有 pass/fail 协议语言</w:t>
            </w:r>
          </w:p>
          <w:p>
            <w:pPr>
              <w:spacing w:before="20" w:after="40"/>
            </w:pPr>
            <w:r>
              <w:rPr>
                <w:color w:val="404040"/>
                <w:sz w:val="20"/>
              </w:rPr>
              <w:t xml:space="preserve">  'The protocol records mask_policy_pass = true, zero strict-anchor violations, 15/15 completed runs...' → Supplementary Material</w:t>
            </w:r>
          </w:p>
          <w:p>
            <w:pPr>
              <w:spacing w:before="20" w:after="40"/>
            </w:pPr>
            <w:r>
              <w:rPr>
                <w:color w:val="404040"/>
                <w:sz w:val="20"/>
              </w:rPr>
            </w:r>
          </w:p>
          <w:p>
            <w:pPr>
              <w:spacing w:before="20" w:after="40"/>
            </w:pPr>
            <w:r>
              <w:rPr>
                <w:color w:val="404040"/>
                <w:sz w:val="20"/>
              </w:rPr>
              <w:t>原则 3：Ablation section 以 Figure 8 为中心组织，不重复数字</w:t>
            </w:r>
          </w:p>
          <w:p>
            <w:pPr>
              <w:spacing w:before="20" w:after="40"/>
            </w:pPr>
            <w:r>
              <w:rPr>
                <w:color w:val="404040"/>
                <w:sz w:val="20"/>
              </w:rPr>
              <w:t xml:space="preserve">  'Figure 8 maps the accuracy-semantics frontier across routing variants. Regime alignment (Lalign) shifts the gate sharply upward in NMI/ARI with modest RMSE cost; boundary forcing continues the semantic improvement at a clearer forecasting price. This frontier is the ablation's central claim: routing correction is a deliberate tradeoff, not a free accuracy improvement.'</w:t>
            </w:r>
          </w:p>
          <w:p>
            <w:pPr>
              <w:spacing w:before="20" w:after="40"/>
            </w:pPr>
            <w:r>
              <w:rPr>
                <w:color w:val="404040"/>
                <w:sz w:val="20"/>
              </w:rPr>
            </w:r>
          </w:p>
          <w:p>
            <w:pPr>
              <w:spacing w:before="20" w:after="40"/>
            </w:pPr>
            <w:r>
              <w:rPr>
                <w:color w:val="404040"/>
                <w:sz w:val="20"/>
              </w:rPr>
              <w:t>原则 4：External Failure 重新框架化为「贡献」而非「限制」</w:t>
            </w:r>
          </w:p>
          <w:p>
            <w:pPr>
              <w:spacing w:before="20" w:after="40"/>
            </w:pPr>
            <w:r>
              <w:rPr>
                <w:color w:val="404040"/>
                <w:sz w:val="20"/>
              </w:rPr>
              <w:t xml:space="preserve">  'The Kelmarsh/Penmanshiel audit constitutes a positive scientific contribution rather than a hidden limitation. We pre-specified NMI &gt;= 0.50 as the routing criterion and report failure at both sites (mean NMI 0.49). The postmortem identifies failure conditions—pitch observability differences, imbalanced regime shares, sparse boundary cells—as a deployable checklist for new-site validation protocols (Fig. 9).'</w:t>
            </w:r>
          </w:p>
        </w:tc>
      </w:tr>
    </w:tbl>
    <w:p/>
    <w:p>
      <w:pPr>
        <w:spacing w:before="360" w:after="120"/>
        <w:pBdr>
          <w:bottom w:val="single" w:sz="6" w:color="1F4E79"/>
        </w:pBdr>
      </w:pPr>
      <w:r>
        <w:rPr>
          <w:b/>
          <w:color w:val="1F4E79"/>
          <w:sz w:val="32"/>
        </w:rPr>
        <w:t>六、Discussion 修改方案</w:t>
      </w:r>
    </w:p>
    <w:p>
      <w:pPr>
        <w:spacing w:before="80" w:after="120"/>
      </w:pPr>
      <w:r>
        <w:rPr>
          <w:b w:val="0"/>
          <w:i w:val="0"/>
          <w:color w:val="404040"/>
          <w:sz w:val="21"/>
        </w:rPr>
        <w:t>当前 Discussion（Section 6）约 400 词，与 Results 中的解读高度重叠。Applied Energy 的 Discussion 应当：(1) 将结果放在更大研究背景中；(2) 解释机制；(3) 阐述实践启示。</w:t>
      </w:r>
    </w:p>
    <w:tbl>
      <w:tblPr>
        <w:tblStyle w:val="TableGrid"/>
        <w:tblW w:type="auto" w:w="0"/>
        <w:tblLook w:firstColumn="1" w:firstRow="1" w:lastColumn="0" w:lastRow="0" w:noHBand="0" w:noVBand="1" w:val="04A0"/>
      </w:tblPr>
      <w:tblGrid>
        <w:gridCol w:w="9360"/>
      </w:tblGrid>
      <w:tr>
        <w:tc>
          <w:tcPr>
            <w:tcW w:type="dxa" w:w="9360"/>
            <w:shd w:val="clear" w:color="auto" w:fill="E2EFDA"/>
            <w:tcBorders>
              <w:top w:val="nil"/>
              <w:left w:val="nil"/>
              <w:bottom w:val="nil"/>
              <w:right w:val="nil"/>
              <w:insideH w:val="nil"/>
              <w:insideV w:val="nil"/>
            </w:tcBorders>
          </w:tcPr>
          <w:p>
            <w:pPr>
              <w:spacing w:before="80" w:after="60"/>
            </w:pPr>
            <w:r>
              <w:rPr>
                <w:b/>
                <w:color w:val="375623"/>
                <w:sz w:val="21"/>
              </w:rPr>
              <w:t>三步改写建议</w:t>
            </w:r>
          </w:p>
          <w:p>
            <w:pPr>
              <w:spacing w:before="20" w:after="40"/>
            </w:pPr>
            <w:r>
              <w:rPr>
                <w:color w:val="404040"/>
                <w:sz w:val="20"/>
              </w:rPr>
              <w:t>步骤 1：删除 Discussion 中重复 Results 的内容（约 200 词可删）</w:t>
            </w:r>
          </w:p>
          <w:p>
            <w:pPr>
              <w:spacing w:before="20" w:after="40"/>
            </w:pPr>
            <w:r>
              <w:rPr>
                <w:color w:val="404040"/>
                <w:sz w:val="20"/>
              </w:rPr>
              <w:t xml:space="preserve">  'The price is explicit. Graph WaveNet is...' 这段可大幅压缩为一句引用 Results 的总结</w:t>
            </w:r>
          </w:p>
          <w:p>
            <w:pPr>
              <w:spacing w:before="20" w:after="40"/>
            </w:pPr>
            <w:r>
              <w:rPr>
                <w:color w:val="404040"/>
                <w:sz w:val="20"/>
              </w:rPr>
            </w:r>
          </w:p>
          <w:p>
            <w:pPr>
              <w:spacing w:before="20" w:after="40"/>
            </w:pPr>
            <w:r>
              <w:rPr>
                <w:color w:val="404040"/>
                <w:sz w:val="20"/>
              </w:rPr>
              <w:t>步骤 2：深化 WTB-ERA5 对比的科学内涵（增加约 100-150 词）</w:t>
            </w:r>
          </w:p>
          <w:p>
            <w:pPr>
              <w:spacing w:before="20" w:after="40"/>
            </w:pPr>
            <w:r>
              <w:rPr>
                <w:color w:val="404040"/>
                <w:sz w:val="20"/>
              </w:rPr>
              <w:t xml:space="preserve">  从 turbine physics 和 control theory 角度解释为什么相同的 routing prior 在 ERA5 中只有 modest improvement，在 WTB 中有 dramatic improvement。这是论文的核心科学洞见，目前在 Discussion 中只有一句话，太单薄。</w:t>
            </w:r>
          </w:p>
          <w:p>
            <w:pPr>
              <w:spacing w:before="20" w:after="40"/>
            </w:pPr>
            <w:r>
              <w:rPr>
                <w:color w:val="404040"/>
                <w:sz w:val="20"/>
              </w:rPr>
            </w:r>
          </w:p>
          <w:p>
            <w:pPr>
              <w:spacing w:before="20" w:after="40"/>
            </w:pPr>
            <w:r>
              <w:rPr>
                <w:color w:val="404040"/>
                <w:sz w:val="20"/>
              </w:rPr>
              <w:t>步骤 3：增加对 operator decision-making 的实践启示（约 100 词）</w:t>
            </w:r>
          </w:p>
          <w:p>
            <w:pPr>
              <w:spacing w:before="20" w:after="40"/>
            </w:pPr>
            <w:r>
              <w:rPr>
                <w:color w:val="404040"/>
                <w:sz w:val="20"/>
              </w:rPr>
              <w:t xml:space="preserve">  Applied Energy 读者非常关心 'so what for practitioners'，建议明确回答：</w:t>
            </w:r>
          </w:p>
          <w:p>
            <w:pPr>
              <w:spacing w:before="20" w:after="40"/>
            </w:pPr>
            <w:r>
              <w:rPr>
                <w:color w:val="404040"/>
                <w:sz w:val="20"/>
              </w:rPr>
              <w:t xml:space="preserve">  • 一个 wind farm operator 如何使用本文提出的 evidence protocol？</w:t>
            </w:r>
          </w:p>
          <w:p>
            <w:pPr>
              <w:spacing w:before="20" w:after="40"/>
            </w:pPr>
            <w:r>
              <w:rPr>
                <w:color w:val="404040"/>
                <w:sz w:val="20"/>
              </w:rPr>
              <w:t xml:space="preserve">  • 在什么情况下使用 global reserve rule 比 gate-bin 更好（ratio &gt;= 20）？</w:t>
            </w:r>
          </w:p>
          <w:p>
            <w:pPr>
              <w:spacing w:before="20" w:after="40"/>
            </w:pPr>
            <w:r>
              <w:rPr>
                <w:color w:val="404040"/>
                <w:sz w:val="20"/>
              </w:rPr>
              <w:t xml:space="preserve">  • 最小可行的本地校准工作量（2-day calibration window 的结果）意味着什么？</w:t>
            </w:r>
          </w:p>
        </w:tc>
      </w:tr>
    </w:tbl>
    <w:p/>
    <w:p>
      <w:pPr>
        <w:spacing w:before="360" w:after="120"/>
        <w:pBdr>
          <w:bottom w:val="single" w:sz="6" w:color="1F4E79"/>
        </w:pBdr>
      </w:pPr>
      <w:r>
        <w:rPr>
          <w:b/>
          <w:color w:val="1F4E79"/>
          <w:sz w:val="32"/>
        </w:rPr>
        <w:t>七、文风修改通则（全文适用）</w:t>
      </w:r>
    </w:p>
    <w:p>
      <w:pPr>
        <w:spacing w:before="240" w:after="80"/>
      </w:pPr>
      <w:r>
        <w:rPr>
          <w:b/>
          <w:color w:val="1F4E79"/>
          <w:sz w:val="26"/>
        </w:rPr>
        <w:t>7.1 语言改写对照表</w:t>
      </w:r>
    </w:p>
    <w:tbl>
      <w:tblPr>
        <w:tblStyle w:val="TableGrid"/>
        <w:tblW w:type="auto" w:w="0"/>
        <w:tblLook w:firstColumn="1" w:firstRow="1" w:lastColumn="0" w:lastRow="0" w:noHBand="0" w:noVBand="1" w:val="04A0"/>
      </w:tblPr>
      <w:tblGrid>
        <w:gridCol w:w="4680"/>
        <w:gridCol w:w="4680"/>
      </w:tblGrid>
      <w:tr>
        <w:tc>
          <w:tcPr>
            <w:tcW w:type="dxa" w:w="4680"/>
            <w:shd w:val="clear" w:color="auto" w:fill="1F4E79"/>
          </w:tcPr>
          <w:p>
            <w:r>
              <w:rPr>
                <w:b/>
                <w:color w:val="FFFFFF"/>
                <w:sz w:val="20"/>
              </w:rPr>
              <w:t>原文表达（避免）</w:t>
            </w:r>
          </w:p>
        </w:tc>
        <w:tc>
          <w:tcPr>
            <w:tcW w:type="dxa" w:w="4680"/>
            <w:shd w:val="clear" w:color="auto" w:fill="1F4E79"/>
          </w:tcPr>
          <w:p>
            <w:r>
              <w:rPr>
                <w:b/>
                <w:color w:val="FFFFFF"/>
                <w:sz w:val="20"/>
              </w:rPr>
              <w:t>建议表达（使用）</w:t>
            </w:r>
          </w:p>
        </w:tc>
      </w:tr>
      <w:tr>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'The paper makes three contributions...'</w:t>
            </w:r>
          </w:p>
        </w:tc>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'This paper makes three contributions...' 或 'We demonstrate...'</w:t>
            </w:r>
          </w:p>
        </w:tc>
      </w:tr>
      <w:tr>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'The study is deliberately narrower than...'</w:t>
            </w:r>
          </w:p>
        </w:tc>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'This reserve diagnostic is narrower than unit commitment by design.'</w:t>
            </w:r>
          </w:p>
        </w:tc>
      </w:tr>
      <w:tr>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'It is shown that gate-bin reduces...'</w:t>
            </w:r>
          </w:p>
        </w:tc>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'Gate-bin policy reduces...'（让发现做主语，最优）</w:t>
            </w:r>
          </w:p>
        </w:tc>
      </w:tr>
      <w:tr>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'The result is reported in Table X.'</w:t>
            </w:r>
          </w:p>
        </w:tc>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'Table X presents the results.'</w:t>
            </w:r>
          </w:p>
        </w:tc>
      </w:tr>
      <w:tr>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逐行列举每个模型的 RMSE 数字</w:t>
            </w:r>
          </w:p>
        </w:tc>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'Graph WaveNet leads at RMSE 225.74 (Table X); the full baseline panel appears there.'</w:t>
            </w:r>
          </w:p>
        </w:tc>
      </w:tr>
      <w:tr>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'This should not be interpreted as...'（Results 中）</w:t>
            </w:r>
          </w:p>
        </w:tc>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移入 Limitations 一节</w:t>
            </w:r>
          </w:p>
        </w:tc>
      </w:tr>
      <w:tr>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'The completed artifact records 50/50 runs...'</w:t>
            </w:r>
          </w:p>
        </w:tc>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移入 Supplementary Material</w:t>
            </w:r>
          </w:p>
        </w:tc>
      </w:tr>
      <w:tr>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'...as the evidence source for the corrected router.'</w:t>
            </w:r>
          </w:p>
        </w:tc>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删除</w:t>
            </w:r>
          </w:p>
        </w:tc>
      </w:tr>
    </w:tbl>
    <w:p/>
    <w:tbl>
      <w:tblPr>
        <w:tblStyle w:val="TableGrid"/>
        <w:tblW w:type="auto" w:w="0"/>
        <w:tblLook w:firstColumn="1" w:firstRow="1" w:lastColumn="0" w:lastRow="0" w:noHBand="0" w:noVBand="1" w:val="04A0"/>
      </w:tblPr>
      <w:tblGrid>
        <w:gridCol w:w="9360"/>
      </w:tblGrid>
      <w:tr>
        <w:tc>
          <w:tcPr>
            <w:tcW w:type="dxa" w:w="9360"/>
            <w:shd w:val="clear" w:color="auto" w:fill="D6E4F0"/>
            <w:tcBorders>
              <w:top w:val="nil"/>
              <w:left w:val="nil"/>
              <w:bottom w:val="nil"/>
              <w:right w:val="nil"/>
              <w:insideH w:val="nil"/>
              <w:insideV w:val="nil"/>
            </w:tcBorders>
          </w:tcPr>
          <w:p>
            <w:pPr>
              <w:spacing w:before="80" w:after="60"/>
            </w:pPr>
            <w:r>
              <w:rPr>
                <w:b/>
                <w:color w:val="1F4E79"/>
                <w:sz w:val="21"/>
              </w:rPr>
              <w:t>结果先行原则（Result-First Writing）</w:t>
            </w:r>
          </w:p>
          <w:p>
            <w:pPr>
              <w:spacing w:before="20" w:after="40"/>
            </w:pPr>
            <w:r>
              <w:rPr>
                <w:color w:val="404040"/>
                <w:sz w:val="20"/>
              </w:rPr>
              <w:t>Applied Energy 偏好：先陈述发现，再给证据，再解释意义。</w:t>
            </w:r>
          </w:p>
          <w:p>
            <w:pPr>
              <w:spacing w:before="20" w:after="40"/>
            </w:pPr>
            <w:r>
              <w:rPr>
                <w:color w:val="404040"/>
                <w:sz w:val="20"/>
              </w:rPr>
            </w:r>
          </w:p>
          <w:p>
            <w:pPr>
              <w:spacing w:before="20" w:after="40"/>
            </w:pPr>
            <w:r>
              <w:rPr>
                <w:color w:val="404040"/>
                <w:sz w:val="20"/>
              </w:rPr>
              <w:t>X 原文写法（证据堆积，无解读）：</w:t>
            </w:r>
          </w:p>
          <w:p>
            <w:pPr>
              <w:spacing w:before="20" w:after="40"/>
            </w:pPr>
            <w:r>
              <w:rPr>
                <w:color w:val="404040"/>
                <w:sz w:val="20"/>
              </w:rPr>
              <w:t xml:space="preserve">  'At ratio 10, the full-sample result still favors Graph WaveNet/global: its total cost is 464.07M... The boundary-forced router has a 10.39 RMSE engineering tradeoff... Gate-bin reserve does not erase that tradeoff...'</w:t>
            </w:r>
          </w:p>
          <w:p>
            <w:pPr>
              <w:spacing w:before="20" w:after="40"/>
            </w:pPr>
            <w:r>
              <w:rPr>
                <w:color w:val="404040"/>
                <w:sz w:val="20"/>
              </w:rPr>
            </w:r>
          </w:p>
          <w:p>
            <w:pPr>
              <w:spacing w:before="20" w:after="40"/>
            </w:pPr>
            <w:r>
              <w:rPr>
                <w:color w:val="404040"/>
                <w:sz w:val="20"/>
              </w:rPr>
              <w:t>√ 建议写法（发现先行，证据随后）：</w:t>
            </w:r>
          </w:p>
          <w:p>
            <w:pPr>
              <w:spacing w:before="20" w:after="40"/>
            </w:pPr>
            <w:r>
              <w:rPr>
                <w:color w:val="404040"/>
                <w:sz w:val="20"/>
              </w:rPr>
              <w:t xml:space="preserve">  'On the full sample, gate-bin reserve does not overcome the routed model's accuracy disadvantage: total cost rises to 481.36M under boundary router/gate-bin versus 464.07M for Graph WaveNet/global (Table 6). The gate-bin benefit is local to the boundary window; Graph WaveNet/global remains the full-sample reference.'</w:t>
            </w:r>
          </w:p>
        </w:tc>
      </w:tr>
    </w:tbl>
    <w:p/>
    <w:p>
      <w:pPr>
        <w:spacing w:before="360" w:after="120"/>
        <w:pBdr>
          <w:bottom w:val="single" w:sz="6" w:color="1F4E79"/>
        </w:pBdr>
      </w:pPr>
      <w:r>
        <w:rPr>
          <w:b/>
          <w:color w:val="1F4E79"/>
          <w:sz w:val="32"/>
        </w:rPr>
        <w:t>八、字数控制与结构建议</w:t>
      </w:r>
    </w:p>
    <w:p>
      <w:pPr>
        <w:spacing w:before="80" w:after="120"/>
      </w:pPr>
      <w:r>
        <w:rPr>
          <w:b w:val="0"/>
          <w:i w:val="0"/>
          <w:color w:val="404040"/>
          <w:sz w:val="21"/>
        </w:rPr>
        <w:t>Applied Energy 主文通常 8,000–12,000 词（不含参考文献和附录）。当前论文约 16,000–18,000 词，需压缩约 40%。</w:t>
      </w:r>
    </w:p>
    <w:tbl>
      <w:tblPr>
        <w:tblStyle w:val="TableGrid"/>
        <w:tblW w:type="auto" w:w="0"/>
        <w:tblLook w:firstColumn="1" w:firstRow="1" w:lastColumn="0" w:lastRow="0" w:noHBand="0" w:noVBand="1" w:val="04A0"/>
      </w:tblPr>
      <w:tblGrid>
        <w:gridCol w:w="4680"/>
        <w:gridCol w:w="4680"/>
      </w:tblGrid>
      <w:tr>
        <w:tc>
          <w:tcPr>
            <w:tcW w:type="dxa" w:w="4680"/>
            <w:shd w:val="clear" w:color="auto" w:fill="1F4E79"/>
          </w:tcPr>
          <w:p>
            <w:r>
              <w:rPr>
                <w:b/>
                <w:color w:val="FFFFFF"/>
                <w:sz w:val="20"/>
              </w:rPr>
              <w:t>压缩来源</w:t>
            </w:r>
          </w:p>
        </w:tc>
        <w:tc>
          <w:tcPr>
            <w:tcW w:type="dxa" w:w="4680"/>
            <w:shd w:val="clear" w:color="auto" w:fill="1F4E79"/>
          </w:tcPr>
          <w:p>
            <w:r>
              <w:rPr>
                <w:b/>
                <w:color w:val="FFFFFF"/>
                <w:sz w:val="20"/>
              </w:rPr>
              <w:t>预计节省词数</w:t>
            </w:r>
          </w:p>
        </w:tc>
      </w:tr>
      <w:tr>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Results 中重复表格内容的段落</w:t>
            </w:r>
          </w:p>
        </w:tc>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2,000–3,000 词</w:t>
            </w:r>
          </w:p>
        </w:tc>
      </w:tr>
      <w:tr>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内部文档语言（协议描述、artifact 追溯等）</w:t>
            </w:r>
          </w:p>
        </w:tc>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1,000–1,500 词</w:t>
            </w:r>
          </w:p>
        </w:tc>
      </w:tr>
      <w:tr>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分散的 scope qualifications（集中至 Limitations）</w:t>
            </w:r>
          </w:p>
        </w:tc>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800–1,000 词</w:t>
            </w:r>
          </w:p>
        </w:tc>
      </w:tr>
      <w:tr>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Related Work 中的 citation catalog 段落</w:t>
            </w:r>
          </w:p>
        </w:tc>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400–500 词</w:t>
            </w:r>
          </w:p>
        </w:tc>
      </w:tr>
      <w:tr>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Section 2.4 Gap Summary（移入 Introduction）</w:t>
            </w:r>
          </w:p>
        </w:tc>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200–300 词</w:t>
            </w:r>
          </w:p>
        </w:tc>
      </w:tr>
      <w:tr>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Limitations 中重复 Results 的内容</w:t>
            </w:r>
          </w:p>
        </w:tc>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300–500 词</w:t>
            </w:r>
          </w:p>
        </w:tc>
      </w:tr>
      <w:tr>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合计</w:t>
            </w:r>
          </w:p>
        </w:tc>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约 4,700–6,800 词</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F4E79"/>
          </w:tcPr>
          <w:p>
            <w:r>
              <w:rPr>
                <w:b/>
                <w:color w:val="FFFFFF"/>
                <w:sz w:val="20"/>
              </w:rPr>
              <w:t>章节</w:t>
            </w:r>
          </w:p>
        </w:tc>
        <w:tc>
          <w:tcPr>
            <w:tcW w:type="dxa" w:w="4680"/>
            <w:shd w:val="clear" w:color="auto" w:fill="1F4E79"/>
          </w:tcPr>
          <w:p>
            <w:r>
              <w:rPr>
                <w:b/>
                <w:color w:val="FFFFFF"/>
                <w:sz w:val="20"/>
              </w:rPr>
              <w:t>建议字数</w:t>
            </w:r>
          </w:p>
        </w:tc>
      </w:tr>
      <w:tr>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Abstract</w:t>
            </w:r>
          </w:p>
        </w:tc>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200–230 词</w:t>
            </w:r>
          </w:p>
        </w:tc>
      </w:tr>
      <w:tr>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1. Introduction</w:t>
            </w:r>
          </w:p>
        </w:tc>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600–700 词</w:t>
            </w:r>
          </w:p>
        </w:tc>
      </w:tr>
      <w:tr>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2. Related Work（3 个子节，无 Gap Summary）</w:t>
            </w:r>
          </w:p>
        </w:tc>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600–800 词</w:t>
            </w:r>
          </w:p>
        </w:tc>
      </w:tr>
      <w:tr>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3. Methodology</w:t>
            </w:r>
          </w:p>
        </w:tc>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2,000–2,500 词</w:t>
            </w:r>
          </w:p>
        </w:tc>
      </w:tr>
      <w:tr>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4. Experimental Setup</w:t>
            </w:r>
          </w:p>
        </w:tc>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400–500 词</w:t>
            </w:r>
          </w:p>
        </w:tc>
      </w:tr>
      <w:tr>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5. Results &amp; Discussion（整合）</w:t>
            </w:r>
          </w:p>
        </w:tc>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3,500–4,000 词</w:t>
            </w:r>
          </w:p>
        </w:tc>
      </w:tr>
      <w:tr>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6. Conclusion</w:t>
            </w:r>
          </w:p>
        </w:tc>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300–400 词</w:t>
            </w:r>
          </w:p>
        </w:tc>
      </w:tr>
      <w:tr>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7. Limitations</w:t>
            </w:r>
          </w:p>
        </w:tc>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600–800 词</w:t>
            </w:r>
          </w:p>
        </w:tc>
      </w:tr>
      <w:tr>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合计主文</w:t>
            </w:r>
          </w:p>
        </w:tc>
        <w:tc>
          <w:tcPr>
            <w:tcW w:type="dxa" w:w="4680"/>
            <w:shd w:val="clear" w:color="auto" w:fill="FFFFFF"/>
            <w:tcBorders>
              <w:top w:val="single" w:sz="4" w:color="CCCCCC"/>
              <w:left w:val="single" w:sz="4" w:color="CCCCCC"/>
              <w:bottom w:val="single" w:sz="4" w:color="CCCCCC"/>
              <w:right w:val="single" w:sz="4" w:color="CCCCCC"/>
            </w:tcBorders>
          </w:tcPr>
          <w:p>
            <w:r>
              <w:rPr>
                <w:color w:val="404040"/>
                <w:sz w:val="19"/>
              </w:rPr>
              <w:t>约 8,200–9,930 词</w:t>
            </w:r>
          </w:p>
        </w:tc>
      </w:tr>
    </w:tbl>
    <w:p/>
    <w:tbl>
      <w:tblPr>
        <w:tblStyle w:val="TableGrid"/>
        <w:tblW w:type="auto" w:w="0"/>
        <w:tblLook w:firstColumn="1" w:firstRow="1" w:lastColumn="0" w:lastRow="0" w:noHBand="0" w:noVBand="1" w:val="04A0"/>
      </w:tblPr>
      <w:tblGrid>
        <w:gridCol w:w="9360"/>
      </w:tblGrid>
      <w:tr>
        <w:tc>
          <w:tcPr>
            <w:tcW w:type="dxa" w:w="9360"/>
            <w:shd w:val="clear" w:color="auto" w:fill="E2EFDA"/>
            <w:tcBorders>
              <w:top w:val="nil"/>
              <w:left w:val="nil"/>
              <w:bottom w:val="nil"/>
              <w:right w:val="nil"/>
              <w:insideH w:val="nil"/>
              <w:insideV w:val="nil"/>
            </w:tcBorders>
          </w:tcPr>
          <w:p>
            <w:pPr>
              <w:spacing w:before="80" w:after="60"/>
            </w:pPr>
            <w:r>
              <w:rPr>
                <w:b/>
                <w:color w:val="375623"/>
                <w:sz w:val="21"/>
              </w:rPr>
              <w:t>Applied Energy 投稿特别注意事项</w:t>
            </w:r>
          </w:p>
          <w:p>
            <w:pPr>
              <w:spacing w:before="20" w:after="40"/>
            </w:pPr>
            <w:r>
              <w:rPr>
                <w:color w:val="404040"/>
                <w:sz w:val="20"/>
              </w:rPr>
              <w:t>① Research Highlights（必须提交，每条 &lt; 85 字符）建议：</w:t>
            </w:r>
          </w:p>
          <w:p>
            <w:pPr>
              <w:spacing w:before="20" w:after="40"/>
            </w:pPr>
            <w:r>
              <w:rPr>
                <w:color w:val="404040"/>
                <w:sz w:val="20"/>
              </w:rPr>
              <w:t xml:space="preserve">   • Physics-anchored MoE gate recovers MPPT-to-pitch turbine boundary (NMI 0.87)</w:t>
            </w:r>
          </w:p>
          <w:p>
            <w:pPr>
              <w:spacing w:before="20" w:after="40"/>
            </w:pPr>
            <w:r>
              <w:rPr>
                <w:color w:val="404040"/>
                <w:sz w:val="20"/>
              </w:rPr>
              <w:t xml:space="preserve">   • Gate-conditioned reserve binning cuts boundary-window shortage energy by 14%</w:t>
            </w:r>
          </w:p>
          <w:p>
            <w:pPr>
              <w:spacing w:before="20" w:after="40"/>
            </w:pPr>
            <w:r>
              <w:rPr>
                <w:color w:val="404040"/>
                <w:sz w:val="20"/>
              </w:rPr>
              <w:t xml:space="preserve">   • Reserve benefit holds only at moderate shortage-to-reserve cost ratios (5-10)</w:t>
            </w:r>
          </w:p>
          <w:p>
            <w:pPr>
              <w:spacing w:before="20" w:after="40"/>
            </w:pPr>
            <w:r>
              <w:rPr>
                <w:color w:val="404040"/>
                <w:sz w:val="20"/>
              </w:rPr>
              <w:t xml:space="preserve">   • External farm failure defines sensor and routing transfer criteria</w:t>
            </w:r>
          </w:p>
          <w:p>
            <w:pPr>
              <w:spacing w:before="20" w:after="40"/>
            </w:pPr>
            <w:r>
              <w:rPr>
                <w:color w:val="404040"/>
                <w:sz w:val="20"/>
              </w:rPr>
            </w:r>
          </w:p>
          <w:p>
            <w:pPr>
              <w:spacing w:before="20" w:after="40"/>
            </w:pPr>
            <w:r>
              <w:rPr>
                <w:color w:val="404040"/>
                <w:sz w:val="20"/>
              </w:rPr>
              <w:t>② 图表质量：检查 Figure 3-8 的彩色编码在灰度打印下是否仍可区分（AE 要求 600 dpi 可黑白印刷）</w:t>
            </w:r>
          </w:p>
          <w:p>
            <w:pPr>
              <w:spacing w:before="20" w:after="40"/>
            </w:pPr>
            <w:r>
              <w:rPr>
                <w:color w:val="404040"/>
                <w:sz w:val="20"/>
              </w:rPr>
            </w:r>
          </w:p>
          <w:p>
            <w:pPr>
              <w:spacing w:before="20" w:after="40"/>
            </w:pPr>
            <w:r>
              <w:rPr>
                <w:color w:val="404040"/>
                <w:sz w:val="20"/>
              </w:rPr>
              <w:t>③ Data Availability Statement：按 AE 模板改写当前 Section 10，使用标准化格式</w:t>
            </w:r>
          </w:p>
          <w:p>
            <w:pPr>
              <w:spacing w:before="20" w:after="40"/>
            </w:pPr>
            <w:r>
              <w:rPr>
                <w:color w:val="404040"/>
                <w:sz w:val="20"/>
              </w:rPr>
            </w:r>
          </w:p>
          <w:p>
            <w:pPr>
              <w:spacing w:before="20" w:after="40"/>
            </w:pPr>
            <w:r>
              <w:rPr>
                <w:color w:val="404040"/>
                <w:sz w:val="20"/>
              </w:rPr>
              <w:t>④ Graphical Abstract：Applied Energy 要求提交 Graphical Abstract（建议展示 Fig. 6 的 operator-facing workflow，因为它最直观）</w:t>
            </w:r>
          </w:p>
          <w:p>
            <w:pPr>
              <w:spacing w:before="20" w:after="40"/>
            </w:pPr>
            <w:r>
              <w:rPr>
                <w:color w:val="404040"/>
                <w:sz w:val="20"/>
              </w:rPr>
            </w:r>
          </w:p>
          <w:p>
            <w:pPr>
              <w:spacing w:before="20" w:after="40"/>
            </w:pPr>
            <w:r>
              <w:rPr>
                <w:color w:val="404040"/>
                <w:sz w:val="20"/>
              </w:rPr>
              <w:t>⑤ 在 Introduction 和 Discussion 各加一句话说明本文在「高比例可再生能源接入」这个大背景下的意义，与 Applied Energy 的核心主题匹配</w:t>
            </w:r>
          </w:p>
        </w:tc>
      </w:tr>
    </w:tbl>
    <w:p/>
    <w:p>
      <w:pPr>
        <w:spacing w:before="360" w:after="120"/>
        <w:pBdr>
          <w:bottom w:val="single" w:sz="6" w:color="1F4E79"/>
        </w:pBdr>
      </w:pPr>
      <w:r>
        <w:rPr>
          <w:b/>
          <w:color w:val="1F4E79"/>
          <w:sz w:val="32"/>
        </w:rPr>
        <w:t>九、投稿前快速检查清单</w:t>
      </w:r>
    </w:p>
    <w:tbl>
      <w:tblPr>
        <w:tblStyle w:val="TableGrid"/>
        <w:tblW w:type="auto" w:w="0"/>
        <w:tblLook w:firstColumn="1" w:firstRow="1" w:lastColumn="0" w:lastRow="0" w:noHBand="0" w:noVBand="1" w:val="04A0"/>
      </w:tblPr>
      <w:tblGrid>
        <w:gridCol w:w="9360"/>
      </w:tblGrid>
      <w:tr>
        <w:tc>
          <w:tcPr>
            <w:tcW w:type="dxa" w:w="9360"/>
            <w:shd w:val="clear" w:color="auto" w:fill="E2EFDA"/>
            <w:tcBorders>
              <w:top w:val="nil"/>
              <w:left w:val="nil"/>
              <w:bottom w:val="nil"/>
              <w:right w:val="nil"/>
              <w:insideH w:val="nil"/>
              <w:insideV w:val="nil"/>
            </w:tcBorders>
          </w:tcPr>
          <w:p>
            <w:pPr>
              <w:spacing w:before="80" w:after="60"/>
            </w:pPr>
            <w:r>
              <w:rPr>
                <w:b/>
                <w:color w:val="375623"/>
                <w:sz w:val="21"/>
              </w:rPr>
              <w:t>Abstract</w:t>
            </w:r>
          </w:p>
          <w:p>
            <w:pPr>
              <w:spacing w:before="20" w:after="40"/>
            </w:pPr>
            <w:r>
              <w:rPr>
                <w:color w:val="404040"/>
                <w:sz w:val="20"/>
              </w:rPr>
              <w:t>□ 第一句呈现操作问题，不解释「什么是预测价值」</w:t>
            </w:r>
          </w:p>
          <w:p>
            <w:pPr>
              <w:spacing w:before="20" w:after="40"/>
            </w:pPr>
            <w:r>
              <w:rPr>
                <w:color w:val="404040"/>
                <w:sz w:val="20"/>
              </w:rPr>
              <w:t>□ 结果使用百分比或直观单位，不使用 'normalized reserve-energy cost units'</w:t>
            </w:r>
          </w:p>
          <w:p>
            <w:pPr>
              <w:spacing w:before="20" w:after="40"/>
            </w:pPr>
            <w:r>
              <w:rPr>
                <w:color w:val="404040"/>
                <w:sz w:val="20"/>
              </w:rPr>
              <w:t>□ 三个贡献按操作重要性排序：reserve improvement → routing recovery → external failure</w:t>
            </w:r>
          </w:p>
          <w:p>
            <w:pPr>
              <w:spacing w:before="20" w:after="40"/>
            </w:pPr>
            <w:r>
              <w:rPr>
                <w:color w:val="404040"/>
                <w:sz w:val="20"/>
              </w:rPr>
              <w:t>□ 最后一句界定应用范围</w:t>
            </w:r>
          </w:p>
          <w:p>
            <w:pPr>
              <w:spacing w:before="20" w:after="40"/>
            </w:pPr>
            <w:r>
              <w:rPr>
                <w:color w:val="404040"/>
                <w:sz w:val="20"/>
              </w:rPr>
              <w:t>□ 全文首次出现的缩写已写全称</w:t>
            </w:r>
          </w:p>
        </w:tc>
      </w:tr>
    </w:tbl>
    <w:p/>
    <w:tbl>
      <w:tblPr>
        <w:tblStyle w:val="TableGrid"/>
        <w:tblW w:type="auto" w:w="0"/>
        <w:tblLook w:firstColumn="1" w:firstRow="1" w:lastColumn="0" w:lastRow="0" w:noHBand="0" w:noVBand="1" w:val="04A0"/>
      </w:tblPr>
      <w:tblGrid>
        <w:gridCol w:w="9360"/>
      </w:tblGrid>
      <w:tr>
        <w:tc>
          <w:tcPr>
            <w:tcW w:type="dxa" w:w="9360"/>
            <w:shd w:val="clear" w:color="auto" w:fill="E2EFDA"/>
            <w:tcBorders>
              <w:top w:val="nil"/>
              <w:left w:val="nil"/>
              <w:bottom w:val="nil"/>
              <w:right w:val="nil"/>
              <w:insideH w:val="nil"/>
              <w:insideV w:val="nil"/>
            </w:tcBorders>
          </w:tcPr>
          <w:p>
            <w:pPr>
              <w:spacing w:before="80" w:after="60"/>
            </w:pPr>
            <w:r>
              <w:rPr>
                <w:b/>
                <w:color w:val="375623"/>
                <w:sz w:val="21"/>
              </w:rPr>
              <w:t>Introduction</w:t>
            </w:r>
          </w:p>
          <w:p>
            <w:pPr>
              <w:spacing w:before="20" w:after="40"/>
            </w:pPr>
            <w:r>
              <w:rPr>
                <w:color w:val="404040"/>
                <w:sz w:val="20"/>
              </w:rPr>
              <w:t>□ 不解释「什么是预测价值」，直接呈现操作问题</w:t>
            </w:r>
          </w:p>
          <w:p>
            <w:pPr>
              <w:spacing w:before="20" w:after="40"/>
            </w:pPr>
            <w:r>
              <w:rPr>
                <w:color w:val="404040"/>
                <w:sz w:val="20"/>
              </w:rPr>
              <w:t>□ 增加了 MPPT-to-pitch 边界的技术动机（功率响应律变化的物理解释）</w:t>
            </w:r>
          </w:p>
          <w:p>
            <w:pPr>
              <w:spacing w:before="20" w:after="40"/>
            </w:pPr>
            <w:r>
              <w:rPr>
                <w:color w:val="404040"/>
                <w:sz w:val="20"/>
              </w:rPr>
              <w:t>□ 贡献用主动句表述，发现做主语</w:t>
            </w:r>
          </w:p>
          <w:p>
            <w:pPr>
              <w:spacing w:before="20" w:after="40"/>
            </w:pPr>
            <w:r>
              <w:rPr>
                <w:color w:val="404040"/>
                <w:sz w:val="20"/>
              </w:rPr>
              <w:t>□ Section 2.4 的 Gap summary 已移入 Introduction 末段</w:t>
            </w:r>
          </w:p>
        </w:tc>
      </w:tr>
    </w:tbl>
    <w:p/>
    <w:tbl>
      <w:tblPr>
        <w:tblStyle w:val="TableGrid"/>
        <w:tblW w:type="auto" w:w="0"/>
        <w:tblLook w:firstColumn="1" w:firstRow="1" w:lastColumn="0" w:lastRow="0" w:noHBand="0" w:noVBand="1" w:val="04A0"/>
      </w:tblPr>
      <w:tblGrid>
        <w:gridCol w:w="9360"/>
      </w:tblGrid>
      <w:tr>
        <w:tc>
          <w:tcPr>
            <w:tcW w:type="dxa" w:w="9360"/>
            <w:shd w:val="clear" w:color="auto" w:fill="E2EFDA"/>
            <w:tcBorders>
              <w:top w:val="nil"/>
              <w:left w:val="nil"/>
              <w:bottom w:val="nil"/>
              <w:right w:val="nil"/>
              <w:insideH w:val="nil"/>
              <w:insideV w:val="nil"/>
            </w:tcBorders>
          </w:tcPr>
          <w:p>
            <w:pPr>
              <w:spacing w:before="80" w:after="60"/>
            </w:pPr>
            <w:r>
              <w:rPr>
                <w:b/>
                <w:color w:val="375623"/>
                <w:sz w:val="21"/>
              </w:rPr>
              <w:t>Related Work</w:t>
            </w:r>
          </w:p>
          <w:p>
            <w:pPr>
              <w:spacing w:before="20" w:after="40"/>
            </w:pPr>
            <w:r>
              <w:rPr>
                <w:color w:val="404040"/>
                <w:sz w:val="20"/>
              </w:rPr>
              <w:t>□ 每个子节有明确的论证逻辑，不是 citation catalog</w:t>
            </w:r>
          </w:p>
          <w:p>
            <w:pPr>
              <w:spacing w:before="20" w:after="40"/>
            </w:pPr>
            <w:r>
              <w:rPr>
                <w:color w:val="404040"/>
                <w:sz w:val="20"/>
              </w:rPr>
              <w:t>□ 各引用区分了具体贡献，不是 6 篇一块堆放</w:t>
            </w:r>
          </w:p>
          <w:p>
            <w:pPr>
              <w:spacing w:before="20" w:after="40"/>
            </w:pPr>
            <w:r>
              <w:rPr>
                <w:color w:val="404040"/>
                <w:sz w:val="20"/>
              </w:rPr>
              <w:t>□ Section 2.4 已删除，内容已整合</w:t>
            </w:r>
          </w:p>
          <w:p>
            <w:pPr>
              <w:spacing w:before="20" w:after="40"/>
            </w:pPr>
            <w:r>
              <w:rPr>
                <w:color w:val="404040"/>
                <w:sz w:val="20"/>
              </w:rPr>
              <w:t>□ 每个子节末有桥接句，说明为何需要下一个维度的文献</w:t>
            </w:r>
          </w:p>
        </w:tc>
      </w:tr>
    </w:tbl>
    <w:p/>
    <w:tbl>
      <w:tblPr>
        <w:tblStyle w:val="TableGrid"/>
        <w:tblW w:type="auto" w:w="0"/>
        <w:tblLook w:firstColumn="1" w:firstRow="1" w:lastColumn="0" w:lastRow="0" w:noHBand="0" w:noVBand="1" w:val="04A0"/>
      </w:tblPr>
      <w:tblGrid>
        <w:gridCol w:w="9360"/>
      </w:tblGrid>
      <w:tr>
        <w:tc>
          <w:tcPr>
            <w:tcW w:type="dxa" w:w="9360"/>
            <w:shd w:val="clear" w:color="auto" w:fill="E2EFDA"/>
            <w:tcBorders>
              <w:top w:val="nil"/>
              <w:left w:val="nil"/>
              <w:bottom w:val="nil"/>
              <w:right w:val="nil"/>
              <w:insideH w:val="nil"/>
              <w:insideV w:val="nil"/>
            </w:tcBorders>
          </w:tcPr>
          <w:p>
            <w:pPr>
              <w:spacing w:before="80" w:after="60"/>
            </w:pPr>
            <w:r>
              <w:rPr>
                <w:b/>
                <w:color w:val="375623"/>
                <w:sz w:val="21"/>
              </w:rPr>
              <w:t>Results &amp; Discussion</w:t>
            </w:r>
          </w:p>
          <w:p>
            <w:pPr>
              <w:spacing w:before="20" w:after="40"/>
            </w:pPr>
            <w:r>
              <w:rPr>
                <w:color w:val="404040"/>
                <w:sz w:val="20"/>
              </w:rPr>
              <w:t>□ 所有内部文档语言已删除（frozen evaluation split, artifact package, SHA256 等）</w:t>
            </w:r>
          </w:p>
          <w:p>
            <w:pPr>
              <w:spacing w:before="20" w:after="40"/>
            </w:pPr>
            <w:r>
              <w:rPr>
                <w:color w:val="404040"/>
                <w:sz w:val="20"/>
              </w:rPr>
              <w:t>□ 没有在文字中逐行复述表格数字</w:t>
            </w:r>
          </w:p>
          <w:p>
            <w:pPr>
              <w:spacing w:before="20" w:after="40"/>
            </w:pPr>
            <w:r>
              <w:rPr>
                <w:color w:val="404040"/>
                <w:sz w:val="20"/>
              </w:rPr>
              <w:t>□ 每个子节以核心发现的 1-2 句话开始，不以程序描述开始</w:t>
            </w:r>
          </w:p>
          <w:p>
            <w:pPr>
              <w:spacing w:before="20" w:after="40"/>
            </w:pPr>
            <w:r>
              <w:rPr>
                <w:color w:val="404040"/>
                <w:sz w:val="20"/>
              </w:rPr>
              <w:t>□ 免责声明已集中移至 Limitations，Results 每子节只保留 1 句 scope qualifier</w:t>
            </w:r>
          </w:p>
          <w:p>
            <w:pPr>
              <w:spacing w:before="20" w:after="40"/>
            </w:pPr>
            <w:r>
              <w:rPr>
                <w:color w:val="404040"/>
                <w:sz w:val="20"/>
              </w:rPr>
              <w:t>□ 所有 'The paper' / 'The study' 已改为 'We' 或让发现做主语</w:t>
            </w:r>
          </w:p>
          <w:p>
            <w:pPr>
              <w:spacing w:before="20" w:after="40"/>
            </w:pPr>
            <w:r>
              <w:rPr>
                <w:color w:val="404040"/>
                <w:sz w:val="20"/>
              </w:rPr>
              <w:t>□ 全样本 vs 边界窗口的区别已清晰呈现，没有掩盖全样本下 gate-bin 不赢的事实</w:t>
            </w:r>
          </w:p>
          <w:p>
            <w:pPr>
              <w:spacing w:before="20" w:after="40"/>
            </w:pPr>
            <w:r>
              <w:rPr>
                <w:color w:val="404040"/>
                <w:sz w:val="20"/>
              </w:rPr>
              <w:t>□ External failure 已框架化为「贡献」而非「限制」</w:t>
            </w:r>
          </w:p>
        </w:tc>
      </w:tr>
    </w:tbl>
    <w:p/>
    <w:tbl>
      <w:tblPr>
        <w:tblStyle w:val="TableGrid"/>
        <w:tblW w:type="auto" w:w="0"/>
        <w:tblLook w:firstColumn="1" w:firstRow="1" w:lastColumn="0" w:lastRow="0" w:noHBand="0" w:noVBand="1" w:val="04A0"/>
      </w:tblPr>
      <w:tblGrid>
        <w:gridCol w:w="9360"/>
      </w:tblGrid>
      <w:tr>
        <w:tc>
          <w:tcPr>
            <w:tcW w:type="dxa" w:w="9360"/>
            <w:shd w:val="clear" w:color="auto" w:fill="E2EFDA"/>
            <w:tcBorders>
              <w:top w:val="nil"/>
              <w:left w:val="nil"/>
              <w:bottom w:val="nil"/>
              <w:right w:val="nil"/>
              <w:insideH w:val="nil"/>
              <w:insideV w:val="nil"/>
            </w:tcBorders>
          </w:tcPr>
          <w:p>
            <w:pPr>
              <w:spacing w:before="80" w:after="60"/>
            </w:pPr>
            <w:r>
              <w:rPr>
                <w:b/>
                <w:color w:val="375623"/>
                <w:sz w:val="21"/>
              </w:rPr>
              <w:t>Applied Energy 格式要求</w:t>
            </w:r>
          </w:p>
          <w:p>
            <w:pPr>
              <w:spacing w:before="20" w:after="40"/>
            </w:pPr>
            <w:r>
              <w:rPr>
                <w:color w:val="404040"/>
                <w:sz w:val="20"/>
              </w:rPr>
              <w:t>□ Research Highlights（4条，各 &lt; 85 字符）已准备</w:t>
            </w:r>
          </w:p>
          <w:p>
            <w:pPr>
              <w:spacing w:before="20" w:after="40"/>
            </w:pPr>
            <w:r>
              <w:rPr>
                <w:color w:val="404040"/>
                <w:sz w:val="20"/>
              </w:rPr>
              <w:t>□ Data Availability Statement 已按 AE 模板格式改写</w:t>
            </w:r>
          </w:p>
          <w:p>
            <w:pPr>
              <w:spacing w:before="20" w:after="40"/>
            </w:pPr>
            <w:r>
              <w:rPr>
                <w:color w:val="404040"/>
                <w:sz w:val="20"/>
              </w:rPr>
              <w:t>□ 所有图表在灰度打印下仍可区分</w:t>
            </w:r>
          </w:p>
          <w:p>
            <w:pPr>
              <w:spacing w:before="20" w:after="40"/>
            </w:pPr>
            <w:r>
              <w:rPr>
                <w:color w:val="404040"/>
                <w:sz w:val="20"/>
              </w:rPr>
              <w:t>□ 主文字数在 8,000–12,000 词之间</w:t>
            </w:r>
          </w:p>
          <w:p>
            <w:pPr>
              <w:spacing w:before="20" w:after="40"/>
            </w:pPr>
            <w:r>
              <w:rPr>
                <w:color w:val="404040"/>
                <w:sz w:val="20"/>
              </w:rPr>
              <w:t>□ Graphical Abstract 已准备（推荐使用 Fig. 6 的 workflow 图）</w:t>
            </w:r>
          </w:p>
          <w:p>
            <w:pPr>
              <w:spacing w:before="20" w:after="40"/>
            </w:pPr>
            <w:r>
              <w:rPr>
                <w:color w:val="404040"/>
                <w:sz w:val="20"/>
              </w:rPr>
              <w:t>□ Author Contribution（CRediT）声明已准备</w:t>
            </w:r>
          </w:p>
        </w:tc>
      </w:tr>
    </w:tbl>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