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pPr>
        <w:pStyle w:val="Title"/>
        <w:spacing w:before="0" w:after="200"/>
      </w:pPr>
      <w:r>
        <w:rPr>
          <w:b/>
          <w:sz w:val="34"/>
          <w:szCs w:val="34"/>
        </w:rPr>
        <w:t>Assessment of knowledge, Attitude and Practice regarding Periodontal health among IT Professionals in Bangalore City- a cross sectional questionnaire survey</w:t>
      </w:r>
    </w:p>
    <w:p>
      <w:pPr>
        <w:pStyle w:val="Normal"/>
        <w:spacing w:before="0" w:after="160"/>
      </w:pPr>
      <w:r>
        <w:rPr>
          <w:sz w:val="22"/>
          <w:szCs w:val="22"/>
        </w:rPr>
        <w:t>This report keeps Bangalore at the center of the analysis without discarding the outside-Bangalore respondents who also contributed useful signal.</w:t>
      </w:r>
    </w:p>
    <w:p>
      <w:pPr>
        <w:pStyle w:val="Heading2"/>
        <w:spacing w:before="0" w:after="100"/>
      </w:pPr>
      <w:r>
        <w:rPr>
          <w:b/>
          <w:sz w:val="26"/>
          <w:szCs w:val="26"/>
        </w:rPr>
        <w:t>Executive bullets</w:t>
      </w:r>
    </w:p>
    <w:p>
      <w:pPr>
        <w:pStyle w:val="Normal"/>
        <w:spacing w:before="0" w:after="60"/>
      </w:pPr>
      <w:r>
        <w:rPr>
          <w:sz w:val="22"/>
          <w:szCs w:val="22"/>
        </w:rPr>
        <w:t>- Bangalore drives the dataset, but the city is not a single cluster.</w:t>
      </w:r>
    </w:p>
    <w:p>
      <w:pPr>
        <w:pStyle w:val="Normal"/>
        <w:spacing w:before="0" w:after="60"/>
      </w:pPr>
      <w:r>
        <w:rPr>
          <w:sz w:val="22"/>
          <w:szCs w:val="22"/>
        </w:rPr>
        <w:t>- Named Bangalore localities differ more in behavior than in awareness.</w:t>
      </w:r>
    </w:p>
    <w:p>
      <w:pPr>
        <w:pStyle w:val="Normal"/>
        <w:spacing w:before="0" w:after="60"/>
      </w:pPr>
      <w:r>
        <w:rPr>
          <w:sz w:val="22"/>
          <w:szCs w:val="22"/>
        </w:rPr>
        <w:t>- Ulsoor stands out as a small pocket where knowledge is not turning into routine practice.</w:t>
      </w:r>
    </w:p>
    <w:p>
      <w:pPr>
        <w:pStyle w:val="Normal"/>
        <w:spacing w:before="0" w:after="60"/>
      </w:pPr>
      <w:r>
        <w:rPr>
          <w:sz w:val="22"/>
          <w:szCs w:val="22"/>
        </w:rPr>
        <w:t>- The weakest knowledge area is not advanced care; it is the basic cause of gum disease.</w:t>
      </w:r>
    </w:p>
    <w:p>
      <w:pPr>
        <w:pStyle w:val="Normal"/>
        <w:spacing w:before="0" w:after="60"/>
      </w:pPr>
      <w:r>
        <w:rPr>
          <w:sz w:val="22"/>
          <w:szCs w:val="22"/>
        </w:rPr>
        <w:t>- Daily routines weaken most on interdental cleaning and dentist follow-up.</w:t>
      </w:r>
    </w:p>
    <w:p>
      <w:r>
        <w:br w:type="page"/>
      </w:r>
    </w:p>
    <w:p>
      <w:pPr>
        <w:pStyle w:val="Heading1"/>
        <w:spacing w:before="0" w:after="140"/>
      </w:pPr>
      <w:r>
        <w:rPr>
          <w:b/>
          <w:sz w:val="30"/>
          <w:szCs w:val="30"/>
        </w:rPr>
        <w:t>Sample profile and survey footing</w:t>
      </w:r>
    </w:p>
    <w:p>
      <w:pPr>
        <w:pStyle w:val="Normal"/>
        <w:spacing w:before="0" w:after="110"/>
      </w:pPr>
      <w:r>
        <w:rPr>
          <w:sz w:val="22"/>
          <w:szCs w:val="22"/>
        </w:rPr>
        <w:t>The report stays Bangalore-first because most respondents are from Bangalore, but it keeps the outside-Bangalore sample visible throughout the analysis.</w:t>
      </w:r>
    </w:p>
    <w:p>
      <w:pPr>
        <w:pStyle w:val="Normal"/>
        <w:spacing w:before="0" w:after="50"/>
      </w:pPr>
      <w:r>
        <w:rPr>
          <w:sz w:val="21"/>
          <w:szCs w:val="21"/>
        </w:rPr>
        <w:t>- 146 respondents are from Bangalore and 105 are outside Bangalore.</w:t>
      </w:r>
    </w:p>
    <w:p>
      <w:pPr>
        <w:pStyle w:val="Normal"/>
        <w:spacing w:before="0" w:after="50"/>
      </w:pPr>
      <w:r>
        <w:rPr>
          <w:sz w:val="21"/>
          <w:szCs w:val="21"/>
        </w:rPr>
        <w:t>- The sample skews toward 20-30 years (61.8%) and full-time workers (78.1%).</w:t>
      </w:r>
    </w:p>
    <w:p>
      <w:pPr>
        <w:pStyle w:val="Normal"/>
        <w:spacing w:before="0" w:after="50"/>
      </w:pPr>
      <w:r>
        <w:rPr>
          <w:sz w:val="21"/>
          <w:szCs w:val="21"/>
        </w:rPr>
        <w:t>- 20.7% report a previous treatment history.</w:t>
      </w:r>
    </w:p>
    <w:p>
      <w:pPr>
        <w:pStyle w:val="Heading2"/>
        <w:spacing w:before="0" w:after="90"/>
      </w:pPr>
      <w:r>
        <w:rPr>
          <w:b/>
          <w:sz w:val="24"/>
          <w:szCs w:val="24"/>
        </w:rPr>
        <w:t>Bangalore versus outside Bangalore</w:t>
      </w:r>
    </w:p>
    <w:p>
      <w:pPr>
        <w:pStyle w:val="Normal"/>
        <w:spacing w:before="0" w:after="90"/>
      </w:pPr>
      <w:r>
        <w:rPr>
          <w:sz w:val="20"/>
          <w:szCs w:val="20"/>
        </w:rPr>
        <w:t>Bangalore contributes 58.2% of the full sample.</w:t>
      </w:r>
    </w:p>
    <w:p>
      <w:pPr>
        <w:jc w:val="center"/>
        <w:spacing w:after="160"/>
      </w:pPr>
      <w:r>
        <w:drawing>
          <wp:inline xmlns:wp="http://schemas.openxmlformats.org/drawingml/2006/wordprocessingDrawing" distT="0" distB="0" distL="0" distR="0">
            <wp:extent cx="5274310" cy="3013891"/>
            <wp:docPr id="1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13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before="0" w:after="90"/>
      </w:pPr>
      <w:r>
        <w:rPr>
          <w:b/>
          <w:sz w:val="24"/>
          <w:szCs w:val="24"/>
        </w:rPr>
        <w:t>Gender mix</w:t>
      </w:r>
    </w:p>
    <w:p>
      <w:pPr>
        <w:pStyle w:val="Normal"/>
        <w:spacing w:before="0" w:after="90"/>
      </w:pPr>
      <w:r>
        <w:rPr>
          <w:sz w:val="20"/>
          <w:szCs w:val="20"/>
        </w:rPr>
        <w:t>Male respondents account for 67.7% of the sample.</w:t>
      </w:r>
    </w:p>
    <w:p>
      <w:pPr>
        <w:jc w:val="center"/>
        <w:spacing w:after="160"/>
      </w:pPr>
      <w:r>
        <w:drawing>
          <wp:inline xmlns:wp="http://schemas.openxmlformats.org/drawingml/2006/wordprocessingDrawing" distT="0" distB="0" distL="0" distR="0">
            <wp:extent cx="5274310" cy="3013891"/>
            <wp:docPr id="2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7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13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before="0" w:after="90"/>
      </w:pPr>
      <w:r>
        <w:rPr>
          <w:b/>
          <w:sz w:val="24"/>
          <w:szCs w:val="24"/>
        </w:rPr>
        <w:t>Age range distribution</w:t>
      </w:r>
    </w:p>
    <w:p>
      <w:pPr>
        <w:pStyle w:val="Normal"/>
        <w:spacing w:before="0" w:after="90"/>
      </w:pPr>
      <w:r>
        <w:rPr>
          <w:sz w:val="20"/>
          <w:szCs w:val="20"/>
        </w:rPr>
        <w:t>The 20-30 years band makes up 61.8% of respondents.</w:t>
      </w:r>
    </w:p>
    <w:p>
      <w:pPr>
        <w:jc w:val="center"/>
        <w:spacing w:after="160"/>
      </w:pPr>
      <w:r>
        <w:drawing>
          <wp:inline xmlns:wp="http://schemas.openxmlformats.org/drawingml/2006/wordprocessingDrawing" distT="0" distB="0" distL="0" distR="0">
            <wp:extent cx="5274310" cy="1864845"/>
            <wp:docPr id="3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6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before="0" w:after="90"/>
      </w:pPr>
      <w:r>
        <w:rPr>
          <w:b/>
          <w:sz w:val="24"/>
          <w:szCs w:val="24"/>
        </w:rPr>
        <w:t>Work mode</w:t>
      </w:r>
    </w:p>
    <w:p>
      <w:pPr>
        <w:pStyle w:val="Normal"/>
        <w:spacing w:before="0" w:after="90"/>
      </w:pPr>
      <w:r>
        <w:rPr>
          <w:sz w:val="20"/>
          <w:szCs w:val="20"/>
        </w:rPr>
        <w:t>Full-time work is the dominant mode at 78.1%.</w:t>
      </w:r>
    </w:p>
    <w:p>
      <w:pPr>
        <w:jc w:val="center"/>
        <w:spacing w:after="160"/>
      </w:pPr>
      <w:r>
        <w:drawing>
          <wp:inline xmlns:wp="http://schemas.openxmlformats.org/drawingml/2006/wordprocessingDrawing" distT="0" distB="0" distL="0" distR="0">
            <wp:extent cx="5274310" cy="3013891"/>
            <wp:docPr id="4" name="image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5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13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before="0" w:after="140"/>
      </w:pPr>
      <w:r>
        <w:rPr>
          <w:b/>
          <w:sz w:val="30"/>
          <w:szCs w:val="30"/>
        </w:rPr>
        <w:t>Bangalore is the core geography, but outside-Bangalore responses matter too.</w:t>
      </w:r>
    </w:p>
    <w:p>
      <w:pPr>
        <w:pStyle w:val="Normal"/>
        <w:spacing w:before="0" w:after="110"/>
      </w:pPr>
      <w:r>
        <w:rPr>
          <w:sz w:val="22"/>
          <w:szCs w:val="22"/>
        </w:rPr>
        <w:t>Geography is shown in two layers: a whole-sample view that keeps outside-Bangalore responses visible, and a Bangalore-locality view that does not flatten the city into one bucket.</w:t>
      </w:r>
    </w:p>
    <w:p>
      <w:pPr>
        <w:pStyle w:val="Normal"/>
        <w:spacing w:before="0" w:after="50"/>
      </w:pPr>
      <w:r>
        <w:rPr>
          <w:sz w:val="21"/>
          <w:szCs w:val="21"/>
        </w:rPr>
        <w:t>- Bangalore contributes 146 responses, but 105 respondents are still outside Bangalore.</w:t>
      </w:r>
    </w:p>
    <w:p>
      <w:pPr>
        <w:pStyle w:val="Normal"/>
        <w:spacing w:before="0" w:after="50"/>
      </w:pPr>
      <w:r>
        <w:rPr>
          <w:sz w:val="21"/>
          <w:szCs w:val="21"/>
        </w:rPr>
        <w:t>- JP Nagar is the largest named Bangalore locality, while Chennai anchors the outside-Bangalore sample.</w:t>
      </w:r>
    </w:p>
    <w:p>
      <w:pPr>
        <w:pStyle w:val="Heading2"/>
        <w:spacing w:before="0" w:after="90"/>
      </w:pPr>
      <w:r>
        <w:rPr>
          <w:b/>
          <w:sz w:val="24"/>
          <w:szCs w:val="24"/>
        </w:rPr>
        <w:t>Top city or location clusters</w:t>
      </w:r>
    </w:p>
    <w:p>
      <w:pPr>
        <w:pStyle w:val="Normal"/>
        <w:spacing w:before="0" w:after="90"/>
      </w:pPr>
      <w:r>
        <w:rPr>
          <w:sz w:val="20"/>
          <w:szCs w:val="20"/>
        </w:rPr>
        <w:t>Bangalore is the dominant location cluster, followed by Chennai at 30 respondents.</w:t>
      </w:r>
    </w:p>
    <w:p>
      <w:pPr>
        <w:jc w:val="center"/>
        <w:spacing w:after="160"/>
      </w:pPr>
      <w:r>
        <w:drawing>
          <wp:inline xmlns:wp="http://schemas.openxmlformats.org/drawingml/2006/wordprocessingDrawing" distT="0" distB="0" distL="0" distR="0">
            <wp:extent cx="5274310" cy="3390628"/>
            <wp:docPr id="5" name="image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2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90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before="0" w:after="90"/>
      </w:pPr>
      <w:r>
        <w:rPr>
          <w:b/>
          <w:sz w:val="24"/>
          <w:szCs w:val="24"/>
        </w:rPr>
        <w:t>Bangalore locality distribution</w:t>
      </w:r>
    </w:p>
    <w:p>
      <w:pPr>
        <w:pStyle w:val="Normal"/>
        <w:spacing w:before="0" w:after="90"/>
      </w:pPr>
      <w:r>
        <w:rPr>
          <w:sz w:val="20"/>
          <w:szCs w:val="20"/>
        </w:rPr>
        <w:t>JP Nagar is the largest named Bangalore locality in the sample.</w:t>
      </w:r>
    </w:p>
    <w:p>
      <w:pPr>
        <w:jc w:val="center"/>
        <w:spacing w:after="160"/>
      </w:pPr>
      <w:r>
        <w:drawing>
          <wp:inline xmlns:wp="http://schemas.openxmlformats.org/drawingml/2006/wordprocessingDrawing" distT="0" distB="0" distL="0" distR="0">
            <wp:extent cx="5274310" cy="3390628"/>
            <wp:docPr id="6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4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90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before="0" w:after="90"/>
      </w:pPr>
      <w:r>
        <w:rPr>
          <w:b/>
          <w:sz w:val="24"/>
          <w:szCs w:val="24"/>
        </w:rPr>
        <w:t>Top outside-Bangalore locations</w:t>
      </w:r>
    </w:p>
    <w:p>
      <w:pPr>
        <w:pStyle w:val="Normal"/>
        <w:spacing w:before="0" w:after="90"/>
      </w:pPr>
      <w:r>
        <w:rPr>
          <w:sz w:val="20"/>
          <w:szCs w:val="20"/>
        </w:rPr>
        <w:t>Chennai leads the outside-Bangalore sample with 30 respondents.</w:t>
      </w:r>
    </w:p>
    <w:p>
      <w:pPr>
        <w:jc w:val="center"/>
        <w:spacing w:after="160"/>
      </w:pPr>
      <w:r>
        <w:drawing>
          <wp:inline xmlns:wp="http://schemas.openxmlformats.org/drawingml/2006/wordprocessingDrawing" distT="0" distB="0" distL="0" distR="0">
            <wp:extent cx="5274310" cy="3390628"/>
            <wp:docPr id="7" name="image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20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90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before="0" w:after="140"/>
      </w:pPr>
      <w:r>
        <w:rPr>
          <w:b/>
          <w:sz w:val="30"/>
          <w:szCs w:val="30"/>
        </w:rPr>
        <w:t>Named Bangalore localities do not all behave the same way.</w:t>
      </w:r>
    </w:p>
    <w:p>
      <w:pPr>
        <w:pStyle w:val="Normal"/>
        <w:spacing w:before="0" w:after="110"/>
      </w:pPr>
      <w:r>
        <w:rPr>
          <w:sz w:val="22"/>
          <w:szCs w:val="22"/>
        </w:rPr>
        <w:t>The Bangalore locality section keeps the city-specific focus honest by showing where behavior is stronger, where knowledge leads action, and where small local pockets need caution.</w:t>
      </w:r>
    </w:p>
    <w:p>
      <w:pPr>
        <w:pStyle w:val="Normal"/>
        <w:spacing w:before="0" w:after="50"/>
      </w:pPr>
      <w:r>
        <w:rPr>
          <w:sz w:val="21"/>
          <w:szCs w:val="21"/>
        </w:rPr>
        <w:t>- Use this section for Bangalore-specific commentary rather than citywide generalization.</w:t>
      </w:r>
    </w:p>
    <w:p>
      <w:pPr>
        <w:pStyle w:val="Normal"/>
        <w:spacing w:before="0" w:after="50"/>
      </w:pPr>
      <w:r>
        <w:rPr>
          <w:sz w:val="21"/>
          <w:szCs w:val="21"/>
        </w:rPr>
        <w:t>- Locality comparisons are descriptive unless a locality reaches at least five respondents.</w:t>
      </w:r>
    </w:p>
    <w:p>
      <w:pPr>
        <w:pStyle w:val="Heading2"/>
        <w:spacing w:before="0" w:after="90"/>
      </w:pPr>
      <w:r>
        <w:rPr>
          <w:b/>
          <w:sz w:val="24"/>
          <w:szCs w:val="24"/>
        </w:rPr>
        <w:t>KAP by Bangalore locality</w:t>
      </w:r>
    </w:p>
    <w:p>
      <w:pPr>
        <w:pStyle w:val="Normal"/>
        <w:spacing w:before="0" w:after="90"/>
      </w:pPr>
      <w:r>
        <w:rPr>
          <w:sz w:val="20"/>
          <w:szCs w:val="20"/>
        </w:rPr>
        <w:t>Practice varies more than knowledge across the claimable Bangalore localities.</w:t>
      </w:r>
    </w:p>
    <w:p>
      <w:pPr>
        <w:jc w:val="center"/>
        <w:spacing w:after="160"/>
      </w:pPr>
      <w:r>
        <w:drawing>
          <wp:inline xmlns:wp="http://schemas.openxmlformats.org/drawingml/2006/wordprocessingDrawing" distT="0" distB="0" distL="0" distR="0">
            <wp:extent cx="5274310" cy="2663974"/>
            <wp:docPr id="8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6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before="0" w:after="90"/>
      </w:pPr>
      <w:r>
        <w:rPr>
          <w:b/>
          <w:sz w:val="24"/>
          <w:szCs w:val="24"/>
        </w:rPr>
        <w:t>Knowledge vs practice in Bangalore localities</w:t>
      </w:r>
    </w:p>
    <w:p>
      <w:pPr>
        <w:pStyle w:val="Normal"/>
        <w:spacing w:before="0" w:after="90"/>
      </w:pPr>
      <w:r>
        <w:rPr>
          <w:sz w:val="20"/>
          <w:szCs w:val="20"/>
        </w:rPr>
        <w:t>The sharpest locality gap appears in Ulsoor.</w:t>
      </w:r>
    </w:p>
    <w:p>
      <w:pPr>
        <w:jc w:val="center"/>
        <w:spacing w:after="160"/>
      </w:pPr>
      <w:r>
        <w:drawing>
          <wp:inline xmlns:wp="http://schemas.openxmlformats.org/drawingml/2006/wordprocessingDrawing" distT="0" distB="0" distL="0" distR="0">
            <wp:extent cx="5274310" cy="2663974"/>
            <wp:docPr id="9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3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6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before="0" w:after="140"/>
      </w:pPr>
      <w:r>
        <w:rPr>
          <w:b/>
          <w:sz w:val="30"/>
          <w:szCs w:val="30"/>
        </w:rPr>
        <w:t>The knowledge story is about basic gum disease understanding, not specialist detail.</w:t>
      </w:r>
    </w:p>
    <w:p>
      <w:pPr>
        <w:pStyle w:val="Normal"/>
        <w:spacing w:before="0" w:after="110"/>
      </w:pPr>
      <w:r>
        <w:rPr>
          <w:sz w:val="22"/>
          <w:szCs w:val="22"/>
        </w:rPr>
        <w:t>The lowest-scoring knowledge items concern the primary cause of gum disease and the definitions of plaque and tartar.</w:t>
      </w:r>
    </w:p>
    <w:p>
      <w:pPr>
        <w:pStyle w:val="Normal"/>
        <w:spacing w:before="0" w:after="50"/>
      </w:pPr>
      <w:r>
        <w:rPr>
          <w:sz w:val="21"/>
          <w:szCs w:val="21"/>
        </w:rPr>
        <w:t>- Cause is the weakest knowledge item at 37.5% correct.</w:t>
      </w:r>
    </w:p>
    <w:p>
      <w:pPr>
        <w:pStyle w:val="Normal"/>
        <w:spacing w:before="0" w:after="50"/>
      </w:pPr>
      <w:r>
        <w:rPr>
          <w:sz w:val="21"/>
          <w:szCs w:val="21"/>
        </w:rPr>
        <w:t>- The next weakest items are Plaque and Calculus.</w:t>
      </w:r>
    </w:p>
    <w:p>
      <w:pPr>
        <w:pStyle w:val="Heading2"/>
        <w:spacing w:before="0" w:after="90"/>
      </w:pPr>
      <w:r>
        <w:rPr>
          <w:b/>
          <w:sz w:val="24"/>
          <w:szCs w:val="24"/>
        </w:rPr>
        <w:t>Knowledge items ranked by percent correct</w:t>
      </w:r>
    </w:p>
    <w:p>
      <w:pPr>
        <w:pStyle w:val="Normal"/>
        <w:spacing w:before="0" w:after="90"/>
      </w:pPr>
      <w:r>
        <w:rPr>
          <w:sz w:val="20"/>
          <w:szCs w:val="20"/>
        </w:rPr>
        <w:t>The cause-of-disease item is lowest at 37.5% correct.</w:t>
      </w:r>
    </w:p>
    <w:p>
      <w:pPr>
        <w:jc w:val="center"/>
        <w:spacing w:after="160"/>
      </w:pPr>
      <w:r>
        <w:drawing>
          <wp:inline xmlns:wp="http://schemas.openxmlformats.org/drawingml/2006/wordprocessingDrawing" distT="0" distB="0" distL="0" distR="0">
            <wp:extent cx="5274310" cy="3390628"/>
            <wp:docPr id="10" name="image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90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before="0" w:after="140"/>
      </w:pPr>
      <w:r>
        <w:rPr>
          <w:b/>
          <w:sz w:val="30"/>
          <w:szCs w:val="30"/>
        </w:rPr>
        <w:t>Attitudes are generally favorable, but a few items show friction.</w:t>
      </w:r>
    </w:p>
    <w:p>
      <w:pPr>
        <w:pStyle w:val="Normal"/>
        <w:spacing w:before="0" w:after="110"/>
      </w:pPr>
      <w:r>
        <w:rPr>
          <w:sz w:val="22"/>
          <w:szCs w:val="22"/>
        </w:rPr>
        <w:t>The diverging view makes it easy to see which statements generate strong agreement and which still face skepticism or convenience-based resistance.</w:t>
      </w:r>
    </w:p>
    <w:p>
      <w:pPr>
        <w:pStyle w:val="Normal"/>
        <w:spacing w:before="0" w:after="50"/>
      </w:pPr>
      <w:r>
        <w:rPr>
          <w:sz w:val="21"/>
          <w:szCs w:val="21"/>
        </w:rPr>
        <w:t>- The pain-only dentist-visit statement is the least favorable attitude item after reverse coding.</w:t>
      </w:r>
    </w:p>
    <w:p>
      <w:pPr>
        <w:pStyle w:val="Normal"/>
        <w:spacing w:before="0" w:after="50"/>
      </w:pPr>
      <w:r>
        <w:rPr>
          <w:sz w:val="21"/>
          <w:szCs w:val="21"/>
        </w:rPr>
        <w:t>- Time and effort concerns remain visible even when oral-health attitudes are broadly positive.</w:t>
      </w:r>
    </w:p>
    <w:p>
      <w:pPr>
        <w:pStyle w:val="Heading2"/>
        <w:spacing w:before="0" w:after="90"/>
      </w:pPr>
      <w:r>
        <w:rPr>
          <w:b/>
          <w:sz w:val="24"/>
          <w:szCs w:val="24"/>
        </w:rPr>
        <w:t>Attitude toward periodontal health</w:t>
      </w:r>
    </w:p>
    <w:p>
      <w:pPr>
        <w:pStyle w:val="Normal"/>
        <w:spacing w:before="0" w:after="90"/>
      </w:pPr>
      <w:r>
        <w:rPr>
          <w:sz w:val="20"/>
          <w:szCs w:val="20"/>
        </w:rPr>
        <w:t>The weakest net favorability appears on the statement 'Visiting a dentist is necessary only when I have pain or discomfort.'.</w:t>
      </w:r>
    </w:p>
    <w:p>
      <w:pPr>
        <w:jc w:val="center"/>
        <w:spacing w:after="160"/>
      </w:pPr>
      <w:r>
        <w:drawing>
          <wp:inline xmlns:wp="http://schemas.openxmlformats.org/drawingml/2006/wordprocessingDrawing" distT="0" distB="0" distL="0" distR="0">
            <wp:extent cx="5274310" cy="3461266"/>
            <wp:docPr id="11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2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61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before="0" w:after="140"/>
      </w:pPr>
      <w:r>
        <w:rPr>
          <w:b/>
          <w:sz w:val="30"/>
          <w:szCs w:val="30"/>
        </w:rPr>
        <w:t>Reported behavior is strongest on some daily basics and weakest on follow-through routines.</w:t>
      </w:r>
    </w:p>
    <w:p>
      <w:pPr>
        <w:pStyle w:val="Normal"/>
        <w:spacing w:before="0" w:after="110"/>
      </w:pPr>
      <w:r>
        <w:rPr>
          <w:sz w:val="22"/>
          <w:szCs w:val="22"/>
        </w:rPr>
        <w:t>The practice view separates broad adherence from the specific routines that still lag, especially cleaning aids and regular dentist visits.</w:t>
      </w:r>
    </w:p>
    <w:p>
      <w:pPr>
        <w:pStyle w:val="Normal"/>
        <w:spacing w:before="0" w:after="50"/>
      </w:pPr>
      <w:r>
        <w:rPr>
          <w:sz w:val="21"/>
          <w:szCs w:val="21"/>
        </w:rPr>
        <w:t>- Only 12.0% report best-practice use of cleaning aids.</w:t>
      </w:r>
    </w:p>
    <w:p>
      <w:pPr>
        <w:pStyle w:val="Normal"/>
        <w:spacing w:before="0" w:after="50"/>
      </w:pPr>
      <w:r>
        <w:rPr>
          <w:sz w:val="21"/>
          <w:szCs w:val="21"/>
        </w:rPr>
        <w:t>- Dentist visit recency reaches just 39.0% in the top band.</w:t>
      </w:r>
    </w:p>
    <w:p>
      <w:pPr>
        <w:pStyle w:val="Heading2"/>
        <w:spacing w:before="0" w:after="90"/>
      </w:pPr>
      <w:r>
        <w:rPr>
          <w:b/>
          <w:sz w:val="24"/>
          <w:szCs w:val="24"/>
        </w:rPr>
        <w:t>Practice response quality mix</w:t>
      </w:r>
    </w:p>
    <w:p>
      <w:pPr>
        <w:pStyle w:val="Normal"/>
        <w:spacing w:before="0" w:after="90"/>
      </w:pPr>
      <w:r>
        <w:rPr>
          <w:sz w:val="20"/>
          <w:szCs w:val="20"/>
        </w:rPr>
        <w:t>Cleaning aids is the weakest practice area, with only 12.0% in the best-practice band.</w:t>
      </w:r>
    </w:p>
    <w:p>
      <w:pPr>
        <w:jc w:val="center"/>
        <w:spacing w:after="160"/>
      </w:pPr>
      <w:r>
        <w:drawing>
          <wp:inline xmlns:wp="http://schemas.openxmlformats.org/drawingml/2006/wordprocessingDrawing" distT="0" distB="0" distL="0" distR="0">
            <wp:extent cx="5274310" cy="3487850"/>
            <wp:docPr id="12" name="image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22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8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before="0" w:after="90"/>
      </w:pPr>
      <w:r>
        <w:rPr>
          <w:b/>
          <w:sz w:val="24"/>
          <w:szCs w:val="24"/>
        </w:rPr>
        <w:t>Lowest best-practice adherence</w:t>
      </w:r>
    </w:p>
    <w:p>
      <w:pPr>
        <w:pStyle w:val="Normal"/>
        <w:spacing w:before="0" w:after="90"/>
      </w:pPr>
      <w:r>
        <w:rPr>
          <w:sz w:val="20"/>
          <w:szCs w:val="20"/>
        </w:rPr>
        <w:t>Cleaning aids and dentist visits are the two main behavior bottlenecks.</w:t>
      </w:r>
    </w:p>
    <w:p>
      <w:pPr>
        <w:jc w:val="center"/>
        <w:spacing w:after="160"/>
      </w:pPr>
      <w:r>
        <w:drawing>
          <wp:inline xmlns:wp="http://schemas.openxmlformats.org/drawingml/2006/wordprocessingDrawing" distT="0" distB="0" distL="0" distR="0">
            <wp:extent cx="5274310" cy="2119142"/>
            <wp:docPr id="13" name="image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23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19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before="0" w:after="140"/>
      </w:pPr>
      <w:r>
        <w:rPr>
          <w:b/>
          <w:sz w:val="30"/>
          <w:szCs w:val="30"/>
        </w:rPr>
        <w:t>The cross-domain view shows how knowledge, attitude, and practice move together and where subgroup differences are large enough to notice.</w:t>
      </w:r>
    </w:p>
    <w:p>
      <w:pPr>
        <w:pStyle w:val="Normal"/>
        <w:spacing w:before="0" w:after="110"/>
      </w:pPr>
      <w:r>
        <w:rPr>
          <w:sz w:val="22"/>
          <w:szCs w:val="22"/>
        </w:rPr>
        <w:t>Knowledge, attitude, and practice should be read as connected but not interchangeable domains; the charts below show both their overall score ranges and their subgroup differences.</w:t>
      </w:r>
    </w:p>
    <w:p>
      <w:pPr>
        <w:pStyle w:val="Normal"/>
        <w:spacing w:before="0" w:after="50"/>
      </w:pPr>
      <w:r>
        <w:rPr>
          <w:sz w:val="21"/>
          <w:szCs w:val="21"/>
        </w:rPr>
        <w:t>- Knowledge and practice move together most closely at rho=0.381.</w:t>
      </w:r>
    </w:p>
    <w:p>
      <w:pPr>
        <w:pStyle w:val="Normal"/>
        <w:spacing w:before="0" w:after="50"/>
      </w:pPr>
      <w:r>
        <w:rPr>
          <w:sz w:val="21"/>
          <w:szCs w:val="21"/>
        </w:rPr>
        <w:t>- The clearest geo-scope difference is in attitude, where Bangalore is higher by 3.5 points.</w:t>
      </w:r>
    </w:p>
    <w:p>
      <w:pPr>
        <w:pStyle w:val="Heading2"/>
        <w:spacing w:before="0" w:after="90"/>
      </w:pPr>
      <w:r>
        <w:rPr>
          <w:b/>
          <w:sz w:val="24"/>
          <w:szCs w:val="24"/>
        </w:rPr>
        <w:t>Composite score distributions</w:t>
      </w:r>
    </w:p>
    <w:p>
      <w:pPr>
        <w:pStyle w:val="Normal"/>
        <w:spacing w:before="0" w:after="90"/>
      </w:pPr>
      <w:r>
        <w:rPr>
          <w:sz w:val="20"/>
          <w:szCs w:val="20"/>
        </w:rPr>
        <w:t>Practice has the highest average standardized score at 69.8%.</w:t>
      </w:r>
    </w:p>
    <w:p>
      <w:pPr>
        <w:jc w:val="center"/>
        <w:spacing w:after="160"/>
      </w:pPr>
      <w:r>
        <w:drawing>
          <wp:inline xmlns:wp="http://schemas.openxmlformats.org/drawingml/2006/wordprocessingDrawing" distT="0" distB="0" distL="0" distR="0">
            <wp:extent cx="5274310" cy="2401695"/>
            <wp:docPr id="14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8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0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before="0" w:after="90"/>
      </w:pPr>
      <w:r>
        <w:rPr>
          <w:b/>
          <w:sz w:val="24"/>
          <w:szCs w:val="24"/>
        </w:rPr>
        <w:t>Subgroup score profile</w:t>
      </w:r>
    </w:p>
    <w:p>
      <w:pPr>
        <w:pStyle w:val="Normal"/>
        <w:spacing w:before="0" w:after="90"/>
      </w:pPr>
      <w:r>
        <w:rPr>
          <w:sz w:val="20"/>
          <w:szCs w:val="20"/>
        </w:rPr>
        <w:t>Remote workers and 10-15 year professionals sit near the bottom of the practice distribution.</w:t>
      </w:r>
    </w:p>
    <w:p>
      <w:pPr>
        <w:jc w:val="center"/>
        <w:spacing w:after="160"/>
      </w:pPr>
      <w:r>
        <w:drawing>
          <wp:inline xmlns:wp="http://schemas.openxmlformats.org/drawingml/2006/wordprocessingDrawing" distT="0" distB="0" distL="0" distR="0">
            <wp:extent cx="5274310" cy="4772818"/>
            <wp:docPr id="15" name="image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24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72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before="0" w:after="90"/>
      </w:pPr>
      <w:r>
        <w:rPr>
          <w:b/>
          <w:sz w:val="24"/>
          <w:szCs w:val="24"/>
        </w:rPr>
        <w:t>Bangalore versus outside Bangalore</w:t>
      </w:r>
    </w:p>
    <w:p>
      <w:pPr>
        <w:pStyle w:val="Normal"/>
        <w:spacing w:before="0" w:after="90"/>
      </w:pPr>
      <w:r>
        <w:rPr>
          <w:sz w:val="20"/>
          <w:szCs w:val="20"/>
        </w:rPr>
        <w:t>Attitude is the clearest Bangalore-versus-outside difference at 3.5 points.</w:t>
      </w:r>
    </w:p>
    <w:p>
      <w:pPr>
        <w:jc w:val="center"/>
        <w:spacing w:after="160"/>
      </w:pPr>
      <w:r>
        <w:drawing>
          <wp:inline xmlns:wp="http://schemas.openxmlformats.org/drawingml/2006/wordprocessingDrawing" distT="0" distB="0" distL="0" distR="0">
            <wp:extent cx="5274310" cy="1626991"/>
            <wp:docPr id="16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26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before="0" w:after="90"/>
      </w:pPr>
      <w:r>
        <w:rPr>
          <w:b/>
          <w:sz w:val="24"/>
          <w:szCs w:val="24"/>
        </w:rPr>
        <w:t>KAP relationship map</w:t>
      </w:r>
    </w:p>
    <w:p>
      <w:pPr>
        <w:pStyle w:val="Normal"/>
        <w:spacing w:before="0" w:after="90"/>
      </w:pPr>
      <w:r>
        <w:rPr>
          <w:sz w:val="20"/>
          <w:szCs w:val="20"/>
        </w:rPr>
        <w:t>Knowledge vs Practice is the strongest pair with rho=0.381.</w:t>
      </w:r>
    </w:p>
    <w:p>
      <w:pPr>
        <w:jc w:val="center"/>
        <w:spacing w:after="160"/>
      </w:pPr>
      <w:r>
        <w:drawing>
          <wp:inline xmlns:wp="http://schemas.openxmlformats.org/drawingml/2006/wordprocessingDrawing" distT="0" distB="0" distL="0" distR="0">
            <wp:extent cx="5274310" cy="3669085"/>
            <wp:docPr id="17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6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6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before="0" w:after="140"/>
      </w:pPr>
      <w:r>
        <w:rPr>
          <w:b/>
          <w:sz w:val="30"/>
          <w:szCs w:val="30"/>
        </w:rPr>
        <w:t>Insights</w:t>
      </w:r>
    </w:p>
    <w:p>
      <w:pPr>
        <w:pStyle w:val="Normal"/>
        <w:spacing w:after="90"/>
      </w:pPr>
      <w:r>
        <w:rPr>
          <w:b/>
          <w:color w:val="1C7C74"/>
          <w:sz w:val="20"/>
          <w:szCs w:val="20"/>
        </w:rPr>
        <w:t xml:space="preserve">[Bangalore] </w:t>
      </w:r>
      <w:r>
        <w:rPr>
          <w:b/>
          <w:sz w:val="24"/>
          <w:szCs w:val="24"/>
        </w:rPr>
        <w:t>Bangalore drives the dataset, but the city is not a single cluster.</w:t>
      </w:r>
    </w:p>
    <w:p>
      <w:pPr>
        <w:pStyle w:val="Normal"/>
        <w:spacing w:before="0" w:after="80"/>
      </w:pPr>
      <w:r>
        <w:rPr>
          <w:sz w:val="21"/>
          <w:szCs w:val="21"/>
        </w:rPr>
        <w:t>The report should treat Bangalore as the main lens while still showing that responses come from several visible Bengaluru pockets.</w:t>
      </w:r>
    </w:p>
    <w:p>
      <w:pPr>
        <w:pStyle w:val="Normal"/>
        <w:spacing w:before="0" w:after="50"/>
      </w:pPr>
      <w:r>
        <w:rPr>
          <w:sz w:val="20"/>
          <w:szCs w:val="20"/>
        </w:rPr>
        <w:t>- Bangalore contributes 146 of 251 responses (58.2%).</w:t>
      </w:r>
    </w:p>
    <w:p>
      <w:pPr>
        <w:pStyle w:val="Normal"/>
        <w:spacing w:before="0" w:after="50"/>
      </w:pPr>
      <w:r>
        <w:rPr>
          <w:sz w:val="20"/>
          <w:szCs w:val="20"/>
        </w:rPr>
        <w:t>- JP Nagar is the largest named Bangalore locality with 12 responses.</w:t>
      </w:r>
    </w:p>
    <w:p>
      <w:pPr>
        <w:pStyle w:val="Normal"/>
        <w:spacing w:before="0" w:after="50"/>
      </w:pPr>
      <w:r>
        <w:rPr>
          <w:sz w:val="20"/>
          <w:szCs w:val="20"/>
        </w:rPr>
        <w:t>- Bellandur, Whitefield, and HSR Layout each contribute meaningful local pockets of responses.</w:t>
      </w:r>
    </w:p>
    <w:p>
      <w:pPr>
        <w:pStyle w:val="Normal"/>
        <w:spacing w:before="0" w:after="80"/>
      </w:pPr>
      <w:r>
        <w:rPr>
          <w:i/>
          <w:sz w:val="20"/>
          <w:szCs w:val="20"/>
        </w:rPr>
        <w:t>Why this matters: Presentation should not talk about Bangalore as if it were one homogeneous block; locality cuts are needed for a credible city-specific story.</w:t>
      </w:r>
    </w:p>
    <w:p>
      <w:pPr>
        <w:jc w:val="center"/>
        <w:spacing w:after="160"/>
      </w:pPr>
      <w:r>
        <w:drawing>
          <wp:inline xmlns:wp="http://schemas.openxmlformats.org/drawingml/2006/wordprocessingDrawing" distT="0" distB="0" distL="0" distR="0">
            <wp:extent cx="5274310" cy="2882034"/>
            <wp:docPr id="18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82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90"/>
      </w:pPr>
      <w:r>
        <w:rPr>
          <w:sz w:val="19"/>
          <w:szCs w:val="19"/>
        </w:rPr>
        <w:t>Bangalore accounts for 58.2% of the full sample, with JP Nagar leading the named localities.</w:t>
      </w:r>
    </w:p>
    <w:p>
      <w:pPr>
        <w:pStyle w:val="Normal"/>
        <w:spacing w:after="90"/>
      </w:pPr>
      <w:r>
        <w:rPr>
          <w:b/>
          <w:color w:val="1C7C74"/>
          <w:sz w:val="20"/>
          <w:szCs w:val="20"/>
        </w:rPr>
        <w:t xml:space="preserve">[Bangalore] </w:t>
      </w:r>
      <w:r>
        <w:rPr>
          <w:b/>
          <w:sz w:val="24"/>
          <w:szCs w:val="24"/>
        </w:rPr>
        <w:t>Named Bangalore localities differ more in behavior than in awareness.</w:t>
      </w:r>
    </w:p>
    <w:p>
      <w:pPr>
        <w:pStyle w:val="Normal"/>
        <w:spacing w:before="0" w:after="80"/>
      </w:pPr>
      <w:r>
        <w:rPr>
          <w:sz w:val="21"/>
          <w:szCs w:val="21"/>
        </w:rPr>
        <w:t>Practice is strongest in a few named Bangalore pockets even when knowledge stays closer to the city average.</w:t>
      </w:r>
    </w:p>
    <w:p>
      <w:pPr>
        <w:pStyle w:val="Normal"/>
        <w:spacing w:before="0" w:after="50"/>
      </w:pPr>
      <w:r>
        <w:rPr>
          <w:sz w:val="20"/>
          <w:szCs w:val="20"/>
        </w:rPr>
        <w:t>- Whitefield posts the highest reported practice score among claimable Bangalore localities at 80.0%.</w:t>
      </w:r>
    </w:p>
    <w:p>
      <w:pPr>
        <w:pStyle w:val="Normal"/>
        <w:spacing w:before="0" w:after="50"/>
      </w:pPr>
      <w:r>
        <w:rPr>
          <w:sz w:val="20"/>
          <w:szCs w:val="20"/>
        </w:rPr>
        <w:t>- JP Nagar and HSR Layout also clear 75% on practice.</w:t>
      </w:r>
    </w:p>
    <w:p>
      <w:pPr>
        <w:pStyle w:val="Normal"/>
        <w:spacing w:before="0" w:after="50"/>
      </w:pPr>
      <w:r>
        <w:rPr>
          <w:sz w:val="20"/>
          <w:szCs w:val="20"/>
        </w:rPr>
        <w:t>- The Bangalore-wide practice mean is 70.9%.</w:t>
      </w:r>
    </w:p>
    <w:p>
      <w:pPr>
        <w:pStyle w:val="Normal"/>
        <w:spacing w:before="0" w:after="80"/>
      </w:pPr>
      <w:r>
        <w:rPr>
          <w:i/>
          <w:sz w:val="20"/>
          <w:szCs w:val="20"/>
        </w:rPr>
        <w:t>Why this matters: Locality messaging can highlight where good routines already exist and use those pockets as proof that stronger behavior is achievable inside the same city context.</w:t>
      </w:r>
    </w:p>
    <w:p>
      <w:pPr>
        <w:jc w:val="center"/>
        <w:spacing w:after="160"/>
      </w:pPr>
      <w:r>
        <w:drawing>
          <wp:inline xmlns:wp="http://schemas.openxmlformats.org/drawingml/2006/wordprocessingDrawing" distT="0" distB="0" distL="0" distR="0">
            <wp:extent cx="5274310" cy="2663974"/>
            <wp:docPr id="19" name="image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6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90"/>
      </w:pPr>
      <w:r>
        <w:rPr>
          <w:sz w:val="19"/>
          <w:szCs w:val="19"/>
        </w:rPr>
        <w:t>Whitefield leads the claimable Bangalore localities on practice, not on knowledge alone.</w:t>
      </w:r>
    </w:p>
    <w:p>
      <w:pPr>
        <w:pStyle w:val="Normal"/>
        <w:spacing w:after="90"/>
      </w:pPr>
      <w:r>
        <w:rPr>
          <w:b/>
          <w:color w:val="1C7C74"/>
          <w:sz w:val="20"/>
          <w:szCs w:val="20"/>
        </w:rPr>
        <w:t xml:space="preserve">[Bangalore] </w:t>
      </w:r>
      <w:r>
        <w:rPr>
          <w:b/>
          <w:sz w:val="24"/>
          <w:szCs w:val="24"/>
        </w:rPr>
        <w:t>Ulsoor stands out as a small pocket where knowledge is not turning into routine practice.</w:t>
      </w:r>
    </w:p>
    <w:p>
      <w:pPr>
        <w:pStyle w:val="Normal"/>
        <w:spacing w:before="0" w:after="80"/>
      </w:pPr>
      <w:r>
        <w:rPr>
          <w:sz w:val="21"/>
          <w:szCs w:val="21"/>
        </w:rPr>
        <w:t>The biggest knowledge-to-behavior mismatch inside Bangalore appears in a locality-sized pocket, not in the city average.</w:t>
      </w:r>
    </w:p>
    <w:p>
      <w:pPr>
        <w:pStyle w:val="Normal"/>
        <w:spacing w:before="0" w:after="50"/>
      </w:pPr>
      <w:r>
        <w:rPr>
          <w:sz w:val="20"/>
          <w:szCs w:val="20"/>
        </w:rPr>
        <w:t>- Ulsoor records 92.0% on knowledge and 55.3% on practice.</w:t>
      </w:r>
    </w:p>
    <w:p>
      <w:pPr>
        <w:pStyle w:val="Normal"/>
        <w:spacing w:before="0" w:after="50"/>
      </w:pPr>
      <w:r>
        <w:rPr>
          <w:sz w:val="20"/>
          <w:szCs w:val="20"/>
        </w:rPr>
        <w:t>- That creates a 36.7-point knowledge-practice gap.</w:t>
      </w:r>
    </w:p>
    <w:p>
      <w:pPr>
        <w:pStyle w:val="Normal"/>
        <w:spacing w:before="0" w:after="50"/>
      </w:pPr>
      <w:r>
        <w:rPr>
          <w:sz w:val="20"/>
          <w:szCs w:val="20"/>
        </w:rPr>
        <w:t>- This comparison is based on 5 respondents, so it should be presented as a directional pocket rather than a citywide conclusion.</w:t>
      </w:r>
    </w:p>
    <w:p>
      <w:pPr>
        <w:pStyle w:val="Normal"/>
        <w:spacing w:before="0" w:after="80"/>
      </w:pPr>
      <w:r>
        <w:rPr>
          <w:i/>
          <w:sz w:val="20"/>
          <w:szCs w:val="20"/>
        </w:rPr>
        <w:t>Why this matters: This is the clearest example that awareness alone does not guarantee daily action, which points toward behavior-focused interventions rather than awareness messaging alone.</w:t>
      </w:r>
    </w:p>
    <w:p>
      <w:pPr>
        <w:jc w:val="center"/>
        <w:spacing w:after="160"/>
      </w:pPr>
      <w:r>
        <w:drawing>
          <wp:inline xmlns:wp="http://schemas.openxmlformats.org/drawingml/2006/wordprocessingDrawing" distT="0" distB="0" distL="0" distR="0">
            <wp:extent cx="5274310" cy="2663974"/>
            <wp:docPr id="20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6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90"/>
      </w:pPr>
      <w:r>
        <w:rPr>
          <w:sz w:val="19"/>
          <w:szCs w:val="19"/>
        </w:rPr>
        <w:t>Ulsoor has the largest knowledge-practice gap among localities with at least five respondents.</w:t>
      </w:r>
    </w:p>
    <w:p>
      <w:pPr>
        <w:pStyle w:val="Normal"/>
        <w:spacing w:after="90"/>
      </w:pPr>
      <w:r>
        <w:rPr>
          <w:b/>
          <w:color w:val="1C7C74"/>
          <w:sz w:val="20"/>
          <w:szCs w:val="20"/>
        </w:rPr>
        <w:t xml:space="preserve">[Overall] </w:t>
      </w:r>
      <w:r>
        <w:rPr>
          <w:b/>
          <w:sz w:val="24"/>
          <w:szCs w:val="24"/>
        </w:rPr>
        <w:t>The weakest knowledge area is not advanced care; it is the basic cause of gum disease.</w:t>
      </w:r>
    </w:p>
    <w:p>
      <w:pPr>
        <w:pStyle w:val="Normal"/>
        <w:spacing w:before="0" w:after="80"/>
      </w:pPr>
      <w:r>
        <w:rPr>
          <w:sz w:val="21"/>
          <w:szCs w:val="21"/>
        </w:rPr>
        <w:t>The biggest misconception sits at the foundation of periodontal understanding, which makes it especially important for public messaging.</w:t>
      </w:r>
    </w:p>
    <w:p>
      <w:pPr>
        <w:pStyle w:val="Normal"/>
        <w:spacing w:before="0" w:after="50"/>
      </w:pPr>
      <w:r>
        <w:rPr>
          <w:sz w:val="20"/>
          <w:szCs w:val="20"/>
        </w:rPr>
        <w:t>- Only 37.5% answered the early gum disease cause question correctly.</w:t>
      </w:r>
    </w:p>
    <w:p>
      <w:pPr>
        <w:pStyle w:val="Normal"/>
        <w:spacing w:before="0" w:after="50"/>
      </w:pPr>
      <w:r>
        <w:rPr>
          <w:sz w:val="20"/>
          <w:szCs w:val="20"/>
        </w:rPr>
        <w:t>- Plaque and tartar questions also stay near the halfway mark at 51.4% and 51.4%.</w:t>
      </w:r>
    </w:p>
    <w:p>
      <w:pPr>
        <w:pStyle w:val="Normal"/>
        <w:spacing w:before="0" w:after="50"/>
      </w:pPr>
      <w:r>
        <w:rPr>
          <w:sz w:val="20"/>
          <w:szCs w:val="20"/>
        </w:rPr>
        <w:t>- The overall knowledge average is 63.6%.</w:t>
      </w:r>
    </w:p>
    <w:p>
      <w:pPr>
        <w:pStyle w:val="Normal"/>
        <w:spacing w:before="0" w:after="80"/>
      </w:pPr>
      <w:r>
        <w:rPr>
          <w:i/>
          <w:sz w:val="20"/>
          <w:szCs w:val="20"/>
        </w:rPr>
        <w:t>Why this matters: If the basics are still unclear, communication should start with plain explanations of plaque, tartar, and disease causation before moving to treatment messaging.</w:t>
      </w:r>
    </w:p>
    <w:p>
      <w:pPr>
        <w:jc w:val="center"/>
        <w:spacing w:after="160"/>
      </w:pPr>
      <w:r>
        <w:drawing>
          <wp:inline xmlns:wp="http://schemas.openxmlformats.org/drawingml/2006/wordprocessingDrawing" distT="0" distB="0" distL="0" distR="0">
            <wp:extent cx="5274310" cy="2119142"/>
            <wp:docPr id="21" name="image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15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19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90"/>
      </w:pPr>
      <w:r>
        <w:rPr>
          <w:sz w:val="19"/>
          <w:szCs w:val="19"/>
        </w:rPr>
        <w:t>The disease-cause question is the lowest-scoring knowledge item at 37.5% correct.</w:t>
      </w:r>
    </w:p>
    <w:p>
      <w:pPr>
        <w:pStyle w:val="Normal"/>
        <w:spacing w:after="90"/>
      </w:pPr>
      <w:r>
        <w:rPr>
          <w:b/>
          <w:color w:val="1C7C74"/>
          <w:sz w:val="20"/>
          <w:szCs w:val="20"/>
        </w:rPr>
        <w:t xml:space="preserve">[Overall] </w:t>
      </w:r>
      <w:r>
        <w:rPr>
          <w:b/>
          <w:sz w:val="24"/>
          <w:szCs w:val="24"/>
        </w:rPr>
        <w:t>Daily routines weaken most on interdental cleaning and dentist follow-up.</w:t>
      </w:r>
    </w:p>
    <w:p>
      <w:pPr>
        <w:pStyle w:val="Normal"/>
        <w:spacing w:before="0" w:after="80"/>
      </w:pPr>
      <w:r>
        <w:rPr>
          <w:sz w:val="21"/>
          <w:szCs w:val="21"/>
        </w:rPr>
        <w:t>The weakest behaviors are not brushing basics alone; they are the routines people skip once a toothbrush is no longer enough.</w:t>
      </w:r>
    </w:p>
    <w:p>
      <w:pPr>
        <w:pStyle w:val="Normal"/>
        <w:spacing w:before="0" w:after="50"/>
      </w:pPr>
      <w:r>
        <w:rPr>
          <w:sz w:val="20"/>
          <w:szCs w:val="20"/>
        </w:rPr>
        <w:t>- Only 12.0% land in the best-practice band for cleaning aids.</w:t>
      </w:r>
    </w:p>
    <w:p>
      <w:pPr>
        <w:pStyle w:val="Normal"/>
        <w:spacing w:before="0" w:after="50"/>
      </w:pPr>
      <w:r>
        <w:rPr>
          <w:sz w:val="20"/>
          <w:szCs w:val="20"/>
        </w:rPr>
        <w:t>- Dental visit recency reaches only 39.0% best-practice adherence.</w:t>
      </w:r>
    </w:p>
    <w:p>
      <w:pPr>
        <w:pStyle w:val="Normal"/>
        <w:spacing w:before="0" w:after="50"/>
      </w:pPr>
      <w:r>
        <w:rPr>
          <w:sz w:val="20"/>
          <w:szCs w:val="20"/>
        </w:rPr>
        <w:t>- Half or more of respondents remain in the low-quality bands for brushing direction and dentist visits.</w:t>
      </w:r>
    </w:p>
    <w:p>
      <w:pPr>
        <w:pStyle w:val="Normal"/>
        <w:spacing w:before="0" w:after="80"/>
      </w:pPr>
      <w:r>
        <w:rPr>
          <w:i/>
          <w:sz w:val="20"/>
          <w:szCs w:val="20"/>
        </w:rPr>
        <w:t>Why this matters: This points to a concrete behavior agenda: move beyond brushing frequency and focus on interdental cleaning and regular dental follow-up.</w:t>
      </w:r>
    </w:p>
    <w:p>
      <w:pPr>
        <w:jc w:val="center"/>
        <w:spacing w:after="160"/>
      </w:pPr>
      <w:r>
        <w:drawing>
          <wp:inline xmlns:wp="http://schemas.openxmlformats.org/drawingml/2006/wordprocessingDrawing" distT="0" distB="0" distL="0" distR="0">
            <wp:extent cx="5274310" cy="2119142"/>
            <wp:docPr id="22" name="image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6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19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90"/>
      </w:pPr>
      <w:r>
        <w:rPr>
          <w:sz w:val="19"/>
          <w:szCs w:val="19"/>
        </w:rPr>
        <w:t>Cleaning aids is the weakest behavior area, with only 12.0% in the best-practice band.</w:t>
      </w:r>
    </w:p>
    <w:p>
      <w:pPr>
        <w:pStyle w:val="Normal"/>
        <w:spacing w:after="90"/>
      </w:pPr>
      <w:r>
        <w:rPr>
          <w:b/>
          <w:color w:val="1C7C74"/>
          <w:sz w:val="20"/>
          <w:szCs w:val="20"/>
        </w:rPr>
        <w:t xml:space="preserve">[Outside Bangalore] </w:t>
      </w:r>
      <w:r>
        <w:rPr>
          <w:b/>
          <w:sz w:val="24"/>
          <w:szCs w:val="24"/>
        </w:rPr>
        <w:t>Bangalore respondents are more attitude-positive, but knowledge and behavior look broadly similar to the outside-Bangalore sample.</w:t>
      </w:r>
    </w:p>
    <w:p>
      <w:pPr>
        <w:pStyle w:val="Normal"/>
        <w:spacing w:before="0" w:after="80"/>
      </w:pPr>
      <w:r>
        <w:rPr>
          <w:sz w:val="21"/>
          <w:szCs w:val="21"/>
        </w:rPr>
        <w:t>The geography story is more about attitude tone than about a dramatic difference in knowledge or practice.</w:t>
      </w:r>
    </w:p>
    <w:p>
      <w:pPr>
        <w:pStyle w:val="Normal"/>
        <w:spacing w:before="0" w:after="50"/>
      </w:pPr>
      <w:r>
        <w:rPr>
          <w:sz w:val="20"/>
          <w:szCs w:val="20"/>
        </w:rPr>
        <w:t>- Bangalore averages 69.6% on attitude versus 66.1% outside Bangalore.</w:t>
      </w:r>
    </w:p>
    <w:p>
      <w:pPr>
        <w:pStyle w:val="Normal"/>
        <w:spacing w:before="0" w:after="50"/>
      </w:pPr>
      <w:r>
        <w:rPr>
          <w:sz w:val="20"/>
          <w:szCs w:val="20"/>
        </w:rPr>
        <w:t>- The attitude gap is 3.5 points with a small effect size of 0.190.</w:t>
      </w:r>
    </w:p>
    <w:p>
      <w:pPr>
        <w:pStyle w:val="Normal"/>
        <w:spacing w:before="0" w:after="50"/>
      </w:pPr>
      <w:r>
        <w:rPr>
          <w:sz w:val="20"/>
          <w:szCs w:val="20"/>
        </w:rPr>
        <w:t>- Knowledge and practice differences are directionally smaller than the attitude split.</w:t>
      </w:r>
    </w:p>
    <w:p>
      <w:pPr>
        <w:pStyle w:val="Normal"/>
        <w:spacing w:before="0" w:after="80"/>
      </w:pPr>
      <w:r>
        <w:rPr>
          <w:i/>
          <w:sz w:val="20"/>
          <w:szCs w:val="20"/>
        </w:rPr>
        <w:t>Why this matters: Outside-Bangalore respondents still belong in the story because the differences are not large enough to dismiss them as a separate population.</w:t>
      </w:r>
    </w:p>
    <w:p>
      <w:pPr>
        <w:jc w:val="center"/>
        <w:spacing w:after="160"/>
      </w:pPr>
      <w:r>
        <w:drawing>
          <wp:inline xmlns:wp="http://schemas.openxmlformats.org/drawingml/2006/wordprocessingDrawing" distT="0" distB="0" distL="0" distR="0">
            <wp:extent cx="5274310" cy="1626991"/>
            <wp:docPr id="23" name="imag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1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26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90"/>
      </w:pPr>
      <w:r>
        <w:rPr>
          <w:sz w:val="19"/>
          <w:szCs w:val="19"/>
        </w:rPr>
        <w:t>Attitude shows the clearest Bangalore-versus-outside contrast, while knowledge and practice stay closer together.</w:t>
      </w:r>
    </w:p>
    <w:p>
      <w:pPr>
        <w:pStyle w:val="Normal"/>
        <w:spacing w:after="90"/>
      </w:pPr>
      <w:r>
        <w:rPr>
          <w:b/>
          <w:color w:val="1C7C74"/>
          <w:sz w:val="20"/>
          <w:szCs w:val="20"/>
        </w:rPr>
        <w:t xml:space="preserve">[Overall] </w:t>
      </w:r>
      <w:r>
        <w:rPr>
          <w:b/>
          <w:sz w:val="24"/>
          <w:szCs w:val="24"/>
        </w:rPr>
        <w:t>Knowledge aligns most strongly with practice, more than with attitude alone.</w:t>
      </w:r>
    </w:p>
    <w:p>
      <w:pPr>
        <w:pStyle w:val="Normal"/>
        <w:spacing w:before="0" w:after="80"/>
      </w:pPr>
      <w:r>
        <w:rPr>
          <w:sz w:val="21"/>
          <w:szCs w:val="21"/>
        </w:rPr>
        <w:t>Among the three composite domains, the cleanest statistical relationship is between knowing more and reporting better routines.</w:t>
      </w:r>
    </w:p>
    <w:p>
      <w:pPr>
        <w:pStyle w:val="Normal"/>
        <w:spacing w:before="0" w:after="50"/>
      </w:pPr>
      <w:r>
        <w:rPr>
          <w:sz w:val="20"/>
          <w:szCs w:val="20"/>
        </w:rPr>
        <w:t>- Knowledge vs Practice has the strongest Spearman rho at 0.381.</w:t>
      </w:r>
    </w:p>
    <w:p>
      <w:pPr>
        <w:pStyle w:val="Normal"/>
        <w:spacing w:before="0" w:after="50"/>
      </w:pPr>
      <w:r>
        <w:rPr>
          <w:sz w:val="20"/>
          <w:szCs w:val="20"/>
        </w:rPr>
        <w:t>- The 95% bootstrap interval runs from 0.264 to 0.491.</w:t>
      </w:r>
    </w:p>
    <w:p>
      <w:pPr>
        <w:pStyle w:val="Normal"/>
        <w:spacing w:before="0" w:after="50"/>
      </w:pPr>
      <w:r>
        <w:rPr>
          <w:sz w:val="20"/>
          <w:szCs w:val="20"/>
        </w:rPr>
        <w:t>- Attitude also matters, but the practice link is weaker when attitude is paired with practice directly.</w:t>
      </w:r>
    </w:p>
    <w:p>
      <w:pPr>
        <w:pStyle w:val="Normal"/>
        <w:spacing w:before="0" w:after="80"/>
      </w:pPr>
      <w:r>
        <w:rPr>
          <w:i/>
          <w:sz w:val="20"/>
          <w:szCs w:val="20"/>
        </w:rPr>
        <w:t>Why this matters: This connects awareness-building with behavior change, while still acknowledging that knowledge alone is not sufficient in every locality or segment.</w:t>
      </w:r>
    </w:p>
    <w:p>
      <w:pPr>
        <w:jc w:val="center"/>
        <w:spacing w:after="160"/>
      </w:pPr>
      <w:r>
        <w:drawing>
          <wp:inline xmlns:wp="http://schemas.openxmlformats.org/drawingml/2006/wordprocessingDrawing" distT="0" distB="0" distL="0" distR="0">
            <wp:extent cx="5274310" cy="3669085"/>
            <wp:docPr id="24" name="image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6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90"/>
      </w:pPr>
      <w:r>
        <w:rPr>
          <w:sz w:val="19"/>
          <w:szCs w:val="19"/>
        </w:rPr>
        <w:t>Knowledge shows its strongest alignment with practice at rho=0.381.</w:t>
      </w:r>
    </w:p>
    <w:p>
      <w:pPr>
        <w:pStyle w:val="Normal"/>
        <w:spacing w:after="90"/>
      </w:pPr>
      <w:r>
        <w:rPr>
          <w:b/>
          <w:color w:val="1C7C74"/>
          <w:sz w:val="20"/>
          <w:szCs w:val="20"/>
        </w:rPr>
        <w:t xml:space="preserve">[Overall] </w:t>
      </w:r>
      <w:r>
        <w:rPr>
          <w:b/>
          <w:sz w:val="24"/>
          <w:szCs w:val="24"/>
        </w:rPr>
        <w:t>The weakest reported practice is concentrated in a few work and career segments, not across the whole sample.</w:t>
      </w:r>
    </w:p>
    <w:p>
      <w:pPr>
        <w:pStyle w:val="Normal"/>
        <w:spacing w:before="0" w:after="80"/>
      </w:pPr>
      <w:r>
        <w:rPr>
          <w:sz w:val="21"/>
          <w:szCs w:val="21"/>
        </w:rPr>
        <w:t>Behavior challenges are concentrated enough to support more targeted messaging instead of a single blanket intervention.</w:t>
      </w:r>
    </w:p>
    <w:p>
      <w:pPr>
        <w:pStyle w:val="Normal"/>
        <w:spacing w:before="0" w:after="50"/>
      </w:pPr>
      <w:r>
        <w:rPr>
          <w:sz w:val="20"/>
          <w:szCs w:val="20"/>
        </w:rPr>
        <w:t>- Work from home (Remote) has the lowest practice score among segments with at least 10 respondents at 66.5%.</w:t>
      </w:r>
    </w:p>
    <w:p>
      <w:pPr>
        <w:pStyle w:val="Normal"/>
        <w:spacing w:before="0" w:after="50"/>
      </w:pPr>
      <w:r>
        <w:rPr>
          <w:sz w:val="20"/>
          <w:szCs w:val="20"/>
        </w:rPr>
        <w:t>- 10-15 years follows close behind at 66.8%.</w:t>
      </w:r>
    </w:p>
    <w:p>
      <w:pPr>
        <w:pStyle w:val="Normal"/>
        <w:spacing w:before="0" w:after="50"/>
      </w:pPr>
      <w:r>
        <w:rPr>
          <w:sz w:val="20"/>
          <w:szCs w:val="20"/>
        </w:rPr>
        <w:t>- 0-3 years rounds out the bottom three practice segments.</w:t>
      </w:r>
    </w:p>
    <w:p>
      <w:pPr>
        <w:pStyle w:val="Normal"/>
        <w:spacing w:before="0" w:after="80"/>
      </w:pPr>
      <w:r>
        <w:rPr>
          <w:i/>
          <w:sz w:val="20"/>
          <w:szCs w:val="20"/>
        </w:rPr>
        <w:t>Why this matters: This makes the case for segment-aware outreach, especially when presenting recommendations to workplace or community stakeholders.</w:t>
      </w:r>
    </w:p>
    <w:p>
      <w:pPr>
        <w:jc w:val="center"/>
        <w:spacing w:after="160"/>
      </w:pPr>
      <w:r>
        <w:drawing>
          <wp:inline xmlns:wp="http://schemas.openxmlformats.org/drawingml/2006/wordprocessingDrawing" distT="0" distB="0" distL="0" distR="0">
            <wp:extent cx="5274310" cy="2119142"/>
            <wp:docPr id="25" name="image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17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19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90"/>
      </w:pPr>
      <w:r>
        <w:rPr>
          <w:sz w:val="19"/>
          <w:szCs w:val="19"/>
        </w:rPr>
        <w:t>Work from home (Remote) is the lowest-practice segment in the dataset.</w:t>
      </w:r>
    </w:p>
    <w:p>
      <w:r>
        <w:br w:type="page"/>
      </w:r>
    </w:p>
    <w:p>
      <w:pPr>
        <w:pStyle w:val="Heading1"/>
        <w:spacing w:before="0" w:after="140"/>
      </w:pPr>
      <w:r>
        <w:rPr>
          <w:b/>
          <w:sz w:val="30"/>
          <w:szCs w:val="30"/>
        </w:rPr>
        <w:t>Method note and appendix</w:t>
      </w:r>
    </w:p>
    <w:p>
      <w:pPr>
        <w:pStyle w:val="Normal"/>
        <w:spacing w:before="0" w:after="50"/>
      </w:pPr>
      <w:r>
        <w:rPr>
          <w:sz w:val="20"/>
          <w:szCs w:val="20"/>
        </w:rPr>
        <w:t>- Knowledge, attitude, and practice scores are recomputed directly from the raw item responses in the source CSV.</w:t>
      </w:r>
    </w:p>
    <w:p>
      <w:pPr>
        <w:pStyle w:val="Normal"/>
        <w:spacing w:before="0" w:after="50"/>
      </w:pPr>
      <w:r>
        <w:rPr>
          <w:sz w:val="20"/>
          <w:szCs w:val="20"/>
        </w:rPr>
        <w:t>- Bangalore-specific locality analysis preserves named Bengaluru localities whenever a locality reaches at least three responses; smaller pockets roll into Other Bangalore localities.</w:t>
      </w:r>
    </w:p>
    <w:p>
      <w:pPr>
        <w:pStyle w:val="Normal"/>
        <w:spacing w:before="0" w:after="50"/>
      </w:pPr>
      <w:r>
        <w:rPr>
          <w:sz w:val="20"/>
          <w:szCs w:val="20"/>
        </w:rPr>
        <w:t>- Locality-level claims are only elevated when a Bangalore locality reaches at least five responses.</w:t>
      </w:r>
    </w:p>
    <w:p>
      <w:pPr>
        <w:pStyle w:val="Normal"/>
        <w:spacing w:before="0" w:after="50"/>
      </w:pPr>
      <w:r>
        <w:rPr>
          <w:sz w:val="20"/>
          <w:szCs w:val="20"/>
        </w:rPr>
        <w:t>- Subgroup comparisons use non-parametric tests, and the regression appendix is included only as a supporting validation layer.</w:t>
      </w:r>
    </w:p>
    <w:p>
      <w:pPr>
        <w:pStyle w:val="Heading2"/>
        <w:spacing w:before="0" w:after="90"/>
      </w:pPr>
      <w:r>
        <w:rPr>
          <w:b/>
          <w:sz w:val="24"/>
          <w:szCs w:val="24"/>
        </w:rPr>
        <w:t>Most notable subgroup tests</w:t>
      </w:r>
    </w:p>
    <w:p>
      <w:pPr>
        <w:pStyle w:val="Normal"/>
        <w:spacing w:before="0" w:after="40"/>
      </w:pPr>
      <w:r>
        <w:rPr>
          <w:sz w:val="19"/>
          <w:szCs w:val="19"/>
        </w:rPr>
        <w:t>Knowledge | Gender | Kruskal-Wallis | p=0.0000 | epsilon-squared=0.155</w:t>
      </w:r>
    </w:p>
    <w:p>
      <w:pPr>
        <w:pStyle w:val="Normal"/>
        <w:spacing w:before="0" w:after="40"/>
      </w:pPr>
      <w:r>
        <w:rPr>
          <w:sz w:val="19"/>
          <w:szCs w:val="19"/>
        </w:rPr>
        <w:t>Attitude | Work Mode | Kruskal-Wallis | p=0.0028 | epsilon-squared=0.039</w:t>
      </w:r>
    </w:p>
    <w:p>
      <w:pPr>
        <w:pStyle w:val="Normal"/>
        <w:spacing w:before="0" w:after="40"/>
      </w:pPr>
      <w:r>
        <w:rPr>
          <w:sz w:val="19"/>
          <w:szCs w:val="19"/>
        </w:rPr>
        <w:t>Attitude | Geo Scope | Mann-Whitney U | p=0.0100 | Cliff's delta=0.19</w:t>
      </w:r>
    </w:p>
    <w:p>
      <w:pPr>
        <w:pStyle w:val="Normal"/>
        <w:spacing w:before="0" w:after="40"/>
      </w:pPr>
      <w:r>
        <w:rPr>
          <w:sz w:val="19"/>
          <w:szCs w:val="19"/>
        </w:rPr>
        <w:t>Practice | Professional Experience | Kruskal-Wallis | p=0.0011 | epsilon-squared=0.058</w:t>
      </w:r>
    </w:p>
    <w:p>
      <w:pPr>
        <w:pStyle w:val="Heading2"/>
        <w:spacing w:before="0" w:after="90"/>
      </w:pPr>
      <w:r>
        <w:rPr>
          <w:b/>
          <w:sz w:val="24"/>
          <w:szCs w:val="24"/>
        </w:rPr>
        <w:t>Regression highlights</w:t>
      </w:r>
    </w:p>
    <w:p>
      <w:pPr>
        <w:pStyle w:val="Normal"/>
        <w:spacing w:before="0" w:after="40"/>
      </w:pPr>
      <w:r>
        <w:rPr>
          <w:sz w:val="19"/>
          <w:szCs w:val="19"/>
        </w:rPr>
        <w:t>knowledge_model | Gender: Female vs Male | coef=21.080 | p=0.0000</w:t>
      </w:r>
    </w:p>
    <w:p>
      <w:pPr>
        <w:pStyle w:val="Normal"/>
        <w:spacing w:before="0" w:after="40"/>
      </w:pPr>
      <w:r>
        <w:rPr>
          <w:sz w:val="19"/>
          <w:szCs w:val="19"/>
        </w:rPr>
        <w:t>knowledge_model | Gender: Prefer not to say vs Male | coef=38.270 | p=0.0020</w:t>
      </w:r>
    </w:p>
    <w:p>
      <w:pPr>
        <w:pStyle w:val="Normal"/>
        <w:spacing w:before="0" w:after="40"/>
      </w:pPr>
      <w:r>
        <w:rPr>
          <w:sz w:val="19"/>
          <w:szCs w:val="19"/>
        </w:rPr>
        <w:t>knowledge_model | Age Range: 50-60 years vs 20-30 years | coef=28.626 | p=0.0028</w:t>
      </w:r>
    </w:p>
    <w:p>
      <w:pPr>
        <w:pStyle w:val="Normal"/>
        <w:spacing w:before="0" w:after="40"/>
      </w:pPr>
      <w:r>
        <w:rPr>
          <w:sz w:val="19"/>
          <w:szCs w:val="19"/>
        </w:rPr>
        <w:t>knowledge_model | Gender: Other vs Male | coef=0.000 | p=0.0344</w:t>
      </w:r>
    </w:p>
    <w:p>
      <w:pPr>
        <w:pStyle w:val="Normal"/>
        <w:spacing w:before="0" w:after="40"/>
      </w:pPr>
      <w:r>
        <w:rPr>
          <w:sz w:val="19"/>
          <w:szCs w:val="19"/>
        </w:rPr>
        <w:t>knowledge_model | Age Range: 40-50 years vs 20-30 years | coef=15.216 | p=0.0391</w:t>
      </w:r>
    </w:p>
    <w:p>
      <w:pPr>
        <w:pStyle w:val="Normal"/>
        <w:spacing w:before="0" w:after="40"/>
      </w:pPr>
      <w:r>
        <w:rPr>
          <w:sz w:val="19"/>
          <w:szCs w:val="19"/>
        </w:rPr>
        <w:t>attitude_model | Knowledge Pct | coef=0.156 | p=0.0000</w:t>
      </w:r>
    </w:p>
    <w:p>
      <w:pPr>
        <w:pStyle w:val="Normal"/>
        <w:spacing w:before="0" w:after="40"/>
      </w:pPr>
      <w:r>
        <w:rPr>
          <w:sz w:val="19"/>
          <w:szCs w:val="19"/>
        </w:rPr>
        <w:t>attitude_model | Work Mode: Work from home (Remote) vs Full time | coef=7.460 | p=0.0002</w:t>
      </w:r>
    </w:p>
    <w:p>
      <w:pPr>
        <w:pStyle w:val="Normal"/>
        <w:spacing w:before="0" w:after="40"/>
      </w:pPr>
      <w:r>
        <w:rPr>
          <w:sz w:val="19"/>
          <w:szCs w:val="19"/>
        </w:rPr>
        <w:t>attitude_model | Gender: Other vs Male | coef=0.000 | p=0.0036</w:t>
      </w:r>
    </w:p>
    <w:p>
      <w:pPr>
        <w:pStyle w:val="Normal"/>
        <w:spacing w:before="0" w:after="40"/>
      </w:pPr>
      <w:r>
        <w:rPr>
          <w:sz w:val="19"/>
          <w:szCs w:val="19"/>
        </w:rPr>
        <w:t>attitude_model | Geo Scope: Outside Bangalore vs Bangalore | coef=-3.970 | p=0.0039</w:t>
      </w:r>
    </w:p>
    <w:p>
      <w:pPr>
        <w:pStyle w:val="Normal"/>
        <w:spacing w:before="0" w:after="40"/>
      </w:pPr>
      <w:r>
        <w:rPr>
          <w:sz w:val="19"/>
          <w:szCs w:val="19"/>
        </w:rPr>
        <w:t>attitude_model | Age Range: 30-40 years vs 20-30 years | coef=-7.227 | p=0.0071</w:t>
      </w:r>
    </w:p>
    <w:sectPr>
      <w:pgSz w:w="11906" w:h="16838"/>
      <w:pgMar w:top="1080" w:right="1080" w:bottom="1080" w:left="108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  <w:color w:val="12202C"/>
      </w:rPr>
    </w:rPrDefault>
  </w:docDefaults>
  <w:style w:type="paragraph" w:default="1" w:styleId="Normal">
    <w:name w:val="Normal"/>
  </w:style>
  <w:style w:type="paragraph" w:styleId="Title">
    <w:name w:val="Title"/>
    <w:rPr>
      <w:b/>
      <w:sz w:val="34"/>
      <w:szCs w:val="34"/>
    </w:rPr>
  </w:style>
  <w:style w:type="paragraph" w:styleId="Heading1">
    <w:name w:val="Heading 1"/>
    <w:basedOn w:val="Normal"/>
    <w:rPr>
      <w:b/>
      <w:sz w:val="30"/>
      <w:szCs w:val="30"/>
    </w:rPr>
  </w:style>
  <w:style w:type="paragraph" w:styleId="Heading2">
    <w:name w:val="Heading 2"/>
    <w:basedOn w:val="Normal"/>
    <w:rPr>
      <w:b/>
      <w:sz w:val="26"/>
      <w:szCs w:val="26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image" Target="media/image23.png"/><Relationship Id="rId25" Type="http://schemas.openxmlformats.org/officeDocument/2006/relationships/image" Target="media/image24.png"/><Relationship Id="rId26" Type="http://schemas.openxmlformats.org/officeDocument/2006/relationships/image" Target="media/image25.png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Assessment of knowledge, Attitude and Practice regarding Periodontal health among IT Professionals in Bangalore City- a cross sectional questionnaire survey</dc:title>
  <dc:creator>Codex</dc:creator>
  <cp:lastModifiedBy>Codex</cp:lastModifiedBy>
  <dcterms:created xsi:type="dcterms:W3CDTF">2026-03-10T05:28:53.364Z</dcterms:created>
  <dcterms:modified xsi:type="dcterms:W3CDTF">2026-03-10T05:28:53.364Z</dcterms:modified>
</cp:coreProperties>
</file>