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563EB"/>
          <w:sz w:val="72"/>
          <w:szCs w:val="72"/>
        </w:rPr>
        <w:t xml:space="preserve">AttendX</w:t>
      </w:r>
    </w:p>
    <w:p>
      <w:pPr>
        <w:spacing w:after="100" w:before="200"/>
        <w:jc w:val="center"/>
      </w:pPr>
      <w:r>
        <w:rPr>
          <w:b/>
          <w:bCs/>
          <w:color w:val="0F172A"/>
          <w:sz w:val="40"/>
          <w:szCs w:val="40"/>
        </w:rPr>
        <w:t xml:space="preserve">Technical Documentation</w:t>
      </w:r>
    </w:p>
    <w:p>
      <w:pPr>
        <w:spacing w:after="800"/>
        <w:jc w:val="center"/>
      </w:pPr>
      <w:r>
        <w:rPr>
          <w:color w:val="64748B"/>
          <w:sz w:val="24"/>
          <w:szCs w:val="24"/>
        </w:rPr>
        <w:t xml:space="preserve">Architecture, Data Model, and Implementation Notes</w:t>
      </w:r>
    </w:p>
    <w:p>
      <w:pPr>
        <w:spacing w:after="60"/>
        <w:jc w:val="center"/>
      </w:pPr>
      <w:r>
        <w:rPr>
          <w:i/>
          <w:iCs/>
          <w:color w:val="64748B"/>
          <w:sz w:val="20"/>
          <w:szCs w:val="20"/>
        </w:rPr>
        <w:t xml:space="preserve">Cache v1.3.2 · Single-file Vanilla-JS PWA</w:t>
      </w:r>
    </w:p>
    <w:p>
      <w:r>
        <w:br w:type="page"/>
      </w:r>
    </w:p>
    <w:p>
      <w:pPr>
        <w:pStyle w:val="Heading1"/>
        <w:spacing w:after="200" w:before="400"/>
      </w:pPr>
      <w:r>
        <w:rPr>
          <w:b/>
          <w:bCs/>
          <w:color w:val="2563EB"/>
          <w:sz w:val="32"/>
          <w:szCs w:val="32"/>
        </w:rPr>
        <w:t xml:space="preserve">Contents</w:t>
      </w:r>
    </w:p>
    <w:p>
      <w:pPr>
        <w:spacing w:after="160" w:line="300"/>
      </w:pPr>
      <w:r>
        <w:rPr>
          <w:color w:val="0F172A"/>
          <w:sz w:val="22"/>
          <w:szCs w:val="22"/>
        </w:rPr>
        <w:t xml:space="preserve">1. System Overview</w:t>
      </w:r>
    </w:p>
    <w:p>
      <w:pPr>
        <w:spacing w:after="160" w:line="300"/>
      </w:pPr>
      <w:r>
        <w:rPr>
          <w:color w:val="0F172A"/>
          <w:sz w:val="22"/>
          <w:szCs w:val="22"/>
        </w:rPr>
        <w:t xml:space="preserve">2. Technology Stack</w:t>
      </w:r>
    </w:p>
    <w:p>
      <w:pPr>
        <w:spacing w:after="160" w:line="300"/>
      </w:pPr>
      <w:r>
        <w:rPr>
          <w:color w:val="0F172A"/>
          <w:sz w:val="22"/>
          <w:szCs w:val="22"/>
        </w:rPr>
        <w:t xml:space="preserve">3. File / Project Structure</w:t>
      </w:r>
    </w:p>
    <w:p>
      <w:pPr>
        <w:spacing w:after="160" w:line="300"/>
      </w:pPr>
      <w:r>
        <w:rPr>
          <w:color w:val="0F172A"/>
          <w:sz w:val="22"/>
          <w:szCs w:val="22"/>
        </w:rPr>
        <w:t xml:space="preserve">4. PWA Configuration (manifest.json)</w:t>
      </w:r>
    </w:p>
    <w:p>
      <w:pPr>
        <w:spacing w:after="160" w:line="300"/>
      </w:pPr>
      <w:r>
        <w:rPr>
          <w:color w:val="0F172A"/>
          <w:sz w:val="22"/>
          <w:szCs w:val="22"/>
        </w:rPr>
        <w:t xml:space="preserve">5. Service Worker &amp; Caching Strategy</w:t>
      </w:r>
    </w:p>
    <w:p>
      <w:pPr>
        <w:spacing w:after="160" w:line="300"/>
      </w:pPr>
      <w:r>
        <w:rPr>
          <w:color w:val="0F172A"/>
          <w:sz w:val="22"/>
          <w:szCs w:val="22"/>
        </w:rPr>
        <w:t xml:space="preserve">6. Application Architecture</w:t>
      </w:r>
    </w:p>
    <w:p>
      <w:pPr>
        <w:spacing w:after="160" w:line="300"/>
      </w:pPr>
      <w:r>
        <w:rPr>
          <w:color w:val="0F172A"/>
          <w:sz w:val="22"/>
          <w:szCs w:val="22"/>
        </w:rPr>
        <w:t xml:space="preserve">7. Client-Side Data Model (State)</w:t>
      </w:r>
    </w:p>
    <w:p>
      <w:pPr>
        <w:spacing w:after="160" w:line="300"/>
      </w:pPr>
      <w:r>
        <w:rPr>
          <w:color w:val="0F172A"/>
          <w:sz w:val="22"/>
          <w:szCs w:val="22"/>
        </w:rPr>
        <w:t xml:space="preserve">8. Persistence Layer (localStorage)</w:t>
      </w:r>
    </w:p>
    <w:p>
      <w:pPr>
        <w:spacing w:after="160" w:line="300"/>
      </w:pPr>
      <w:r>
        <w:rPr>
          <w:color w:val="0F172A"/>
          <w:sz w:val="22"/>
          <w:szCs w:val="22"/>
        </w:rPr>
        <w:t xml:space="preserve">9. Backend Integration (Google Apps Script API)</w:t>
      </w:r>
    </w:p>
    <w:p>
      <w:pPr>
        <w:spacing w:after="160" w:line="300"/>
      </w:pPr>
      <w:r>
        <w:rPr>
          <w:color w:val="0F172A"/>
          <w:sz w:val="22"/>
          <w:szCs w:val="22"/>
        </w:rPr>
        <w:t xml:space="preserve">10. Authentication &amp; Session Management</w:t>
      </w:r>
    </w:p>
    <w:p>
      <w:pPr>
        <w:spacing w:after="160" w:line="300"/>
      </w:pPr>
      <w:r>
        <w:rPr>
          <w:color w:val="0F172A"/>
          <w:sz w:val="22"/>
          <w:szCs w:val="22"/>
        </w:rPr>
        <w:t xml:space="preserve">11. Role-Based Access Control</w:t>
      </w:r>
    </w:p>
    <w:p>
      <w:pPr>
        <w:spacing w:after="160" w:line="300"/>
      </w:pPr>
      <w:r>
        <w:rPr>
          <w:color w:val="0F172A"/>
          <w:sz w:val="22"/>
          <w:szCs w:val="22"/>
        </w:rPr>
        <w:t xml:space="preserve">12. Client-Side Routing / History Handling</w:t>
      </w:r>
    </w:p>
    <w:p>
      <w:pPr>
        <w:spacing w:after="160" w:line="300"/>
      </w:pPr>
      <w:r>
        <w:rPr>
          <w:color w:val="0F172A"/>
          <w:sz w:val="22"/>
          <w:szCs w:val="22"/>
        </w:rPr>
        <w:t xml:space="preserve">13. Module Reference</w:t>
      </w:r>
    </w:p>
    <w:p>
      <w:pPr>
        <w:spacing w:after="160" w:line="300"/>
      </w:pPr>
      <w:r>
        <w:rPr>
          <w:color w:val="0F172A"/>
          <w:sz w:val="22"/>
          <w:szCs w:val="22"/>
        </w:rPr>
        <w:t xml:space="preserve">14. UI &amp; Theming</w:t>
      </w:r>
    </w:p>
    <w:p>
      <w:pPr>
        <w:spacing w:after="160" w:line="300"/>
      </w:pPr>
      <w:r>
        <w:rPr>
          <w:color w:val="0F172A"/>
          <w:sz w:val="22"/>
          <w:szCs w:val="22"/>
        </w:rPr>
        <w:t xml:space="preserve">15. Business Rules &amp; Plan Limits</w:t>
      </w:r>
    </w:p>
    <w:p>
      <w:pPr>
        <w:spacing w:after="160" w:line="300"/>
      </w:pPr>
      <w:r>
        <w:rPr>
          <w:color w:val="0F172A"/>
          <w:sz w:val="22"/>
          <w:szCs w:val="22"/>
        </w:rPr>
        <w:t xml:space="preserve">16. Known Limitations &amp; Security Notes</w:t>
      </w:r>
    </w:p>
    <w:p>
      <w:pPr>
        <w:spacing w:after="160" w:line="300"/>
      </w:pPr>
      <w:r>
        <w:rPr>
          <w:color w:val="0F172A"/>
          <w:sz w:val="22"/>
          <w:szCs w:val="22"/>
        </w:rPr>
        <w:t xml:space="preserve">17. Deployment Notes</w:t>
      </w:r>
    </w:p>
    <w:p>
      <w:r>
        <w:br w:type="page"/>
      </w:r>
    </w:p>
    <w:p>
      <w:pPr>
        <w:pStyle w:val="Heading1"/>
        <w:spacing w:after="200" w:before="400"/>
      </w:pPr>
      <w:r>
        <w:rPr>
          <w:b/>
          <w:bCs/>
          <w:color w:val="2563EB"/>
          <w:sz w:val="32"/>
          <w:szCs w:val="32"/>
        </w:rPr>
        <w:t xml:space="preserve">1. System Overview</w:t>
      </w:r>
    </w:p>
    <w:p>
      <w:pPr>
        <w:spacing w:after="160" w:line="300"/>
      </w:pPr>
      <w:r>
        <w:rPr>
          <w:color w:val="0F172A"/>
          <w:sz w:val="22"/>
          <w:szCs w:val="22"/>
        </w:rPr>
        <w:t xml:space="preserve">AttendX is a single-file, installable Progressive Web App (PWA) for classroom attendance management, built for two roles — Admin and Teacher. It is “local-first”: all working data lives in the browser's localStorage and the UI is always usable offline, while a lightweight Google Apps Script (GAS) backend (backed by a Google Sheet) provides best-effort cloud sync for master data, attendance records, and notices.</w:t>
      </w:r>
    </w:p>
    <w:p>
      <w:pPr>
        <w:spacing w:after="160" w:line="300"/>
      </w:pPr>
      <w:r>
        <w:rPr>
          <w:color w:val="0F172A"/>
          <w:sz w:val="22"/>
          <w:szCs w:val="22"/>
        </w:rPr>
        <w:t xml:space="preserve">There is no build pipeline, bundler, or JS framework. index.html contains the entire application: markup, CSS, and a single inline &lt;script&gt; implementing the whole client. This keeps deployment to “upload 3 static files” but means all application logic lives in one ~150KB script block, organised into cohesive module objects (see Section 13).</w:t>
      </w:r>
    </w:p>
    <w:p>
      <w:pPr>
        <w:pStyle w:val="Heading1"/>
        <w:spacing w:after="200" w:before="400"/>
      </w:pPr>
      <w:r>
        <w:rPr>
          <w:b/>
          <w:bCs/>
          <w:color w:val="2563EB"/>
          <w:sz w:val="32"/>
          <w:szCs w:val="32"/>
        </w:rP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563EB" w:val="clear"/>
            <w:tcMar>
              <w:top w:type="dxa" w:w="90"/>
              <w:left w:type="dxa" w:w="100"/>
              <w:bottom w:type="dxa" w:w="90"/>
              <w:right w:type="dxa" w:w="100"/>
            </w:tcMar>
          </w:tcPr>
          <w:p>
            <w:r>
              <w:rPr>
                <w:b/>
                <w:bCs/>
                <w:color w:val="FFFFFF"/>
                <w:sz w:val="20"/>
                <w:szCs w:val="20"/>
              </w:rPr>
              <w:t xml:space="preserve">Layer</w:t>
            </w:r>
          </w:p>
        </w:tc>
        <w:tc>
          <w:tcPr>
            <w:tcW w:type="dxa" w:w="6900"/>
            <w:shd w:fill="2563EB" w:val="clear"/>
            <w:tcMar>
              <w:top w:type="dxa" w:w="90"/>
              <w:left w:type="dxa" w:w="100"/>
              <w:bottom w:type="dxa" w:w="90"/>
              <w:right w:type="dxa" w:w="100"/>
            </w:tcMar>
          </w:tcPr>
          <w:p>
            <w:r>
              <w:rPr>
                <w:b/>
                <w:bCs/>
                <w:color w:val="FFFFFF"/>
                <w:sz w:val="20"/>
                <w:szCs w:val="20"/>
              </w:rPr>
              <w:t xml:space="preserve">Technology</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Markup / styling</w:t>
            </w:r>
          </w:p>
        </w:tc>
        <w:tc>
          <w:tcPr>
            <w:tcW w:type="dxa" w:w="6900"/>
            <w:shd w:fill="F8FAFC" w:val="clear"/>
            <w:tcMar>
              <w:top w:type="dxa" w:w="80"/>
              <w:left w:type="dxa" w:w="100"/>
              <w:bottom w:type="dxa" w:w="80"/>
              <w:right w:type="dxa" w:w="100"/>
            </w:tcMar>
          </w:tcPr>
          <w:p>
            <w:r>
              <w:rPr>
                <w:color w:val="0F172A"/>
                <w:sz w:val="19"/>
                <w:szCs w:val="19"/>
              </w:rPr>
              <w:t xml:space="preserve">Plain HTML5 + hand-written CSS (custom properties for theming, no CSS framework)</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Application logic</w:t>
            </w:r>
          </w:p>
        </w:tc>
        <w:tc>
          <w:tcPr>
            <w:tcW w:type="dxa" w:w="6900"/>
            <w:shd w:fill="FFFFFF" w:val="clear"/>
            <w:tcMar>
              <w:top w:type="dxa" w:w="80"/>
              <w:left w:type="dxa" w:w="100"/>
              <w:bottom w:type="dxa" w:w="80"/>
              <w:right w:type="dxa" w:w="100"/>
            </w:tcMar>
          </w:tcPr>
          <w:p>
            <w:r>
              <w:rPr>
                <w:color w:val="0F172A"/>
                <w:sz w:val="19"/>
                <w:szCs w:val="19"/>
              </w:rPr>
              <w:t xml:space="preserve">Vanilla ES6 JavaScript (no React/Vue/Angular, no bundler, no TypeScript)</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Icons</w:t>
            </w:r>
          </w:p>
        </w:tc>
        <w:tc>
          <w:tcPr>
            <w:tcW w:type="dxa" w:w="6900"/>
            <w:shd w:fill="F8FAFC" w:val="clear"/>
            <w:tcMar>
              <w:top w:type="dxa" w:w="80"/>
              <w:left w:type="dxa" w:w="100"/>
              <w:bottom w:type="dxa" w:w="80"/>
              <w:right w:type="dxa" w:w="100"/>
            </w:tcMar>
          </w:tcPr>
          <w:p>
            <w:r>
              <w:rPr>
                <w:color w:val="0F172A"/>
                <w:sz w:val="19"/>
                <w:szCs w:val="19"/>
              </w:rPr>
              <w:t xml:space="preserve">Tabler Icons webfont (via jsDelivr CDN)</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Fonts</w:t>
            </w:r>
          </w:p>
        </w:tc>
        <w:tc>
          <w:tcPr>
            <w:tcW w:type="dxa" w:w="6900"/>
            <w:shd w:fill="FFFFFF" w:val="clear"/>
            <w:tcMar>
              <w:top w:type="dxa" w:w="80"/>
              <w:left w:type="dxa" w:w="100"/>
              <w:bottom w:type="dxa" w:w="80"/>
              <w:right w:type="dxa" w:w="100"/>
            </w:tcMar>
          </w:tcPr>
          <w:p>
            <w:r>
              <w:rPr>
                <w:color w:val="0F172A"/>
                <w:sz w:val="19"/>
                <w:szCs w:val="19"/>
              </w:rPr>
              <w:t xml:space="preserve">Google Fonts — Inter (UI) and JetBrains Mono (monospace elements)</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Offline support</w:t>
            </w:r>
          </w:p>
        </w:tc>
        <w:tc>
          <w:tcPr>
            <w:tcW w:type="dxa" w:w="6900"/>
            <w:shd w:fill="F8FAFC" w:val="clear"/>
            <w:tcMar>
              <w:top w:type="dxa" w:w="80"/>
              <w:left w:type="dxa" w:w="100"/>
              <w:bottom w:type="dxa" w:w="80"/>
              <w:right w:type="dxa" w:w="100"/>
            </w:tcMar>
          </w:tcPr>
          <w:p>
            <w:r>
              <w:rPr>
                <w:color w:val="0F172A"/>
                <w:sz w:val="19"/>
                <w:szCs w:val="19"/>
              </w:rPr>
              <w:t xml:space="preserve">Service Worker (Cache API) + Web App Manifest</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Local persistence</w:t>
            </w:r>
          </w:p>
        </w:tc>
        <w:tc>
          <w:tcPr>
            <w:tcW w:type="dxa" w:w="6900"/>
            <w:shd w:fill="FFFFFF" w:val="clear"/>
            <w:tcMar>
              <w:top w:type="dxa" w:w="80"/>
              <w:left w:type="dxa" w:w="100"/>
              <w:bottom w:type="dxa" w:w="80"/>
              <w:right w:type="dxa" w:w="100"/>
            </w:tcMar>
          </w:tcPr>
          <w:p>
            <w:r>
              <w:rPr>
                <w:color w:val="0F172A"/>
                <w:sz w:val="19"/>
                <w:szCs w:val="19"/>
              </w:rPr>
              <w:t xml:space="preserve">Browser localStorage (namespaced key/value store, no IndexedDB)</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Cloud backend</w:t>
            </w:r>
          </w:p>
        </w:tc>
        <w:tc>
          <w:tcPr>
            <w:tcW w:type="dxa" w:w="6900"/>
            <w:shd w:fill="F8FAFC" w:val="clear"/>
            <w:tcMar>
              <w:top w:type="dxa" w:w="80"/>
              <w:left w:type="dxa" w:w="100"/>
              <w:bottom w:type="dxa" w:w="80"/>
              <w:right w:type="dxa" w:w="100"/>
            </w:tcMar>
          </w:tcPr>
          <w:p>
            <w:r>
              <w:rPr>
                <w:color w:val="0F172A"/>
                <w:sz w:val="19"/>
                <w:szCs w:val="19"/>
              </w:rPr>
              <w:t xml:space="preserve">Google Apps Script Web App (doGet/doPost) reading/writing a Google Sheet</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Auth (optional 2nd factor)</w:t>
            </w:r>
          </w:p>
        </w:tc>
        <w:tc>
          <w:tcPr>
            <w:tcW w:type="dxa" w:w="6900"/>
            <w:shd w:fill="FFFFFF" w:val="clear"/>
            <w:tcMar>
              <w:top w:type="dxa" w:w="80"/>
              <w:left w:type="dxa" w:w="100"/>
              <w:bottom w:type="dxa" w:w="80"/>
              <w:right w:type="dxa" w:w="100"/>
            </w:tcMar>
          </w:tcPr>
          <w:p>
            <w:r>
              <w:rPr>
                <w:color w:val="0F172A"/>
                <w:sz w:val="19"/>
                <w:szCs w:val="19"/>
              </w:rPr>
              <w:t xml:space="preserve">WebAuthn (platform passkey) with a local PIN-hash fallback</w:t>
            </w:r>
          </w:p>
        </w:tc>
      </w:tr>
    </w:tbl>
    <w:p>
      <w:pPr>
        <w:pStyle w:val="Heading1"/>
        <w:spacing w:after="200" w:before="400"/>
      </w:pPr>
      <w:r>
        <w:rPr>
          <w:b/>
          <w:bCs/>
          <w:color w:val="2563EB"/>
          <w:sz w:val="32"/>
          <w:szCs w:val="32"/>
        </w:rPr>
        <w:t xml:space="preserve">3. File / Project Structure</w:t>
      </w:r>
    </w:p>
    <w:p>
      <w:pPr>
        <w:shd w:fill="0F1117" w:val="clear"/>
        <w:spacing w:after="160"/>
      </w:pPr>
      <w:r>
        <w:rPr>
          <w:rFonts w:ascii="JetBrains Mono" w:cs="JetBrains Mono" w:eastAsia="JetBrains Mono" w:hAnsi="JetBrains Mono"/>
          <w:color w:val="E2E8F0"/>
          <w:sz w:val="18"/>
          <w:szCs w:val="18"/>
        </w:rPr>
        <w:t xml:space="preserve">index.html          Entire application: &lt;head&gt; (meta/manifest/fonts),</w:t>
      </w:r>
      <w:r>
        <w:rPr>
          <w:rFonts w:ascii="JetBrains Mono" w:cs="JetBrains Mono" w:eastAsia="JetBrains Mono" w:hAnsi="JetBrains Mono"/>
          <w:color w:val="E2E8F0"/>
          <w:sz w:val="18"/>
          <w:szCs w:val="18"/>
        </w:rPr>
        <w:br/>
        <w:t xml:space="preserve">                    &lt;style&gt; (all CSS), HTML markup for every screen/</w:t>
      </w:r>
      <w:r>
        <w:rPr>
          <w:rFonts w:ascii="JetBrains Mono" w:cs="JetBrains Mono" w:eastAsia="JetBrains Mono" w:hAnsi="JetBrains Mono"/>
          <w:color w:val="E2E8F0"/>
          <w:sz w:val="18"/>
          <w:szCs w:val="18"/>
        </w:rPr>
        <w:br/>
        <w:t xml:space="preserve">                    view/modal, and a closing &lt;script&gt; with all JS.</w:t>
      </w:r>
      <w:r>
        <w:rPr>
          <w:rFonts w:ascii="JetBrains Mono" w:cs="JetBrains Mono" w:eastAsia="JetBrains Mono" w:hAnsi="JetBrains Mono"/>
          <w:color w:val="E2E8F0"/>
          <w:sz w:val="18"/>
          <w:szCs w:val="18"/>
        </w:rPr>
        <w:br/>
        <w:t xml:space="preserve">manifest.json       Web App Manifest — PWA install metadata.</w:t>
      </w:r>
      <w:r>
        <w:rPr>
          <w:rFonts w:ascii="JetBrains Mono" w:cs="JetBrains Mono" w:eastAsia="JetBrains Mono" w:hAnsi="JetBrains Mono"/>
          <w:color w:val="E2E8F0"/>
          <w:sz w:val="18"/>
          <w:szCs w:val="18"/>
        </w:rPr>
        <w:br/>
        <w:t xml:space="preserve">service-worker.js   Offline caching logic, registered from index.html.</w:t>
      </w:r>
      <w:r>
        <w:rPr>
          <w:rFonts w:ascii="JetBrains Mono" w:cs="JetBrains Mono" w:eastAsia="JetBrains Mono" w:hAnsi="JetBrains Mono"/>
          <w:color w:val="E2E8F0"/>
          <w:sz w:val="18"/>
          <w:szCs w:val="18"/>
        </w:rPr>
        <w:br/>
        <w:t xml:space="preserve">icons/              App icons referenced by manifest.json (not bundled</w:t>
      </w:r>
      <w:r>
        <w:rPr>
          <w:rFonts w:ascii="JetBrains Mono" w:cs="JetBrains Mono" w:eastAsia="JetBrains Mono" w:hAnsi="JetBrains Mono"/>
          <w:color w:val="E2E8F0"/>
          <w:sz w:val="18"/>
          <w:szCs w:val="18"/>
        </w:rPr>
        <w:br/>
        <w:t xml:space="preserve">                    with this documentation set — see Section 4).</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Because everything ships in one HTML file, there are no import/export module boundaries at the file level — internal organisation instead relies on the object-literal “modules” described in Section 13, plus banner comments in the source dividing each section.</w:t>
            </w:r>
          </w:p>
        </w:tc>
      </w:tr>
    </w:tbl>
    <w:p>
      <w:pPr>
        <w:pStyle w:val="Heading1"/>
        <w:spacing w:after="200" w:before="400"/>
      </w:pPr>
      <w:r>
        <w:rPr>
          <w:b/>
          <w:bCs/>
          <w:color w:val="2563EB"/>
          <w:sz w:val="32"/>
          <w:szCs w:val="32"/>
        </w:rPr>
        <w:t xml:space="preserve">4. PWA Configuration (manifest.json)</w:t>
      </w:r>
    </w:p>
    <w:p>
      <w:pPr>
        <w:spacing w:after="160" w:line="300"/>
      </w:pPr>
      <w:r>
        <w:rPr>
          <w:color w:val="0F172A"/>
          <w:sz w:val="22"/>
          <w:szCs w:val="22"/>
        </w:rPr>
        <w:t xml:space="preserve">Defines how AttendX behaves once installed to a home screen / app launcher: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900"/>
      </w:tblGrid>
      <w:tr>
        <w:trPr>
          <w:tblHeader/>
        </w:trPr>
        <w:tc>
          <w:tcPr>
            <w:tcW w:type="dxa" w:w="2600"/>
            <w:shd w:fill="2563EB" w:val="clear"/>
            <w:tcMar>
              <w:top w:type="dxa" w:w="90"/>
              <w:left w:type="dxa" w:w="100"/>
              <w:bottom w:type="dxa" w:w="90"/>
              <w:right w:type="dxa" w:w="100"/>
            </w:tcMar>
          </w:tcPr>
          <w:p>
            <w:r>
              <w:rPr>
                <w:b/>
                <w:bCs/>
                <w:color w:val="FFFFFF"/>
                <w:sz w:val="20"/>
                <w:szCs w:val="20"/>
              </w:rPr>
              <w:t xml:space="preserve">Field</w:t>
            </w:r>
          </w:p>
        </w:tc>
        <w:tc>
          <w:tcPr>
            <w:tcW w:type="dxa" w:w="2000"/>
            <w:shd w:fill="2563EB" w:val="clear"/>
            <w:tcMar>
              <w:top w:type="dxa" w:w="90"/>
              <w:left w:type="dxa" w:w="100"/>
              <w:bottom w:type="dxa" w:w="90"/>
              <w:right w:type="dxa" w:w="100"/>
            </w:tcMar>
          </w:tcPr>
          <w:p>
            <w:r>
              <w:rPr>
                <w:b/>
                <w:bCs/>
                <w:color w:val="FFFFFF"/>
                <w:sz w:val="20"/>
                <w:szCs w:val="20"/>
              </w:rPr>
              <w:t xml:space="preserve">Value</w:t>
            </w:r>
          </w:p>
        </w:tc>
        <w:tc>
          <w:tcPr>
            <w:tcW w:type="dxa" w:w="4900"/>
            <w:shd w:fill="2563EB" w:val="clear"/>
            <w:tcMar>
              <w:top w:type="dxa" w:w="90"/>
              <w:left w:type="dxa" w:w="100"/>
              <w:bottom w:type="dxa" w:w="90"/>
              <w:right w:type="dxa" w:w="100"/>
            </w:tcMar>
          </w:tcPr>
          <w:p>
            <w:r>
              <w:rPr>
                <w:b/>
                <w:bCs/>
                <w:color w:val="FFFFFF"/>
                <w:sz w:val="20"/>
                <w:szCs w:val="20"/>
              </w:rPr>
              <w:t xml:space="preserve">Effect</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name / short_name</w:t>
            </w:r>
          </w:p>
        </w:tc>
        <w:tc>
          <w:tcPr>
            <w:tcW w:type="dxa" w:w="2000"/>
            <w:shd w:fill="F8FAFC" w:val="clear"/>
            <w:tcMar>
              <w:top w:type="dxa" w:w="80"/>
              <w:left w:type="dxa" w:w="100"/>
              <w:bottom w:type="dxa" w:w="80"/>
              <w:right w:type="dxa" w:w="100"/>
            </w:tcMar>
          </w:tcPr>
          <w:p>
            <w:r>
              <w:rPr>
                <w:color w:val="0F172A"/>
                <w:sz w:val="19"/>
                <w:szCs w:val="19"/>
              </w:rPr>
              <w:t xml:space="preserve">AttendX</w:t>
            </w:r>
          </w:p>
        </w:tc>
        <w:tc>
          <w:tcPr>
            <w:tcW w:type="dxa" w:w="4900"/>
            <w:shd w:fill="F8FAFC" w:val="clear"/>
            <w:tcMar>
              <w:top w:type="dxa" w:w="80"/>
              <w:left w:type="dxa" w:w="100"/>
              <w:bottom w:type="dxa" w:w="80"/>
              <w:right w:type="dxa" w:w="100"/>
            </w:tcMar>
          </w:tcPr>
          <w:p>
            <w:r>
              <w:rPr>
                <w:color w:val="0F172A"/>
                <w:sz w:val="19"/>
                <w:szCs w:val="19"/>
              </w:rPr>
              <w:t xml:space="preserve">Full and short app names shown by the OS.</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start_url</w:t>
            </w:r>
          </w:p>
        </w:tc>
        <w:tc>
          <w:tcPr>
            <w:tcW w:type="dxa" w:w="2000"/>
            <w:shd w:fill="FFFFFF" w:val="clear"/>
            <w:tcMar>
              <w:top w:type="dxa" w:w="80"/>
              <w:left w:type="dxa" w:w="100"/>
              <w:bottom w:type="dxa" w:w="80"/>
              <w:right w:type="dxa" w:w="100"/>
            </w:tcMar>
          </w:tcPr>
          <w:p>
            <w:r>
              <w:rPr>
                <w:color w:val="0F172A"/>
                <w:sz w:val="19"/>
                <w:szCs w:val="19"/>
              </w:rPr>
              <w:t xml:space="preserve">/index.html</w:t>
            </w:r>
          </w:p>
        </w:tc>
        <w:tc>
          <w:tcPr>
            <w:tcW w:type="dxa" w:w="4900"/>
            <w:shd w:fill="FFFFFF" w:val="clear"/>
            <w:tcMar>
              <w:top w:type="dxa" w:w="80"/>
              <w:left w:type="dxa" w:w="100"/>
              <w:bottom w:type="dxa" w:w="80"/>
              <w:right w:type="dxa" w:w="100"/>
            </w:tcMar>
          </w:tcPr>
          <w:p>
            <w:r>
              <w:rPr>
                <w:color w:val="0F172A"/>
                <w:sz w:val="19"/>
                <w:szCs w:val="19"/>
              </w:rPr>
              <w:t xml:space="preserve">Page opened when the installed app icon is launched.</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scope</w:t>
            </w:r>
          </w:p>
        </w:tc>
        <w:tc>
          <w:tcPr>
            <w:tcW w:type="dxa" w:w="2000"/>
            <w:shd w:fill="F8FAFC" w:val="clear"/>
            <w:tcMar>
              <w:top w:type="dxa" w:w="80"/>
              <w:left w:type="dxa" w:w="100"/>
              <w:bottom w:type="dxa" w:w="80"/>
              <w:right w:type="dxa" w:w="100"/>
            </w:tcMar>
          </w:tcPr>
          <w:p>
            <w:r>
              <w:rPr>
                <w:color w:val="0F172A"/>
                <w:sz w:val="19"/>
                <w:szCs w:val="19"/>
              </w:rPr>
              <w:t xml:space="preserve">/</w:t>
            </w:r>
          </w:p>
        </w:tc>
        <w:tc>
          <w:tcPr>
            <w:tcW w:type="dxa" w:w="4900"/>
            <w:shd w:fill="F8FAFC" w:val="clear"/>
            <w:tcMar>
              <w:top w:type="dxa" w:w="80"/>
              <w:left w:type="dxa" w:w="100"/>
              <w:bottom w:type="dxa" w:w="80"/>
              <w:right w:type="dxa" w:w="100"/>
            </w:tcMar>
          </w:tcPr>
          <w:p>
            <w:r>
              <w:rPr>
                <w:color w:val="0F172A"/>
                <w:sz w:val="19"/>
                <w:szCs w:val="19"/>
              </w:rPr>
              <w:t xml:space="preserve">URLs the installed app is allowed to navigate within.</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display</w:t>
            </w:r>
          </w:p>
        </w:tc>
        <w:tc>
          <w:tcPr>
            <w:tcW w:type="dxa" w:w="2000"/>
            <w:shd w:fill="FFFFFF" w:val="clear"/>
            <w:tcMar>
              <w:top w:type="dxa" w:w="80"/>
              <w:left w:type="dxa" w:w="100"/>
              <w:bottom w:type="dxa" w:w="80"/>
              <w:right w:type="dxa" w:w="100"/>
            </w:tcMar>
          </w:tcPr>
          <w:p>
            <w:r>
              <w:rPr>
                <w:color w:val="0F172A"/>
                <w:sz w:val="19"/>
                <w:szCs w:val="19"/>
              </w:rPr>
              <w:t xml:space="preserve">standalone</w:t>
            </w:r>
          </w:p>
        </w:tc>
        <w:tc>
          <w:tcPr>
            <w:tcW w:type="dxa" w:w="4900"/>
            <w:shd w:fill="FFFFFF" w:val="clear"/>
            <w:tcMar>
              <w:top w:type="dxa" w:w="80"/>
              <w:left w:type="dxa" w:w="100"/>
              <w:bottom w:type="dxa" w:w="80"/>
              <w:right w:type="dxa" w:w="100"/>
            </w:tcMar>
          </w:tcPr>
          <w:p>
            <w:r>
              <w:rPr>
                <w:color w:val="0F172A"/>
                <w:sz w:val="19"/>
                <w:szCs w:val="19"/>
              </w:rPr>
              <w:t xml:space="preserve">Runs in its own window — no browser address bar/tabs.</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orientation</w:t>
            </w:r>
          </w:p>
        </w:tc>
        <w:tc>
          <w:tcPr>
            <w:tcW w:type="dxa" w:w="2000"/>
            <w:shd w:fill="F8FAFC" w:val="clear"/>
            <w:tcMar>
              <w:top w:type="dxa" w:w="80"/>
              <w:left w:type="dxa" w:w="100"/>
              <w:bottom w:type="dxa" w:w="80"/>
              <w:right w:type="dxa" w:w="100"/>
            </w:tcMar>
          </w:tcPr>
          <w:p>
            <w:r>
              <w:rPr>
                <w:color w:val="0F172A"/>
                <w:sz w:val="19"/>
                <w:szCs w:val="19"/>
              </w:rPr>
              <w:t xml:space="preserve">portrait-primary</w:t>
            </w:r>
          </w:p>
        </w:tc>
        <w:tc>
          <w:tcPr>
            <w:tcW w:type="dxa" w:w="4900"/>
            <w:shd w:fill="F8FAFC" w:val="clear"/>
            <w:tcMar>
              <w:top w:type="dxa" w:w="80"/>
              <w:left w:type="dxa" w:w="100"/>
              <w:bottom w:type="dxa" w:w="80"/>
              <w:right w:type="dxa" w:w="100"/>
            </w:tcMar>
          </w:tcPr>
          <w:p>
            <w:r>
              <w:rPr>
                <w:color w:val="0F172A"/>
                <w:sz w:val="19"/>
                <w:szCs w:val="19"/>
              </w:rPr>
              <w:t xml:space="preserve">Locks the app to portrait orientation on mobile.</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background_color / theme_color</w:t>
            </w:r>
          </w:p>
        </w:tc>
        <w:tc>
          <w:tcPr>
            <w:tcW w:type="dxa" w:w="2000"/>
            <w:shd w:fill="FFFFFF" w:val="clear"/>
            <w:tcMar>
              <w:top w:type="dxa" w:w="80"/>
              <w:left w:type="dxa" w:w="100"/>
              <w:bottom w:type="dxa" w:w="80"/>
              <w:right w:type="dxa" w:w="100"/>
            </w:tcMar>
          </w:tcPr>
          <w:p>
            <w:r>
              <w:rPr>
                <w:color w:val="0F172A"/>
                <w:sz w:val="19"/>
                <w:szCs w:val="19"/>
              </w:rPr>
              <w:t xml:space="preserve">#0f1117</w:t>
            </w:r>
          </w:p>
        </w:tc>
        <w:tc>
          <w:tcPr>
            <w:tcW w:type="dxa" w:w="4900"/>
            <w:shd w:fill="FFFFFF" w:val="clear"/>
            <w:tcMar>
              <w:top w:type="dxa" w:w="80"/>
              <w:left w:type="dxa" w:w="100"/>
              <w:bottom w:type="dxa" w:w="80"/>
              <w:right w:type="dxa" w:w="100"/>
            </w:tcMar>
          </w:tcPr>
          <w:p>
            <w:r>
              <w:rPr>
                <w:color w:val="0F172A"/>
                <w:sz w:val="19"/>
                <w:szCs w:val="19"/>
              </w:rPr>
              <w:t xml:space="preserve">Splash-screen background and OS chrome tint (matches the app's dark theme).</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icons</w:t>
            </w:r>
          </w:p>
        </w:tc>
        <w:tc>
          <w:tcPr>
            <w:tcW w:type="dxa" w:w="2000"/>
            <w:shd w:fill="F8FAFC" w:val="clear"/>
            <w:tcMar>
              <w:top w:type="dxa" w:w="80"/>
              <w:left w:type="dxa" w:w="100"/>
              <w:bottom w:type="dxa" w:w="80"/>
              <w:right w:type="dxa" w:w="100"/>
            </w:tcMar>
          </w:tcPr>
          <w:p>
            <w:r>
              <w:rPr>
                <w:color w:val="0F172A"/>
                <w:sz w:val="19"/>
                <w:szCs w:val="19"/>
              </w:rPr>
              <w:t xml:space="preserve">3 entries (192/512/maskable)</w:t>
            </w:r>
          </w:p>
        </w:tc>
        <w:tc>
          <w:tcPr>
            <w:tcW w:type="dxa" w:w="4900"/>
            <w:shd w:fill="F8FAFC" w:val="clear"/>
            <w:tcMar>
              <w:top w:type="dxa" w:w="80"/>
              <w:left w:type="dxa" w:w="100"/>
              <w:bottom w:type="dxa" w:w="80"/>
              <w:right w:type="dxa" w:w="100"/>
            </w:tcMar>
          </w:tcPr>
          <w:p>
            <w:r>
              <w:rPr>
                <w:color w:val="0F172A"/>
                <w:sz w:val="19"/>
                <w:szCs w:val="19"/>
              </w:rPr>
              <w:t xml:space="preserve">App icons for launcher, splash screen, and adaptive-icon (Android maskable) contexts.</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index.html also sets a separate &lt;meta name="theme-color" content="#f8fafc"&gt; (a light value) which governs the browser UI colour on first paint before the manifest's dark theme_color takes over on some platforms — this mismatch is intentional/cosmetic, not a bug, but is worth aligning if the default theme changes.</w:t>
            </w:r>
          </w:p>
        </w:tc>
      </w:tr>
    </w:tbl>
    <w:p>
      <w:pPr>
        <w:pStyle w:val="Heading1"/>
        <w:spacing w:after="200" w:before="400"/>
      </w:pPr>
      <w:r>
        <w:rPr>
          <w:b/>
          <w:bCs/>
          <w:color w:val="2563EB"/>
          <w:sz w:val="32"/>
          <w:szCs w:val="32"/>
        </w:rPr>
        <w:t xml:space="preserve">5. Service Worker &amp; Caching Strategy</w:t>
      </w:r>
    </w:p>
    <w:p>
      <w:pPr>
        <w:spacing w:after="160" w:line="300"/>
      </w:pPr>
      <w:r>
        <w:rPr>
          <w:color w:val="0F172A"/>
          <w:sz w:val="22"/>
          <w:szCs w:val="22"/>
        </w:rPr>
        <w:t xml:space="preserve">service-worker.js implements three different caching strategies depending on the type of request, registered from index.html on window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700"/>
      </w:tblGrid>
      <w:tr>
        <w:trPr>
          <w:tblHeader/>
        </w:trPr>
        <w:tc>
          <w:tcPr>
            <w:tcW w:type="dxa" w:w="2900"/>
            <w:shd w:fill="2563EB" w:val="clear"/>
            <w:tcMar>
              <w:top w:type="dxa" w:w="90"/>
              <w:left w:type="dxa" w:w="100"/>
              <w:bottom w:type="dxa" w:w="90"/>
              <w:right w:type="dxa" w:w="100"/>
            </w:tcMar>
          </w:tcPr>
          <w:p>
            <w:r>
              <w:rPr>
                <w:b/>
                <w:bCs/>
                <w:color w:val="FFFFFF"/>
                <w:sz w:val="20"/>
                <w:szCs w:val="20"/>
              </w:rPr>
              <w:t xml:space="preserve">Request type</w:t>
            </w:r>
          </w:p>
        </w:tc>
        <w:tc>
          <w:tcPr>
            <w:tcW w:type="dxa" w:w="2900"/>
            <w:shd w:fill="2563EB" w:val="clear"/>
            <w:tcMar>
              <w:top w:type="dxa" w:w="90"/>
              <w:left w:type="dxa" w:w="100"/>
              <w:bottom w:type="dxa" w:w="90"/>
              <w:right w:type="dxa" w:w="100"/>
            </w:tcMar>
          </w:tcPr>
          <w:p>
            <w:r>
              <w:rPr>
                <w:b/>
                <w:bCs/>
                <w:color w:val="FFFFFF"/>
                <w:sz w:val="20"/>
                <w:szCs w:val="20"/>
              </w:rPr>
              <w:t xml:space="preserve">Strategy</w:t>
            </w:r>
          </w:p>
        </w:tc>
        <w:tc>
          <w:tcPr>
            <w:tcW w:type="dxa" w:w="3700"/>
            <w:shd w:fill="2563EB" w:val="clear"/>
            <w:tcMar>
              <w:top w:type="dxa" w:w="90"/>
              <w:left w:type="dxa" w:w="100"/>
              <w:bottom w:type="dxa" w:w="90"/>
              <w:right w:type="dxa" w:w="100"/>
            </w:tcMar>
          </w:tcPr>
          <w:p>
            <w:r>
              <w:rPr>
                <w:b/>
                <w:bCs/>
                <w:color w:val="FFFFFF"/>
                <w:sz w:val="20"/>
                <w:szCs w:val="20"/>
              </w:rPr>
              <w:t xml:space="preserve">Rationale</w:t>
            </w:r>
          </w:p>
        </w:tc>
      </w:tr>
      <w:tr>
        <w:tc>
          <w:tcPr>
            <w:tcW w:type="dxa" w:w="2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Navigations (loading index.html)</w:t>
            </w:r>
          </w:p>
        </w:tc>
        <w:tc>
          <w:tcPr>
            <w:tcW w:type="dxa" w:w="2900"/>
            <w:shd w:fill="F8FAFC" w:val="clear"/>
            <w:tcMar>
              <w:top w:type="dxa" w:w="80"/>
              <w:left w:type="dxa" w:w="100"/>
              <w:bottom w:type="dxa" w:w="80"/>
              <w:right w:type="dxa" w:w="100"/>
            </w:tcMar>
          </w:tcPr>
          <w:p>
            <w:r>
              <w:rPr>
                <w:color w:val="0F172A"/>
                <w:sz w:val="19"/>
                <w:szCs w:val="19"/>
              </w:rPr>
              <w:t xml:space="preserve">Network-first, fallback to cache</w:t>
            </w:r>
          </w:p>
        </w:tc>
        <w:tc>
          <w:tcPr>
            <w:tcW w:type="dxa" w:w="3700"/>
            <w:shd w:fill="F8FAFC" w:val="clear"/>
            <w:tcMar>
              <w:top w:type="dxa" w:w="80"/>
              <w:left w:type="dxa" w:w="100"/>
              <w:bottom w:type="dxa" w:w="80"/>
              <w:right w:type="dxa" w:w="100"/>
            </w:tcMar>
          </w:tcPr>
          <w:p>
            <w:r>
              <w:rPr>
                <w:color w:val="0F172A"/>
                <w:sz w:val="19"/>
                <w:szCs w:val="19"/>
              </w:rPr>
              <w:t xml:space="preserve">Always serve the freshest shell when online; still load something when offline.</w:t>
            </w:r>
          </w:p>
        </w:tc>
      </w:tr>
      <w:tr>
        <w:tc>
          <w:tcPr>
            <w:tcW w:type="dxa" w:w="2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Known CDN origins (Google Fonts, jsDelivr)</w:t>
            </w:r>
          </w:p>
        </w:tc>
        <w:tc>
          <w:tcPr>
            <w:tcW w:type="dxa" w:w="2900"/>
            <w:shd w:fill="FFFFFF" w:val="clear"/>
            <w:tcMar>
              <w:top w:type="dxa" w:w="80"/>
              <w:left w:type="dxa" w:w="100"/>
              <w:bottom w:type="dxa" w:w="80"/>
              <w:right w:type="dxa" w:w="100"/>
            </w:tcMar>
          </w:tcPr>
          <w:p>
            <w:r>
              <w:rPr>
                <w:color w:val="0F172A"/>
                <w:sz w:val="19"/>
                <w:szCs w:val="19"/>
              </w:rPr>
              <w:t xml:space="preserve">Cache-first, fallback to network</w:t>
            </w:r>
          </w:p>
        </w:tc>
        <w:tc>
          <w:tcPr>
            <w:tcW w:type="dxa" w:w="3700"/>
            <w:shd w:fill="FFFFFF" w:val="clear"/>
            <w:tcMar>
              <w:top w:type="dxa" w:w="80"/>
              <w:left w:type="dxa" w:w="100"/>
              <w:bottom w:type="dxa" w:w="80"/>
              <w:right w:type="dxa" w:w="100"/>
            </w:tcMar>
          </w:tcPr>
          <w:p>
            <w:r>
              <w:rPr>
                <w:color w:val="0F172A"/>
                <w:sz w:val="19"/>
                <w:szCs w:val="19"/>
              </w:rPr>
              <w:t xml:space="preserve">These assets are effectively static/versioned — skip the network once cached.</w:t>
            </w:r>
          </w:p>
        </w:tc>
      </w:tr>
      <w:tr>
        <w:tc>
          <w:tcPr>
            <w:tcW w:type="dxa" w:w="2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Everything else</w:t>
            </w:r>
          </w:p>
        </w:tc>
        <w:tc>
          <w:tcPr>
            <w:tcW w:type="dxa" w:w="2900"/>
            <w:shd w:fill="F8FAFC" w:val="clear"/>
            <w:tcMar>
              <w:top w:type="dxa" w:w="80"/>
              <w:left w:type="dxa" w:w="100"/>
              <w:bottom w:type="dxa" w:w="80"/>
              <w:right w:type="dxa" w:w="100"/>
            </w:tcMar>
          </w:tcPr>
          <w:p>
            <w:r>
              <w:rPr>
                <w:color w:val="0F172A"/>
                <w:sz w:val="19"/>
                <w:szCs w:val="19"/>
              </w:rPr>
              <w:t xml:space="preserve">Stale-while-revalidate</w:t>
            </w:r>
          </w:p>
        </w:tc>
        <w:tc>
          <w:tcPr>
            <w:tcW w:type="dxa" w:w="3700"/>
            <w:shd w:fill="F8FAFC" w:val="clear"/>
            <w:tcMar>
              <w:top w:type="dxa" w:w="80"/>
              <w:left w:type="dxa" w:w="100"/>
              <w:bottom w:type="dxa" w:w="80"/>
              <w:right w:type="dxa" w:w="100"/>
            </w:tcMar>
          </w:tcPr>
          <w:p>
            <w:r>
              <w:rPr>
                <w:color w:val="0F172A"/>
                <w:sz w:val="19"/>
                <w:szCs w:val="19"/>
              </w:rPr>
              <w:t xml:space="preserve">Instant response from cache (if any) while quietly refreshing it in the background.</w:t>
            </w:r>
          </w:p>
        </w:tc>
      </w:tr>
    </w:tbl>
    <w:p>
      <w:pPr>
        <w:spacing w:after="120"/>
      </w:pPr>
    </w:p>
    <w:p>
      <w:pPr>
        <w:pStyle w:val="Heading3"/>
        <w:spacing w:after="100" w:before="200"/>
      </w:pPr>
      <w:r>
        <w:rPr>
          <w:b/>
          <w:bCs/>
          <w:color w:val="2563EB"/>
          <w:sz w:val="22"/>
          <w:szCs w:val="22"/>
        </w:rPr>
        <w:t xml:space="preserve">Lifecycle</w:t>
      </w:r>
    </w:p>
    <w:p>
      <w:pPr>
        <w:pStyle w:val="ListParagraph"/>
        <w:numPr>
          <w:ilvl w:val="0"/>
          <w:numId w:val="2"/>
        </w:numPr>
        <w:spacing w:after="90" w:line="290"/>
      </w:pPr>
      <w:r>
        <w:rPr>
          <w:color w:val="0F172A"/>
          <w:sz w:val="22"/>
          <w:szCs w:val="22"/>
        </w:rPr>
        <w:t xml:space="preserve">install — precaches '/', '/index.html', '/manifest.json' and calls self.skipWaiting() so a newly deployed worker activates immediately rather than waiting for all tabs to close.</w:t>
      </w:r>
    </w:p>
    <w:p>
      <w:pPr>
        <w:pStyle w:val="ListParagraph"/>
        <w:numPr>
          <w:ilvl w:val="0"/>
          <w:numId w:val="2"/>
        </w:numPr>
        <w:spacing w:after="90" w:line="290"/>
      </w:pPr>
      <w:r>
        <w:rPr>
          <w:color w:val="0F172A"/>
          <w:sz w:val="22"/>
          <w:szCs w:val="22"/>
        </w:rPr>
        <w:t xml:space="preserve">activate — deletes any cache whose name isn't the current CACHE_NAME (attendx-pwa-v1.3.2), then calls clients.claim() to take control of already-open tabs.</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Operational note: </w:t>
            </w:r>
            <w:r>
              <w:rPr>
                <w:color w:val="0F172A"/>
                <w:sz w:val="21"/>
                <w:szCs w:val="21"/>
              </w:rPr>
              <w:t xml:space="preserve">Cache-busting is manual: CACHE_NAME must be bumped in service-worker.js on every deploy that changes a cached asset, or returning users may keep seeing stale files until the old cache is evicted by a version bump.</w:t>
            </w:r>
          </w:p>
        </w:tc>
      </w:tr>
    </w:tbl>
    <w:p>
      <w:pPr>
        <w:pStyle w:val="Heading1"/>
        <w:spacing w:after="200" w:before="400"/>
      </w:pPr>
      <w:r>
        <w:rPr>
          <w:b/>
          <w:bCs/>
          <w:color w:val="2563EB"/>
          <w:sz w:val="32"/>
          <w:szCs w:val="32"/>
        </w:rPr>
        <w:t xml:space="preserve">6. Application Architecture</w:t>
      </w:r>
    </w:p>
    <w:p>
      <w:pPr>
        <w:pStyle w:val="Heading3"/>
        <w:spacing w:after="100" w:before="200"/>
      </w:pPr>
      <w:r>
        <w:rPr>
          <w:b/>
          <w:bCs/>
          <w:color w:val="2563EB"/>
          <w:sz w:val="22"/>
          <w:szCs w:val="22"/>
        </w:rPr>
        <w:t xml:space="preserve">UI composition</w:t>
      </w:r>
    </w:p>
    <w:p>
      <w:pPr>
        <w:spacing w:after="160" w:line="300"/>
      </w:pPr>
      <w:r>
        <w:rPr>
          <w:color w:val="0F172A"/>
          <w:sz w:val="22"/>
          <w:szCs w:val="22"/>
        </w:rPr>
        <w:t xml:space="preserve">The DOM is divided into “screens” (login, setup wizard, home) and “views” (register, students, records, analytics, alerts, manage, notices), each a plain &lt;div&gt; toggled active/inactive via CSS classes. There is no virtual DOM diffing — modules re-render by rebuilding .innerHTML wholesale for their container element on every state change that affects them.</w:t>
      </w:r>
    </w:p>
    <w:p>
      <w:pPr>
        <w:pStyle w:val="Heading3"/>
        <w:spacing w:after="100" w:before="200"/>
      </w:pPr>
      <w:r>
        <w:rPr>
          <w:b/>
          <w:bCs/>
          <w:color w:val="2563EB"/>
          <w:sz w:val="22"/>
          <w:szCs w:val="22"/>
        </w:rPr>
        <w:t xml:space="preserve">Module pattern</w:t>
      </w:r>
    </w:p>
    <w:p>
      <w:pPr>
        <w:spacing w:after="160" w:line="300"/>
      </w:pPr>
      <w:r>
        <w:rPr>
          <w:color w:val="0F172A"/>
          <w:sz w:val="22"/>
          <w:szCs w:val="22"/>
        </w:rPr>
        <w:t xml:space="preserve">Each feature area is a single global object literal (e.g. Auth, App, Register, Students, Classes, Records, Analytics, ExportEngine, Notices, Alerts, ManageView, ProfileModal, BackupEngine, SubjectMaster, TeacherAnalytics, InstallPrompt). Modules own their DOM ids, expose methods invoked directly from inline onclick="Module.method()" HTML attribute handlers, and read/write the shared State object.</w:t>
      </w:r>
    </w:p>
    <w:p>
      <w:pPr>
        <w:pStyle w:val="Heading3"/>
        <w:spacing w:after="100" w:before="200"/>
      </w:pPr>
      <w:r>
        <w:rPr>
          <w:b/>
          <w:bCs/>
          <w:color w:val="2563EB"/>
          <w:sz w:val="22"/>
          <w:szCs w:val="22"/>
        </w:rPr>
        <w:t xml:space="preserve">Render flow (typical)</w:t>
      </w:r>
    </w:p>
    <w:p>
      <w:pPr>
        <w:pStyle w:val="ListParagraph"/>
        <w:numPr>
          <w:ilvl w:val="0"/>
          <w:numId w:val="3"/>
        </w:numPr>
        <w:spacing w:after="90" w:line="290"/>
      </w:pPr>
      <w:r>
        <w:rPr>
          <w:color w:val="0F172A"/>
          <w:sz w:val="22"/>
          <w:szCs w:val="22"/>
        </w:rPr>
        <w:t xml:space="preserve">A UI event (button tap) calls a Module method, e.g. Register.mark(studentId, 'present').</w:t>
      </w:r>
    </w:p>
    <w:p>
      <w:pPr>
        <w:pStyle w:val="ListParagraph"/>
        <w:numPr>
          <w:ilvl w:val="0"/>
          <w:numId w:val="3"/>
        </w:numPr>
        <w:spacing w:after="90" w:line="290"/>
      </w:pPr>
      <w:r>
        <w:rPr>
          <w:color w:val="0F172A"/>
          <w:sz w:val="22"/>
          <w:szCs w:val="22"/>
        </w:rPr>
        <w:t xml:space="preserve">The method mutates State in place (in-memory only at this point).</w:t>
      </w:r>
    </w:p>
    <w:p>
      <w:pPr>
        <w:pStyle w:val="ListParagraph"/>
        <w:numPr>
          <w:ilvl w:val="0"/>
          <w:numId w:val="3"/>
        </w:numPr>
        <w:spacing w:after="90" w:line="290"/>
      </w:pPr>
      <w:r>
        <w:rPr>
          <w:color w:val="0F172A"/>
          <w:sz w:val="22"/>
          <w:szCs w:val="22"/>
        </w:rPr>
        <w:t xml:space="preserve">The method calls the module's own render() to rebuild the relevant DOM subtree.</w:t>
      </w:r>
    </w:p>
    <w:p>
      <w:pPr>
        <w:pStyle w:val="ListParagraph"/>
        <w:numPr>
          <w:ilvl w:val="0"/>
          <w:numId w:val="3"/>
        </w:numPr>
        <w:spacing w:after="90" w:line="290"/>
      </w:pPr>
      <w:r>
        <w:rPr>
          <w:color w:val="0F172A"/>
          <w:sz w:val="22"/>
          <w:szCs w:val="22"/>
        </w:rPr>
        <w:t xml:space="preserve">On a “commit” action (e.g. Register.submit()), the method also calls saveAll()/DB.set(...) to persist to localStorage, and — where relevant — fires an API.post(...) call to mirror the change to the cloud backend.</w:t>
      </w:r>
    </w:p>
    <w:p>
      <w:pPr>
        <w:pStyle w:val="Heading1"/>
        <w:spacing w:after="200" w:before="400"/>
      </w:pPr>
      <w:r>
        <w:rPr>
          <w:b/>
          <w:bCs/>
          <w:color w:val="2563EB"/>
          <w:sz w:val="32"/>
          <w:szCs w:val="32"/>
        </w:rPr>
        <w:t xml:space="preserve">7. Client-Side Data Model (State)</w:t>
      </w:r>
    </w:p>
    <w:p>
      <w:pPr>
        <w:spacing w:after="160" w:line="300"/>
      </w:pPr>
      <w:r>
        <w:rPr>
          <w:color w:val="0F172A"/>
          <w:sz w:val="22"/>
          <w:szCs w:val="22"/>
        </w:rPr>
        <w:t xml:space="preserve">State is a single global object holding the entire working session. Key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000"/>
      </w:tblGrid>
      <w:tr>
        <w:trPr>
          <w:tblHeader/>
        </w:trPr>
        <w:tc>
          <w:tcPr>
            <w:tcW w:type="dxa" w:w="2100"/>
            <w:shd w:fill="2563EB" w:val="clear"/>
            <w:tcMar>
              <w:top w:type="dxa" w:w="90"/>
              <w:left w:type="dxa" w:w="100"/>
              <w:bottom w:type="dxa" w:w="90"/>
              <w:right w:type="dxa" w:w="100"/>
            </w:tcMar>
          </w:tcPr>
          <w:p>
            <w:r>
              <w:rPr>
                <w:b/>
                <w:bCs/>
                <w:color w:val="FFFFFF"/>
                <w:sz w:val="20"/>
                <w:szCs w:val="20"/>
              </w:rPr>
              <w:t xml:space="preserve">Field</w:t>
            </w:r>
          </w:p>
        </w:tc>
        <w:tc>
          <w:tcPr>
            <w:tcW w:type="dxa" w:w="3400"/>
            <w:shd w:fill="2563EB" w:val="clear"/>
            <w:tcMar>
              <w:top w:type="dxa" w:w="90"/>
              <w:left w:type="dxa" w:w="100"/>
              <w:bottom w:type="dxa" w:w="90"/>
              <w:right w:type="dxa" w:w="100"/>
            </w:tcMar>
          </w:tcPr>
          <w:p>
            <w:r>
              <w:rPr>
                <w:b/>
                <w:bCs/>
                <w:color w:val="FFFFFF"/>
                <w:sz w:val="20"/>
                <w:szCs w:val="20"/>
              </w:rPr>
              <w:t xml:space="preserve">Shape</w:t>
            </w:r>
          </w:p>
        </w:tc>
        <w:tc>
          <w:tcPr>
            <w:tcW w:type="dxa" w:w="4000"/>
            <w:shd w:fill="2563EB" w:val="clear"/>
            <w:tcMar>
              <w:top w:type="dxa" w:w="90"/>
              <w:left w:type="dxa" w:w="100"/>
              <w:bottom w:type="dxa" w:w="90"/>
              <w:right w:type="dxa" w:w="100"/>
            </w:tcMar>
          </w:tcPr>
          <w:p>
            <w:r>
              <w:rPr>
                <w:b/>
                <w:bCs/>
                <w:color w:val="FFFFFF"/>
                <w:sz w:val="20"/>
                <w:szCs w:val="20"/>
              </w:rPr>
              <w:t xml:space="preserve">Description</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users[]</w:t>
            </w:r>
          </w:p>
        </w:tc>
        <w:tc>
          <w:tcPr>
            <w:tcW w:type="dxa" w:w="3400"/>
            <w:shd w:fill="F8FAFC" w:val="clear"/>
            <w:tcMar>
              <w:top w:type="dxa" w:w="80"/>
              <w:left w:type="dxa" w:w="100"/>
              <w:bottom w:type="dxa" w:w="80"/>
              <w:right w:type="dxa" w:w="100"/>
            </w:tcMar>
          </w:tcPr>
          <w:p>
            <w:r>
              <w:rPr>
                <w:color w:val="0F172A"/>
                <w:sz w:val="19"/>
                <w:szCs w:val="19"/>
              </w:rPr>
              <w:t xml:space="preserve">{id, username, password, role, biometric, credentialId, bioType, theme, ...profile}</w:t>
            </w:r>
          </w:p>
        </w:tc>
        <w:tc>
          <w:tcPr>
            <w:tcW w:type="dxa" w:w="4000"/>
            <w:shd w:fill="F8FAFC" w:val="clear"/>
            <w:tcMar>
              <w:top w:type="dxa" w:w="80"/>
              <w:left w:type="dxa" w:w="100"/>
              <w:bottom w:type="dxa" w:w="80"/>
              <w:right w:type="dxa" w:w="100"/>
            </w:tcMar>
          </w:tcPr>
          <w:p>
            <w:r>
              <w:rPr>
                <w:color w:val="0F172A"/>
                <w:sz w:val="19"/>
                <w:szCs w:val="19"/>
              </w:rPr>
              <w:t xml:space="preserve">Local accounts. Passwords are plain text (see Section 16).</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loggedIn / currentUser</w:t>
            </w:r>
          </w:p>
        </w:tc>
        <w:tc>
          <w:tcPr>
            <w:tcW w:type="dxa" w:w="3400"/>
            <w:shd w:fill="FFFFFF" w:val="clear"/>
            <w:tcMar>
              <w:top w:type="dxa" w:w="80"/>
              <w:left w:type="dxa" w:w="100"/>
              <w:bottom w:type="dxa" w:w="80"/>
              <w:right w:type="dxa" w:w="100"/>
            </w:tcMar>
          </w:tcPr>
          <w:p>
            <w:r>
              <w:rPr>
                <w:color w:val="0F172A"/>
                <w:sz w:val="19"/>
                <w:szCs w:val="19"/>
              </w:rPr>
              <w:t xml:space="preserve">bool / object</w:t>
            </w:r>
          </w:p>
        </w:tc>
        <w:tc>
          <w:tcPr>
            <w:tcW w:type="dxa" w:w="4000"/>
            <w:shd w:fill="FFFFFF" w:val="clear"/>
            <w:tcMar>
              <w:top w:type="dxa" w:w="80"/>
              <w:left w:type="dxa" w:w="100"/>
              <w:bottom w:type="dxa" w:w="80"/>
              <w:right w:type="dxa" w:w="100"/>
            </w:tcMar>
          </w:tcPr>
          <w:p>
            <w:r>
              <w:rPr>
                <w:color w:val="0F172A"/>
                <w:sz w:val="19"/>
                <w:szCs w:val="19"/>
              </w:rPr>
              <w:t xml:space="preserve">Current session state.</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institutions[] / activeInstitutionId</w:t>
            </w:r>
          </w:p>
        </w:tc>
        <w:tc>
          <w:tcPr>
            <w:tcW w:type="dxa" w:w="3400"/>
            <w:shd w:fill="F8FAFC" w:val="clear"/>
            <w:tcMar>
              <w:top w:type="dxa" w:w="80"/>
              <w:left w:type="dxa" w:w="100"/>
              <w:bottom w:type="dxa" w:w="80"/>
              <w:right w:type="dxa" w:w="100"/>
            </w:tcMar>
          </w:tcPr>
          <w:p>
            <w:r>
              <w:rPr>
                <w:color w:val="0F172A"/>
                <w:sz w:val="19"/>
                <w:szCs w:val="19"/>
              </w:rPr>
              <w:t xml:space="preserve">{id, name, color}</w:t>
            </w:r>
          </w:p>
        </w:tc>
        <w:tc>
          <w:tcPr>
            <w:tcW w:type="dxa" w:w="4000"/>
            <w:shd w:fill="F8FAFC" w:val="clear"/>
            <w:tcMar>
              <w:top w:type="dxa" w:w="80"/>
              <w:left w:type="dxa" w:w="100"/>
              <w:bottom w:type="dxa" w:w="80"/>
              <w:right w:type="dxa" w:w="100"/>
            </w:tcMar>
          </w:tcPr>
          <w:p>
            <w:r>
              <w:rPr>
                <w:color w:val="0F172A"/>
                <w:sz w:val="19"/>
                <w:szCs w:val="19"/>
              </w:rPr>
              <w:t xml:space="preserve">Free plan: 1 active institution.</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branches[] / activeBranchId</w:t>
            </w:r>
          </w:p>
        </w:tc>
        <w:tc>
          <w:tcPr>
            <w:tcW w:type="dxa" w:w="3400"/>
            <w:shd w:fill="FFFFFF" w:val="clear"/>
            <w:tcMar>
              <w:top w:type="dxa" w:w="80"/>
              <w:left w:type="dxa" w:w="100"/>
              <w:bottom w:type="dxa" w:w="80"/>
              <w:right w:type="dxa" w:w="100"/>
            </w:tcMar>
          </w:tcPr>
          <w:p>
            <w:r>
              <w:rPr>
                <w:color w:val="0F172A"/>
                <w:sz w:val="19"/>
                <w:szCs w:val="19"/>
              </w:rPr>
              <w:t xml:space="preserve">{id, name, color, institutionId}</w:t>
            </w:r>
          </w:p>
        </w:tc>
        <w:tc>
          <w:tcPr>
            <w:tcW w:type="dxa" w:w="4000"/>
            <w:shd w:fill="FFFFFF" w:val="clear"/>
            <w:tcMar>
              <w:top w:type="dxa" w:w="80"/>
              <w:left w:type="dxa" w:w="100"/>
              <w:bottom w:type="dxa" w:w="80"/>
              <w:right w:type="dxa" w:w="100"/>
            </w:tcMar>
          </w:tcPr>
          <w:p>
            <w:r>
              <w:rPr>
                <w:color w:val="0F172A"/>
                <w:sz w:val="19"/>
                <w:szCs w:val="19"/>
              </w:rPr>
              <w:t xml:space="preserve">Free plan: 1 active branch.</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classes[]</w:t>
            </w:r>
          </w:p>
        </w:tc>
        <w:tc>
          <w:tcPr>
            <w:tcW w:type="dxa" w:w="3400"/>
            <w:shd w:fill="F8FAFC" w:val="clear"/>
            <w:tcMar>
              <w:top w:type="dxa" w:w="80"/>
              <w:left w:type="dxa" w:w="100"/>
              <w:bottom w:type="dxa" w:w="80"/>
              <w:right w:type="dxa" w:w="100"/>
            </w:tcMar>
          </w:tcPr>
          <w:p>
            <w:r>
              <w:rPr>
                <w:color w:val="0F172A"/>
                <w:sz w:val="19"/>
                <w:szCs w:val="19"/>
              </w:rPr>
              <w:t xml:space="preserve">{id, name, subject, color, institutionId, branchId}</w:t>
            </w:r>
          </w:p>
        </w:tc>
        <w:tc>
          <w:tcPr>
            <w:tcW w:type="dxa" w:w="4000"/>
            <w:shd w:fill="F8FAFC" w:val="clear"/>
            <w:tcMar>
              <w:top w:type="dxa" w:w="80"/>
              <w:left w:type="dxa" w:w="100"/>
              <w:bottom w:type="dxa" w:w="80"/>
              <w:right w:type="dxa" w:w="100"/>
            </w:tcMar>
          </w:tcPr>
          <w:p>
            <w:r>
              <w:rPr>
                <w:color w:val="0F172A"/>
                <w:sz w:val="19"/>
                <w:szCs w:val="19"/>
              </w:rPr>
              <w:t xml:space="preserve">Class/section records; up to 3 per institution+branch on Free plan.</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students[]</w:t>
            </w:r>
          </w:p>
        </w:tc>
        <w:tc>
          <w:tcPr>
            <w:tcW w:type="dxa" w:w="3400"/>
            <w:shd w:fill="FFFFFF" w:val="clear"/>
            <w:tcMar>
              <w:top w:type="dxa" w:w="80"/>
              <w:left w:type="dxa" w:w="100"/>
              <w:bottom w:type="dxa" w:w="80"/>
              <w:right w:type="dxa" w:w="100"/>
            </w:tcMar>
          </w:tcPr>
          <w:p>
            <w:r>
              <w:rPr>
                <w:color w:val="0F172A"/>
                <w:sz w:val="19"/>
                <w:szCs w:val="19"/>
              </w:rPr>
              <w:t xml:space="preserve">{id, name, roll, sid, classId, pmobile, pemail, ptelegram, ...}</w:t>
            </w:r>
          </w:p>
        </w:tc>
        <w:tc>
          <w:tcPr>
            <w:tcW w:type="dxa" w:w="4000"/>
            <w:shd w:fill="FFFFFF" w:val="clear"/>
            <w:tcMar>
              <w:top w:type="dxa" w:w="80"/>
              <w:left w:type="dxa" w:w="100"/>
              <w:bottom w:type="dxa" w:w="80"/>
              <w:right w:type="dxa" w:w="100"/>
            </w:tcMar>
          </w:tcPr>
          <w:p>
            <w:r>
              <w:rPr>
                <w:color w:val="0F172A"/>
                <w:sz w:val="19"/>
                <w:szCs w:val="19"/>
              </w:rPr>
              <w:t xml:space="preserve">Roster, scoped to a class via classId.</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records[]</w:t>
            </w:r>
          </w:p>
        </w:tc>
        <w:tc>
          <w:tcPr>
            <w:tcW w:type="dxa" w:w="3400"/>
            <w:shd w:fill="F8FAFC" w:val="clear"/>
            <w:tcMar>
              <w:top w:type="dxa" w:w="80"/>
              <w:left w:type="dxa" w:w="100"/>
              <w:bottom w:type="dxa" w:w="80"/>
              <w:right w:type="dxa" w:w="100"/>
            </w:tcMar>
          </w:tcPr>
          <w:p>
            <w:r>
              <w:rPr>
                <w:color w:val="0F172A"/>
                <w:sz w:val="19"/>
                <w:szCs w:val="19"/>
              </w:rPr>
              <w:t xml:space="preserve">{id, classId, institutionId, branchId, date, type, attendance:{studentId:{status,remark}}, savedAt, batch, institutionName}</w:t>
            </w:r>
          </w:p>
        </w:tc>
        <w:tc>
          <w:tcPr>
            <w:tcW w:type="dxa" w:w="4000"/>
            <w:shd w:fill="F8FAFC" w:val="clear"/>
            <w:tcMar>
              <w:top w:type="dxa" w:w="80"/>
              <w:left w:type="dxa" w:w="100"/>
              <w:bottom w:type="dxa" w:w="80"/>
              <w:right w:type="dxa" w:w="100"/>
            </w:tcMar>
          </w:tcPr>
          <w:p>
            <w:r>
              <w:rPr>
                <w:color w:val="0F172A"/>
                <w:sz w:val="19"/>
                <w:szCs w:val="19"/>
              </w:rPr>
              <w:t xml:space="preserve">One saved attendance session per class+date.</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categories[] / subCategories[] / subSubCategories[]</w:t>
            </w:r>
          </w:p>
        </w:tc>
        <w:tc>
          <w:tcPr>
            <w:tcW w:type="dxa" w:w="3400"/>
            <w:shd w:fill="FFFFFF" w:val="clear"/>
            <w:tcMar>
              <w:top w:type="dxa" w:w="80"/>
              <w:left w:type="dxa" w:w="100"/>
              <w:bottom w:type="dxa" w:w="80"/>
              <w:right w:type="dxa" w:w="100"/>
            </w:tcMar>
          </w:tcPr>
          <w:p>
            <w:r>
              <w:rPr>
                <w:color w:val="0F172A"/>
                <w:sz w:val="19"/>
                <w:szCs w:val="19"/>
              </w:rPr>
              <w:t xml:space="preserve">backend-defined</w:t>
            </w:r>
          </w:p>
        </w:tc>
        <w:tc>
          <w:tcPr>
            <w:tcW w:type="dxa" w:w="4000"/>
            <w:shd w:fill="FFFFFF" w:val="clear"/>
            <w:tcMar>
              <w:top w:type="dxa" w:w="80"/>
              <w:left w:type="dxa" w:w="100"/>
              <w:bottom w:type="dxa" w:w="80"/>
              <w:right w:type="dxa" w:w="100"/>
            </w:tcMar>
          </w:tcPr>
          <w:p>
            <w:r>
              <w:rPr>
                <w:color w:val="0F172A"/>
                <w:sz w:val="19"/>
                <w:szCs w:val="19"/>
              </w:rPr>
              <w:t xml:space="preserve">Department → class → section master data, mirrored from the cloud.</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notices[]</w:t>
            </w:r>
          </w:p>
        </w:tc>
        <w:tc>
          <w:tcPr>
            <w:tcW w:type="dxa" w:w="3400"/>
            <w:shd w:fill="F8FAFC" w:val="clear"/>
            <w:tcMar>
              <w:top w:type="dxa" w:w="80"/>
              <w:left w:type="dxa" w:w="100"/>
              <w:bottom w:type="dxa" w:w="80"/>
              <w:right w:type="dxa" w:w="100"/>
            </w:tcMar>
          </w:tcPr>
          <w:p>
            <w:r>
              <w:rPr>
                <w:color w:val="0F172A"/>
                <w:sz w:val="19"/>
                <w:szCs w:val="19"/>
              </w:rPr>
              <w:t xml:space="preserve">{noticeId, topic, description, department, class, section, durationFrom, durationTo, attachmentUrl, postedBy, postedAt}</w:t>
            </w:r>
          </w:p>
        </w:tc>
        <w:tc>
          <w:tcPr>
            <w:tcW w:type="dxa" w:w="4000"/>
            <w:shd w:fill="F8FAFC" w:val="clear"/>
            <w:tcMar>
              <w:top w:type="dxa" w:w="80"/>
              <w:left w:type="dxa" w:w="100"/>
              <w:bottom w:type="dxa" w:w="80"/>
              <w:right w:type="dxa" w:w="100"/>
            </w:tcMar>
          </w:tcPr>
          <w:p>
            <w:r>
              <w:rPr>
                <w:color w:val="0F172A"/>
                <w:sz w:val="19"/>
                <w:szCs w:val="19"/>
              </w:rPr>
              <w:t xml:space="preserve">Notice-board posts, synced from backend.</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subjectMaster[]</w:t>
            </w:r>
          </w:p>
        </w:tc>
        <w:tc>
          <w:tcPr>
            <w:tcW w:type="dxa" w:w="3400"/>
            <w:shd w:fill="FFFFFF" w:val="clear"/>
            <w:tcMar>
              <w:top w:type="dxa" w:w="80"/>
              <w:left w:type="dxa" w:w="100"/>
              <w:bottom w:type="dxa" w:w="80"/>
              <w:right w:type="dxa" w:w="100"/>
            </w:tcMar>
          </w:tcPr>
          <w:p>
            <w:r>
              <w:rPr>
                <w:color w:val="0F172A"/>
                <w:sz w:val="19"/>
                <w:szCs w:val="19"/>
              </w:rPr>
              <w:t xml:space="preserve">backend-defined</w:t>
            </w:r>
          </w:p>
        </w:tc>
        <w:tc>
          <w:tcPr>
            <w:tcW w:type="dxa" w:w="4000"/>
            <w:shd w:fill="FFFFFF" w:val="clear"/>
            <w:tcMar>
              <w:top w:type="dxa" w:w="80"/>
              <w:left w:type="dxa" w:w="100"/>
              <w:bottom w:type="dxa" w:w="80"/>
              <w:right w:type="dxa" w:w="100"/>
            </w:tcMar>
          </w:tcPr>
          <w:p>
            <w:r>
              <w:rPr>
                <w:color w:val="0F172A"/>
                <w:sz w:val="19"/>
                <w:szCs w:val="19"/>
              </w:rPr>
              <w:t xml:space="preserve">Subject master list used by reporting.</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subjects[]</w:t>
            </w:r>
          </w:p>
        </w:tc>
        <w:tc>
          <w:tcPr>
            <w:tcW w:type="dxa" w:w="3400"/>
            <w:shd w:fill="F8FAFC" w:val="clear"/>
            <w:tcMar>
              <w:top w:type="dxa" w:w="80"/>
              <w:left w:type="dxa" w:w="100"/>
              <w:bottom w:type="dxa" w:w="80"/>
              <w:right w:type="dxa" w:w="100"/>
            </w:tcMar>
          </w:tcPr>
          <w:p>
            <w:r>
              <w:rPr>
                <w:color w:val="0F172A"/>
                <w:sz w:val="19"/>
                <w:szCs w:val="19"/>
              </w:rPr>
              <w:t xml:space="preserve">string[]</w:t>
            </w:r>
          </w:p>
        </w:tc>
        <w:tc>
          <w:tcPr>
            <w:tcW w:type="dxa" w:w="4000"/>
            <w:shd w:fill="F8FAFC" w:val="clear"/>
            <w:tcMar>
              <w:top w:type="dxa" w:w="80"/>
              <w:left w:type="dxa" w:w="100"/>
              <w:bottom w:type="dxa" w:w="80"/>
              <w:right w:type="dxa" w:w="100"/>
            </w:tcMar>
          </w:tcPr>
          <w:p>
            <w:r>
              <w:rPr>
                <w:color w:val="0F172A"/>
                <w:sz w:val="19"/>
                <w:szCs w:val="19"/>
              </w:rPr>
              <w:t xml:space="preserve">Legacy free-text subject list for the Classes form dropdown.</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threshold</w:t>
            </w:r>
          </w:p>
        </w:tc>
        <w:tc>
          <w:tcPr>
            <w:tcW w:type="dxa" w:w="3400"/>
            <w:shd w:fill="FFFFFF" w:val="clear"/>
            <w:tcMar>
              <w:top w:type="dxa" w:w="80"/>
              <w:left w:type="dxa" w:w="100"/>
              <w:bottom w:type="dxa" w:w="80"/>
              <w:right w:type="dxa" w:w="100"/>
            </w:tcMar>
          </w:tcPr>
          <w:p>
            <w:r>
              <w:rPr>
                <w:color w:val="0F172A"/>
                <w:sz w:val="19"/>
                <w:szCs w:val="19"/>
              </w:rPr>
              <w:t xml:space="preserve">number (default 75)</w:t>
            </w:r>
          </w:p>
        </w:tc>
        <w:tc>
          <w:tcPr>
            <w:tcW w:type="dxa" w:w="4000"/>
            <w:shd w:fill="FFFFFF" w:val="clear"/>
            <w:tcMar>
              <w:top w:type="dxa" w:w="80"/>
              <w:left w:type="dxa" w:w="100"/>
              <w:bottom w:type="dxa" w:w="80"/>
              <w:right w:type="dxa" w:w="100"/>
            </w:tcMar>
          </w:tcPr>
          <w:p>
            <w:r>
              <w:rPr>
                <w:color w:val="0F172A"/>
                <w:sz w:val="19"/>
                <w:szCs w:val="19"/>
              </w:rPr>
              <w:t xml:space="preserve">Attendance % below which a student is flagged “at risk” in Analytics.</w:t>
            </w:r>
          </w:p>
        </w:tc>
      </w:tr>
      <w:tr>
        <w:tc>
          <w:tcPr>
            <w:tcW w:type="dxa" w:w="21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currentClassId</w:t>
            </w:r>
          </w:p>
        </w:tc>
        <w:tc>
          <w:tcPr>
            <w:tcW w:type="dxa" w:w="3400"/>
            <w:shd w:fill="F8FAFC" w:val="clear"/>
            <w:tcMar>
              <w:top w:type="dxa" w:w="80"/>
              <w:left w:type="dxa" w:w="100"/>
              <w:bottom w:type="dxa" w:w="80"/>
              <w:right w:type="dxa" w:w="100"/>
            </w:tcMar>
          </w:tcPr>
          <w:p>
            <w:r>
              <w:rPr>
                <w:color w:val="0F172A"/>
                <w:sz w:val="19"/>
                <w:szCs w:val="19"/>
              </w:rPr>
              <w:t xml:space="preserve">string</w:t>
            </w:r>
          </w:p>
        </w:tc>
        <w:tc>
          <w:tcPr>
            <w:tcW w:type="dxa" w:w="4000"/>
            <w:shd w:fill="F8FAFC" w:val="clear"/>
            <w:tcMar>
              <w:top w:type="dxa" w:w="80"/>
              <w:left w:type="dxa" w:w="100"/>
              <w:bottom w:type="dxa" w:w="80"/>
              <w:right w:type="dxa" w:w="100"/>
            </w:tcMar>
          </w:tcPr>
          <w:p>
            <w:r>
              <w:rPr>
                <w:color w:val="0F172A"/>
                <w:sz w:val="19"/>
                <w:szCs w:val="19"/>
              </w:rPr>
              <w:t xml:space="preserve">Class currently selected via the class-chip bar.</w:t>
            </w:r>
          </w:p>
        </w:tc>
      </w:tr>
      <w:tr>
        <w:tc>
          <w:tcPr>
            <w:tcW w:type="dxa" w:w="21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attendance</w:t>
            </w:r>
          </w:p>
        </w:tc>
        <w:tc>
          <w:tcPr>
            <w:tcW w:type="dxa" w:w="3400"/>
            <w:shd w:fill="FFFFFF" w:val="clear"/>
            <w:tcMar>
              <w:top w:type="dxa" w:w="80"/>
              <w:left w:type="dxa" w:w="100"/>
              <w:bottom w:type="dxa" w:w="80"/>
              <w:right w:type="dxa" w:w="100"/>
            </w:tcMar>
          </w:tcPr>
          <w:p>
            <w:r>
              <w:rPr>
                <w:color w:val="0F172A"/>
                <w:sz w:val="19"/>
                <w:szCs w:val="19"/>
              </w:rPr>
              <w:t xml:space="preserve">{studentId: {status, remark}}</w:t>
            </w:r>
          </w:p>
        </w:tc>
        <w:tc>
          <w:tcPr>
            <w:tcW w:type="dxa" w:w="4000"/>
            <w:shd w:fill="FFFFFF" w:val="clear"/>
            <w:tcMar>
              <w:top w:type="dxa" w:w="80"/>
              <w:left w:type="dxa" w:w="100"/>
              <w:bottom w:type="dxa" w:w="80"/>
              <w:right w:type="dxa" w:w="100"/>
            </w:tcMar>
          </w:tcPr>
          <w:p>
            <w:r>
              <w:rPr>
                <w:color w:val="0F172A"/>
                <w:sz w:val="19"/>
                <w:szCs w:val="19"/>
              </w:rPr>
              <w:t xml:space="preserve">Unsaved, in-progress marks for the open Register session.</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Attendance cell values are stored in a slightly inconsistent shape across the codebase for backwards compatibility: newer records use {status, remark}, but helper functions attStatus()/attRemark() also accept a bare status string ('present'/'absent') for older/legacy records. Any new code reading State.records must go through these helpers rather than assuming one shape.</w:t>
            </w:r>
          </w:p>
        </w:tc>
      </w:tr>
    </w:tbl>
    <w:p>
      <w:pPr>
        <w:pStyle w:val="Heading1"/>
        <w:spacing w:after="200" w:before="400"/>
      </w:pPr>
      <w:r>
        <w:rPr>
          <w:b/>
          <w:bCs/>
          <w:color w:val="2563EB"/>
          <w:sz w:val="32"/>
          <w:szCs w:val="32"/>
        </w:rPr>
        <w:t xml:space="preserve">8. Persistence Layer (localStorage)</w:t>
      </w:r>
    </w:p>
    <w:p>
      <w:pPr>
        <w:spacing w:after="160" w:line="300"/>
      </w:pPr>
      <w:r>
        <w:rPr>
          <w:color w:val="0F172A"/>
          <w:sz w:val="22"/>
          <w:szCs w:val="22"/>
        </w:rPr>
        <w:t xml:space="preserve">The DB object is a minimal wrapper around window.localStorage:</w:t>
      </w:r>
    </w:p>
    <w:p>
      <w:pPr>
        <w:shd w:fill="0F1117" w:val="clear"/>
        <w:spacing w:after="160"/>
      </w:pPr>
      <w:r>
        <w:rPr>
          <w:rFonts w:ascii="JetBrains Mono" w:cs="JetBrains Mono" w:eastAsia="JetBrains Mono" w:hAnsi="JetBrains Mono"/>
          <w:color w:val="E2E8F0"/>
          <w:sz w:val="18"/>
          <w:szCs w:val="18"/>
        </w:rPr>
        <w:t xml:space="preserve">const DB = {</w:t>
      </w:r>
      <w:r>
        <w:rPr>
          <w:rFonts w:ascii="JetBrains Mono" w:cs="JetBrains Mono" w:eastAsia="JetBrains Mono" w:hAnsi="JetBrains Mono"/>
          <w:color w:val="E2E8F0"/>
          <w:sz w:val="18"/>
          <w:szCs w:val="18"/>
        </w:rPr>
        <w:br/>
        <w:t xml:space="preserve">  NS: 'ax2_',</w:t>
      </w:r>
      <w:r>
        <w:rPr>
          <w:rFonts w:ascii="JetBrains Mono" w:cs="JetBrains Mono" w:eastAsia="JetBrains Mono" w:hAnsi="JetBrains Mono"/>
          <w:color w:val="E2E8F0"/>
          <w:sz w:val="18"/>
          <w:szCs w:val="18"/>
        </w:rPr>
        <w:br/>
        <w:t xml:space="preserve">  get(k, fb=null) { /* JSON.parse(localStorage[NS+k]) or fb on any error */ },</w:t>
      </w:r>
      <w:r>
        <w:rPr>
          <w:rFonts w:ascii="JetBrains Mono" w:cs="JetBrains Mono" w:eastAsia="JetBrains Mono" w:hAnsi="JetBrains Mono"/>
          <w:color w:val="E2E8F0"/>
          <w:sz w:val="18"/>
          <w:szCs w:val="18"/>
        </w:rPr>
        <w:br/>
        <w:t xml:space="preserve">  set(k, v)       { /* localStorage[NS+k] = JSON.stringify(v) */ },</w:t>
      </w:r>
      <w:r>
        <w:rPr>
          <w:rFonts w:ascii="JetBrains Mono" w:cs="JetBrains Mono" w:eastAsia="JetBrains Mono" w:hAnsi="JetBrains Mono"/>
          <w:color w:val="E2E8F0"/>
          <w:sz w:val="18"/>
          <w:szCs w:val="18"/>
        </w:rPr>
        <w:br/>
        <w:t xml:space="preserve">  remove(k)       { /* localStorage.removeItem(NS+k) */ }</w:t>
      </w:r>
      <w:r>
        <w:rPr>
          <w:rFonts w:ascii="JetBrains Mono" w:cs="JetBrains Mono" w:eastAsia="JetBrains Mono" w:hAnsi="JetBrains Mono"/>
          <w:color w:val="E2E8F0"/>
          <w:sz w:val="18"/>
          <w:szCs w:val="18"/>
        </w:rPr>
        <w:br/>
        <w:t xml:space="preserve">};</w:t>
      </w:r>
    </w:p>
    <w:p>
      <w:pPr>
        <w:pStyle w:val="ListParagraph"/>
        <w:numPr>
          <w:ilvl w:val="0"/>
          <w:numId w:val="2"/>
        </w:numPr>
        <w:spacing w:after="90" w:line="290"/>
      </w:pPr>
      <w:r>
        <w:rPr>
          <w:color w:val="0F172A"/>
          <w:sz w:val="22"/>
          <w:szCs w:val="22"/>
        </w:rPr>
        <w:t xml:space="preserve">All keys are namespaced with the prefix ax2_, so AttendX can share an origin with other apps without key collisions.</w:t>
      </w:r>
    </w:p>
    <w:p>
      <w:pPr>
        <w:pStyle w:val="ListParagraph"/>
        <w:numPr>
          <w:ilvl w:val="0"/>
          <w:numId w:val="2"/>
        </w:numPr>
        <w:spacing w:after="90" w:line="290"/>
      </w:pPr>
      <w:r>
        <w:rPr>
          <w:color w:val="0F172A"/>
          <w:sz w:val="22"/>
          <w:szCs w:val="22"/>
        </w:rPr>
        <w:t xml:space="preserve">saveAll() is the single entry point that persists every top-level State collection (users, institutions, branches, classes, students, records, subjects, categories, subCategories, subSubCategories, notices, subjectMaster) in one call — used after most write operations.</w:t>
      </w:r>
    </w:p>
    <w:p>
      <w:pPr>
        <w:pStyle w:val="ListParagraph"/>
        <w:numPr>
          <w:ilvl w:val="0"/>
          <w:numId w:val="2"/>
        </w:numPr>
        <w:spacing w:after="90" w:line="290"/>
      </w:pPr>
      <w:r>
        <w:rPr>
          <w:color w:val="0F172A"/>
          <w:sz w:val="22"/>
          <w:szCs w:val="22"/>
        </w:rPr>
        <w:t xml:space="preserve">There is no IndexedDB usage and no storage-quota handling beyond try/catch swallowing errors — very large datasets could eventually hit the browser's localStorage size limit (typically 5–10MB per origin).</w:t>
      </w:r>
    </w:p>
    <w:p>
      <w:pPr>
        <w:pStyle w:val="ListParagraph"/>
        <w:numPr>
          <w:ilvl w:val="0"/>
          <w:numId w:val="2"/>
        </w:numPr>
        <w:spacing w:after="90" w:line="290"/>
      </w:pPr>
      <w:r>
        <w:rPr>
          <w:color w:val="0F172A"/>
          <w:sz w:val="22"/>
          <w:szCs w:val="22"/>
        </w:rPr>
        <w:t xml:space="preserve">A separate manual escape hatch, BackupEngine, exports/imports the same dataset as a downloadable .json file (full snapshot, full replace on import — not a merge).</w:t>
      </w:r>
    </w:p>
    <w:p>
      <w:pPr>
        <w:pStyle w:val="Heading1"/>
        <w:spacing w:after="200" w:before="400"/>
      </w:pPr>
      <w:r>
        <w:rPr>
          <w:b/>
          <w:bCs/>
          <w:color w:val="2563EB"/>
          <w:sz w:val="32"/>
          <w:szCs w:val="32"/>
        </w:rPr>
        <w:t xml:space="preserve">9. Backend Integration (Google Apps Script API)</w:t>
      </w:r>
    </w:p>
    <w:p>
      <w:pPr>
        <w:spacing w:after="160" w:line="300"/>
      </w:pPr>
      <w:r>
        <w:rPr>
          <w:color w:val="0F172A"/>
          <w:sz w:val="22"/>
          <w:szCs w:val="22"/>
        </w:rPr>
        <w:t xml:space="preserve">The API object wraps fetch() calls to a single Google Apps Script Web App URL (GAS_URL), which acts as a REST-like façade over a Google Sheet.</w:t>
      </w:r>
    </w:p>
    <w:p>
      <w:pPr>
        <w:shd w:fill="0F1117" w:val="clear"/>
        <w:spacing w:after="160"/>
      </w:pPr>
      <w:r>
        <w:rPr>
          <w:rFonts w:ascii="JetBrains Mono" w:cs="JetBrains Mono" w:eastAsia="JetBrains Mono" w:hAnsi="JetBrains Mono"/>
          <w:color w:val="E2E8F0"/>
          <w:sz w:val="18"/>
          <w:szCs w:val="18"/>
        </w:rPr>
        <w:t xml:space="preserve">GET  ${GAS_URL}?action=&lt;action&gt;&amp;&lt;params&gt;     → API.get(action, params)</w:t>
      </w:r>
      <w:r>
        <w:rPr>
          <w:rFonts w:ascii="JetBrains Mono" w:cs="JetBrains Mono" w:eastAsia="JetBrains Mono" w:hAnsi="JetBrains Mono"/>
          <w:color w:val="E2E8F0"/>
          <w:sz w:val="18"/>
          <w:szCs w:val="18"/>
        </w:rPr>
        <w:br/>
        <w:t xml:space="preserve">POST ${GAS_URL}  body: {action, data}         → API.post(action, data)</w:t>
      </w:r>
      <w:r>
        <w:rPr>
          <w:rFonts w:ascii="JetBrains Mono" w:cs="JetBrains Mono" w:eastAsia="JetBrains Mono" w:hAnsi="JetBrains Mono"/>
          <w:color w:val="E2E8F0"/>
          <w:sz w:val="18"/>
          <w:szCs w:val="18"/>
        </w:rPr>
        <w:br/>
        <w:t xml:space="preserve">                  Content-Type: text/plain;charset=utf-8</w:t>
      </w:r>
      <w:r>
        <w:rPr>
          <w:rFonts w:ascii="JetBrains Mono" w:cs="JetBrains Mono" w:eastAsia="JetBrains Mono" w:hAnsi="JetBrains Mono"/>
          <w:color w:val="E2E8F0"/>
          <w:sz w:val="18"/>
          <w:szCs w:val="18"/>
        </w:rPr>
        <w:br/>
        <w:t xml:space="preserve">                  (chosen specifically to avoid a CORS preflight,</w:t>
      </w:r>
      <w:r>
        <w:rPr>
          <w:rFonts w:ascii="JetBrains Mono" w:cs="JetBrains Mono" w:eastAsia="JetBrains Mono" w:hAnsi="JetBrains Mono"/>
          <w:color w:val="E2E8F0"/>
          <w:sz w:val="18"/>
          <w:szCs w:val="18"/>
        </w:rPr>
        <w:br/>
        <w:t xml:space="preserve">                   since Apps Script web apps handle preflight poorly)</w:t>
      </w:r>
    </w:p>
    <w:p>
      <w:pPr>
        <w:spacing w:after="120"/>
      </w:pPr>
    </w:p>
    <w:p>
      <w:pPr>
        <w:pStyle w:val="Heading3"/>
        <w:spacing w:after="100" w:before="200"/>
      </w:pPr>
      <w:r>
        <w:rPr>
          <w:b/>
          <w:bCs/>
          <w:color w:val="2563EB"/>
          <w:sz w:val="22"/>
          <w:szCs w:val="22"/>
        </w:rPr>
        <w:t xml:space="preserve">Actions used by the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300"/>
      </w:tblGrid>
      <w:tr>
        <w:trPr>
          <w:tblHeader/>
        </w:trPr>
        <w:tc>
          <w:tcPr>
            <w:tcW w:type="dxa" w:w="3900"/>
            <w:shd w:fill="2563EB" w:val="clear"/>
            <w:tcMar>
              <w:top w:type="dxa" w:w="90"/>
              <w:left w:type="dxa" w:w="100"/>
              <w:bottom w:type="dxa" w:w="90"/>
              <w:right w:type="dxa" w:w="100"/>
            </w:tcMar>
          </w:tcPr>
          <w:p>
            <w:r>
              <w:rPr>
                <w:b/>
                <w:bCs/>
                <w:color w:val="FFFFFF"/>
                <w:sz w:val="20"/>
                <w:szCs w:val="20"/>
              </w:rPr>
              <w:t xml:space="preserve">Action</w:t>
            </w:r>
          </w:p>
        </w:tc>
        <w:tc>
          <w:tcPr>
            <w:tcW w:type="dxa" w:w="1300"/>
            <w:shd w:fill="2563EB" w:val="clear"/>
            <w:tcMar>
              <w:top w:type="dxa" w:w="90"/>
              <w:left w:type="dxa" w:w="100"/>
              <w:bottom w:type="dxa" w:w="90"/>
              <w:right w:type="dxa" w:w="100"/>
            </w:tcMar>
          </w:tcPr>
          <w:p>
            <w:r>
              <w:rPr>
                <w:b/>
                <w:bCs/>
                <w:color w:val="FFFFFF"/>
                <w:sz w:val="20"/>
                <w:szCs w:val="20"/>
              </w:rPr>
              <w:t xml:space="preserve">Method</w:t>
            </w:r>
          </w:p>
        </w:tc>
        <w:tc>
          <w:tcPr>
            <w:tcW w:type="dxa" w:w="4300"/>
            <w:shd w:fill="2563EB" w:val="clear"/>
            <w:tcMar>
              <w:top w:type="dxa" w:w="90"/>
              <w:left w:type="dxa" w:w="100"/>
              <w:bottom w:type="dxa" w:w="90"/>
              <w:right w:type="dxa" w:w="100"/>
            </w:tcMar>
          </w:tcPr>
          <w:p>
            <w:r>
              <w:rPr>
                <w:b/>
                <w:bCs/>
                <w:color w:val="FFFFFF"/>
                <w:sz w:val="20"/>
                <w:szCs w:val="20"/>
              </w:rPr>
              <w:t xml:space="preserve">Purpose</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students</w:t>
            </w:r>
          </w:p>
        </w:tc>
        <w:tc>
          <w:tcPr>
            <w:tcW w:type="dxa" w:w="1300"/>
            <w:shd w:fill="F8FAFC" w:val="clear"/>
            <w:tcMar>
              <w:top w:type="dxa" w:w="80"/>
              <w:left w:type="dxa" w:w="100"/>
              <w:bottom w:type="dxa" w:w="80"/>
              <w:right w:type="dxa" w:w="100"/>
            </w:tcMar>
          </w:tcPr>
          <w:p>
            <w:r>
              <w:rPr>
                <w:color w:val="0F172A"/>
                <w:sz w:val="19"/>
                <w:szCs w:val="19"/>
              </w:rPr>
              <w:t xml:space="preserve">GET</w:t>
            </w:r>
          </w:p>
        </w:tc>
        <w:tc>
          <w:tcPr>
            <w:tcW w:type="dxa" w:w="4300"/>
            <w:shd w:fill="F8FAFC" w:val="clear"/>
            <w:tcMar>
              <w:top w:type="dxa" w:w="80"/>
              <w:left w:type="dxa" w:w="100"/>
              <w:bottom w:type="dxa" w:w="80"/>
              <w:right w:type="dxa" w:w="100"/>
            </w:tcMar>
          </w:tcPr>
          <w:p>
            <w:r>
              <w:rPr>
                <w:color w:val="0F172A"/>
                <w:sz w:val="19"/>
                <w:szCs w:val="19"/>
              </w:rPr>
              <w:t xml:space="preserve">Fetch the full student roster.</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getCategories / getSubCategories / getSubSubCategories</w:t>
            </w:r>
          </w:p>
        </w:tc>
        <w:tc>
          <w:tcPr>
            <w:tcW w:type="dxa" w:w="1300"/>
            <w:shd w:fill="FFFFFF" w:val="clear"/>
            <w:tcMar>
              <w:top w:type="dxa" w:w="80"/>
              <w:left w:type="dxa" w:w="100"/>
              <w:bottom w:type="dxa" w:w="80"/>
              <w:right w:type="dxa" w:w="100"/>
            </w:tcMar>
          </w:tcPr>
          <w:p>
            <w:r>
              <w:rPr>
                <w:color w:val="0F172A"/>
                <w:sz w:val="19"/>
                <w:szCs w:val="19"/>
              </w:rPr>
              <w:t xml:space="preserve">GET</w:t>
            </w:r>
          </w:p>
        </w:tc>
        <w:tc>
          <w:tcPr>
            <w:tcW w:type="dxa" w:w="4300"/>
            <w:shd w:fill="FFFFFF" w:val="clear"/>
            <w:tcMar>
              <w:top w:type="dxa" w:w="80"/>
              <w:left w:type="dxa" w:w="100"/>
              <w:bottom w:type="dxa" w:w="80"/>
              <w:right w:type="dxa" w:w="100"/>
            </w:tcMar>
          </w:tcPr>
          <w:p>
            <w:r>
              <w:rPr>
                <w:color w:val="0F172A"/>
                <w:sz w:val="19"/>
                <w:szCs w:val="19"/>
              </w:rPr>
              <w:t xml:space="preserve">Fetch department→class→section master data.</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getSubjects</w:t>
            </w:r>
          </w:p>
        </w:tc>
        <w:tc>
          <w:tcPr>
            <w:tcW w:type="dxa" w:w="1300"/>
            <w:shd w:fill="F8FAFC" w:val="clear"/>
            <w:tcMar>
              <w:top w:type="dxa" w:w="80"/>
              <w:left w:type="dxa" w:w="100"/>
              <w:bottom w:type="dxa" w:w="80"/>
              <w:right w:type="dxa" w:w="100"/>
            </w:tcMar>
          </w:tcPr>
          <w:p>
            <w:r>
              <w:rPr>
                <w:color w:val="0F172A"/>
                <w:sz w:val="19"/>
                <w:szCs w:val="19"/>
              </w:rPr>
              <w:t xml:space="preserve">GET</w:t>
            </w:r>
          </w:p>
        </w:tc>
        <w:tc>
          <w:tcPr>
            <w:tcW w:type="dxa" w:w="4300"/>
            <w:shd w:fill="F8FAFC" w:val="clear"/>
            <w:tcMar>
              <w:top w:type="dxa" w:w="80"/>
              <w:left w:type="dxa" w:w="100"/>
              <w:bottom w:type="dxa" w:w="80"/>
              <w:right w:type="dxa" w:w="100"/>
            </w:tcMar>
          </w:tcPr>
          <w:p>
            <w:r>
              <w:rPr>
                <w:color w:val="0F172A"/>
                <w:sz w:val="19"/>
                <w:szCs w:val="19"/>
              </w:rPr>
              <w:t xml:space="preserve">Fetch the subject master list.</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getSubjectReport</w:t>
            </w:r>
          </w:p>
        </w:tc>
        <w:tc>
          <w:tcPr>
            <w:tcW w:type="dxa" w:w="1300"/>
            <w:shd w:fill="FFFFFF" w:val="clear"/>
            <w:tcMar>
              <w:top w:type="dxa" w:w="80"/>
              <w:left w:type="dxa" w:w="100"/>
              <w:bottom w:type="dxa" w:w="80"/>
              <w:right w:type="dxa" w:w="100"/>
            </w:tcMar>
          </w:tcPr>
          <w:p>
            <w:r>
              <w:rPr>
                <w:color w:val="0F172A"/>
                <w:sz w:val="19"/>
                <w:szCs w:val="19"/>
              </w:rPr>
              <w:t xml:space="preserve">GET</w:t>
            </w:r>
          </w:p>
        </w:tc>
        <w:tc>
          <w:tcPr>
            <w:tcW w:type="dxa" w:w="4300"/>
            <w:shd w:fill="FFFFFF" w:val="clear"/>
            <w:tcMar>
              <w:top w:type="dxa" w:w="80"/>
              <w:left w:type="dxa" w:w="100"/>
              <w:bottom w:type="dxa" w:w="80"/>
              <w:right w:type="dxa" w:w="100"/>
            </w:tcMar>
          </w:tcPr>
          <w:p>
            <w:r>
              <w:rPr>
                <w:color w:val="0F172A"/>
                <w:sz w:val="19"/>
                <w:szCs w:val="19"/>
              </w:rPr>
              <w:t xml:space="preserve">Fetch subject-wise attendance report data.</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getNotices</w:t>
            </w:r>
          </w:p>
        </w:tc>
        <w:tc>
          <w:tcPr>
            <w:tcW w:type="dxa" w:w="1300"/>
            <w:shd w:fill="F8FAFC" w:val="clear"/>
            <w:tcMar>
              <w:top w:type="dxa" w:w="80"/>
              <w:left w:type="dxa" w:w="100"/>
              <w:bottom w:type="dxa" w:w="80"/>
              <w:right w:type="dxa" w:w="100"/>
            </w:tcMar>
          </w:tcPr>
          <w:p>
            <w:r>
              <w:rPr>
                <w:color w:val="0F172A"/>
                <w:sz w:val="19"/>
                <w:szCs w:val="19"/>
              </w:rPr>
              <w:t xml:space="preserve">GET</w:t>
            </w:r>
          </w:p>
        </w:tc>
        <w:tc>
          <w:tcPr>
            <w:tcW w:type="dxa" w:w="4300"/>
            <w:shd w:fill="F8FAFC" w:val="clear"/>
            <w:tcMar>
              <w:top w:type="dxa" w:w="80"/>
              <w:left w:type="dxa" w:w="100"/>
              <w:bottom w:type="dxa" w:w="80"/>
              <w:right w:type="dxa" w:w="100"/>
            </w:tcMar>
          </w:tcPr>
          <w:p>
            <w:r>
              <w:rPr>
                <w:color w:val="0F172A"/>
                <w:sz w:val="19"/>
                <w:szCs w:val="19"/>
              </w:rPr>
              <w:t xml:space="preserve">Fetch notice-board posts.</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saveInstitution / deleteInstitution</w:t>
            </w:r>
          </w:p>
        </w:tc>
        <w:tc>
          <w:tcPr>
            <w:tcW w:type="dxa" w:w="1300"/>
            <w:shd w:fill="FFFFFF" w:val="clear"/>
            <w:tcMar>
              <w:top w:type="dxa" w:w="80"/>
              <w:left w:type="dxa" w:w="100"/>
              <w:bottom w:type="dxa" w:w="80"/>
              <w:right w:type="dxa" w:w="100"/>
            </w:tcMar>
          </w:tcPr>
          <w:p>
            <w:r>
              <w:rPr>
                <w:color w:val="0F172A"/>
                <w:sz w:val="19"/>
                <w:szCs w:val="19"/>
              </w:rPr>
              <w:t xml:space="preserve">POST</w:t>
            </w:r>
          </w:p>
        </w:tc>
        <w:tc>
          <w:tcPr>
            <w:tcW w:type="dxa" w:w="4300"/>
            <w:shd w:fill="FFFFFF" w:val="clear"/>
            <w:tcMar>
              <w:top w:type="dxa" w:w="80"/>
              <w:left w:type="dxa" w:w="100"/>
              <w:bottom w:type="dxa" w:w="80"/>
              <w:right w:type="dxa" w:w="100"/>
            </w:tcMar>
          </w:tcPr>
          <w:p>
            <w:r>
              <w:rPr>
                <w:color w:val="0F172A"/>
                <w:sz w:val="19"/>
                <w:szCs w:val="19"/>
              </w:rPr>
              <w:t xml:space="preserve">Create/update or remove an institution.</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saveBranch / deleteBranch</w:t>
            </w:r>
          </w:p>
        </w:tc>
        <w:tc>
          <w:tcPr>
            <w:tcW w:type="dxa" w:w="1300"/>
            <w:shd w:fill="F8FAFC" w:val="clear"/>
            <w:tcMar>
              <w:top w:type="dxa" w:w="80"/>
              <w:left w:type="dxa" w:w="100"/>
              <w:bottom w:type="dxa" w:w="80"/>
              <w:right w:type="dxa" w:w="100"/>
            </w:tcMar>
          </w:tcPr>
          <w:p>
            <w:r>
              <w:rPr>
                <w:color w:val="0F172A"/>
                <w:sz w:val="19"/>
                <w:szCs w:val="19"/>
              </w:rPr>
              <w:t xml:space="preserve">POST</w:t>
            </w:r>
          </w:p>
        </w:tc>
        <w:tc>
          <w:tcPr>
            <w:tcW w:type="dxa" w:w="4300"/>
            <w:shd w:fill="F8FAFC" w:val="clear"/>
            <w:tcMar>
              <w:top w:type="dxa" w:w="80"/>
              <w:left w:type="dxa" w:w="100"/>
              <w:bottom w:type="dxa" w:w="80"/>
              <w:right w:type="dxa" w:w="100"/>
            </w:tcMar>
          </w:tcPr>
          <w:p>
            <w:r>
              <w:rPr>
                <w:color w:val="0F172A"/>
                <w:sz w:val="19"/>
                <w:szCs w:val="19"/>
              </w:rPr>
              <w:t xml:space="preserve">Create/update or remove a branch.</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saveClass</w:t>
            </w:r>
          </w:p>
        </w:tc>
        <w:tc>
          <w:tcPr>
            <w:tcW w:type="dxa" w:w="1300"/>
            <w:shd w:fill="FFFFFF" w:val="clear"/>
            <w:tcMar>
              <w:top w:type="dxa" w:w="80"/>
              <w:left w:type="dxa" w:w="100"/>
              <w:bottom w:type="dxa" w:w="80"/>
              <w:right w:type="dxa" w:w="100"/>
            </w:tcMar>
          </w:tcPr>
          <w:p>
            <w:r>
              <w:rPr>
                <w:color w:val="0F172A"/>
                <w:sz w:val="19"/>
                <w:szCs w:val="19"/>
              </w:rPr>
              <w:t xml:space="preserve">POST</w:t>
            </w:r>
          </w:p>
        </w:tc>
        <w:tc>
          <w:tcPr>
            <w:tcW w:type="dxa" w:w="4300"/>
            <w:shd w:fill="FFFFFF" w:val="clear"/>
            <w:tcMar>
              <w:top w:type="dxa" w:w="80"/>
              <w:left w:type="dxa" w:w="100"/>
              <w:bottom w:type="dxa" w:w="80"/>
              <w:right w:type="dxa" w:w="100"/>
            </w:tcMar>
          </w:tcPr>
          <w:p>
            <w:r>
              <w:rPr>
                <w:color w:val="0F172A"/>
                <w:sz w:val="19"/>
                <w:szCs w:val="19"/>
              </w:rPr>
              <w:t xml:space="preserve">Create/update a class.</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addStudent / deleteStudent / importStudents</w:t>
            </w:r>
          </w:p>
        </w:tc>
        <w:tc>
          <w:tcPr>
            <w:tcW w:type="dxa" w:w="1300"/>
            <w:shd w:fill="F8FAFC" w:val="clear"/>
            <w:tcMar>
              <w:top w:type="dxa" w:w="80"/>
              <w:left w:type="dxa" w:w="100"/>
              <w:bottom w:type="dxa" w:w="80"/>
              <w:right w:type="dxa" w:w="100"/>
            </w:tcMar>
          </w:tcPr>
          <w:p>
            <w:r>
              <w:rPr>
                <w:color w:val="0F172A"/>
                <w:sz w:val="19"/>
                <w:szCs w:val="19"/>
              </w:rPr>
              <w:t xml:space="preserve">POST</w:t>
            </w:r>
          </w:p>
        </w:tc>
        <w:tc>
          <w:tcPr>
            <w:tcW w:type="dxa" w:w="4300"/>
            <w:shd w:fill="F8FAFC" w:val="clear"/>
            <w:tcMar>
              <w:top w:type="dxa" w:w="80"/>
              <w:left w:type="dxa" w:w="100"/>
              <w:bottom w:type="dxa" w:w="80"/>
              <w:right w:type="dxa" w:w="100"/>
            </w:tcMar>
          </w:tcPr>
          <w:p>
            <w:r>
              <w:rPr>
                <w:color w:val="0F172A"/>
                <w:sz w:val="19"/>
                <w:szCs w:val="19"/>
              </w:rPr>
              <w:t xml:space="preserve">Add, remove, or bulk-import students.</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markAttendance</w:t>
            </w:r>
          </w:p>
        </w:tc>
        <w:tc>
          <w:tcPr>
            <w:tcW w:type="dxa" w:w="1300"/>
            <w:shd w:fill="FFFFFF" w:val="clear"/>
            <w:tcMar>
              <w:top w:type="dxa" w:w="80"/>
              <w:left w:type="dxa" w:w="100"/>
              <w:bottom w:type="dxa" w:w="80"/>
              <w:right w:type="dxa" w:w="100"/>
            </w:tcMar>
          </w:tcPr>
          <w:p>
            <w:r>
              <w:rPr>
                <w:color w:val="0F172A"/>
                <w:sz w:val="19"/>
                <w:szCs w:val="19"/>
              </w:rPr>
              <w:t xml:space="preserve">POST</w:t>
            </w:r>
          </w:p>
        </w:tc>
        <w:tc>
          <w:tcPr>
            <w:tcW w:type="dxa" w:w="4300"/>
            <w:shd w:fill="FFFFFF" w:val="clear"/>
            <w:tcMar>
              <w:top w:type="dxa" w:w="80"/>
              <w:left w:type="dxa" w:w="100"/>
              <w:bottom w:type="dxa" w:w="80"/>
              <w:right w:type="dxa" w:w="100"/>
            </w:tcMar>
          </w:tcPr>
          <w:p>
            <w:r>
              <w:rPr>
                <w:color w:val="0F172A"/>
                <w:sz w:val="19"/>
                <w:szCs w:val="19"/>
              </w:rPr>
              <w:t xml:space="preserve">Push a saved attendance record to the cloud.</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postNotice / updateNotice / deleteNotice</w:t>
            </w:r>
          </w:p>
        </w:tc>
        <w:tc>
          <w:tcPr>
            <w:tcW w:type="dxa" w:w="1300"/>
            <w:shd w:fill="F8FAFC" w:val="clear"/>
            <w:tcMar>
              <w:top w:type="dxa" w:w="80"/>
              <w:left w:type="dxa" w:w="100"/>
              <w:bottom w:type="dxa" w:w="80"/>
              <w:right w:type="dxa" w:w="100"/>
            </w:tcMar>
          </w:tcPr>
          <w:p>
            <w:r>
              <w:rPr>
                <w:color w:val="0F172A"/>
                <w:sz w:val="19"/>
                <w:szCs w:val="19"/>
              </w:rPr>
              <w:t xml:space="preserve">POST</w:t>
            </w:r>
          </w:p>
        </w:tc>
        <w:tc>
          <w:tcPr>
            <w:tcW w:type="dxa" w:w="4300"/>
            <w:shd w:fill="F8FAFC" w:val="clear"/>
            <w:tcMar>
              <w:top w:type="dxa" w:w="80"/>
              <w:left w:type="dxa" w:w="100"/>
              <w:bottom w:type="dxa" w:w="80"/>
              <w:right w:type="dxa" w:w="100"/>
            </w:tcMar>
          </w:tcPr>
          <w:p>
            <w:r>
              <w:rPr>
                <w:color w:val="0F172A"/>
                <w:sz w:val="19"/>
                <w:szCs w:val="19"/>
              </w:rPr>
              <w:t xml:space="preserve">Create, edit, or remove a notice.</w:t>
            </w:r>
          </w:p>
        </w:tc>
      </w:tr>
      <w:tr>
        <w:tc>
          <w:tcPr>
            <w:tcW w:type="dxa" w:w="39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saveSubject / deleteSubject</w:t>
            </w:r>
          </w:p>
        </w:tc>
        <w:tc>
          <w:tcPr>
            <w:tcW w:type="dxa" w:w="1300"/>
            <w:shd w:fill="FFFFFF" w:val="clear"/>
            <w:tcMar>
              <w:top w:type="dxa" w:w="80"/>
              <w:left w:type="dxa" w:w="100"/>
              <w:bottom w:type="dxa" w:w="80"/>
              <w:right w:type="dxa" w:w="100"/>
            </w:tcMar>
          </w:tcPr>
          <w:p>
            <w:r>
              <w:rPr>
                <w:color w:val="0F172A"/>
                <w:sz w:val="19"/>
                <w:szCs w:val="19"/>
              </w:rPr>
              <w:t xml:space="preserve">POST</w:t>
            </w:r>
          </w:p>
        </w:tc>
        <w:tc>
          <w:tcPr>
            <w:tcW w:type="dxa" w:w="4300"/>
            <w:shd w:fill="FFFFFF" w:val="clear"/>
            <w:tcMar>
              <w:top w:type="dxa" w:w="80"/>
              <w:left w:type="dxa" w:w="100"/>
              <w:bottom w:type="dxa" w:w="80"/>
              <w:right w:type="dxa" w:w="100"/>
            </w:tcMar>
          </w:tcPr>
          <w:p>
            <w:r>
              <w:rPr>
                <w:color w:val="0F172A"/>
                <w:sz w:val="19"/>
                <w:szCs w:val="19"/>
              </w:rPr>
              <w:t xml:space="preserve">Create/update or remove a subject master entry.</w:t>
            </w:r>
          </w:p>
        </w:tc>
      </w:tr>
      <w:tr>
        <w:tc>
          <w:tcPr>
            <w:tcW w:type="dxa" w:w="39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importCategories / importSubCategories / importSubSubCategories</w:t>
            </w:r>
          </w:p>
        </w:tc>
        <w:tc>
          <w:tcPr>
            <w:tcW w:type="dxa" w:w="1300"/>
            <w:shd w:fill="F8FAFC" w:val="clear"/>
            <w:tcMar>
              <w:top w:type="dxa" w:w="80"/>
              <w:left w:type="dxa" w:w="100"/>
              <w:bottom w:type="dxa" w:w="80"/>
              <w:right w:type="dxa" w:w="100"/>
            </w:tcMar>
          </w:tcPr>
          <w:p>
            <w:r>
              <w:rPr>
                <w:color w:val="0F172A"/>
                <w:sz w:val="19"/>
                <w:szCs w:val="19"/>
              </w:rPr>
              <w:t xml:space="preserve">POST</w:t>
            </w:r>
          </w:p>
        </w:tc>
        <w:tc>
          <w:tcPr>
            <w:tcW w:type="dxa" w:w="4300"/>
            <w:shd w:fill="F8FAFC" w:val="clear"/>
            <w:tcMar>
              <w:top w:type="dxa" w:w="80"/>
              <w:left w:type="dxa" w:w="100"/>
              <w:bottom w:type="dxa" w:w="80"/>
              <w:right w:type="dxa" w:w="100"/>
            </w:tcMar>
          </w:tcPr>
          <w:p>
            <w:r>
              <w:rPr>
                <w:color w:val="0F172A"/>
                <w:sz w:val="19"/>
                <w:szCs w:val="19"/>
              </w:rPr>
              <w:t xml:space="preserve">Bulk-import master data from CSV.</w:t>
            </w:r>
          </w:p>
        </w:tc>
      </w:tr>
    </w:tbl>
    <w:p>
      <w:pPr>
        <w:spacing w:after="120"/>
      </w:pPr>
    </w:p>
    <w:p>
      <w:pPr>
        <w:pStyle w:val="Heading3"/>
        <w:spacing w:after="100" w:before="200"/>
      </w:pPr>
      <w:r>
        <w:rPr>
          <w:b/>
          <w:bCs/>
          <w:color w:val="2563EB"/>
          <w:sz w:val="22"/>
          <w:szCs w:val="22"/>
        </w:rPr>
        <w:t xml:space="preserve">Sync model</w:t>
      </w:r>
    </w:p>
    <w:p>
      <w:pPr>
        <w:pStyle w:val="ListParagraph"/>
        <w:numPr>
          <w:ilvl w:val="0"/>
          <w:numId w:val="2"/>
        </w:numPr>
        <w:spacing w:after="90" w:line="290"/>
      </w:pPr>
      <w:r>
        <w:rPr>
          <w:color w:val="0F172A"/>
          <w:sz w:val="22"/>
          <w:szCs w:val="22"/>
        </w:rPr>
        <w:t xml:space="preserve">Every API call first checks navigator.onLine; if false, it returns null immediately without attempting a network request.</w:t>
      </w:r>
    </w:p>
    <w:p>
      <w:pPr>
        <w:pStyle w:val="ListParagraph"/>
        <w:numPr>
          <w:ilvl w:val="0"/>
          <w:numId w:val="2"/>
        </w:numPr>
        <w:spacing w:after="90" w:line="290"/>
      </w:pPr>
      <w:r>
        <w:rPr>
          <w:color w:val="0F172A"/>
          <w:sz w:val="22"/>
          <w:szCs w:val="22"/>
        </w:rPr>
        <w:t xml:space="preserve">Writes are “local-first”: the caller mutates State and DB (localStorage) synchronously, then fires the matching API.post(...) without awaiting UI feedback on its result (fire-and-forget) — e.g. Register.submit() saves the attendance record locally, shows a success toast, and only then posts to the cloud in the background.</w:t>
      </w:r>
    </w:p>
    <w:p>
      <w:pPr>
        <w:pStyle w:val="ListParagraph"/>
        <w:numPr>
          <w:ilvl w:val="0"/>
          <w:numId w:val="2"/>
        </w:numPr>
        <w:spacing w:after="90" w:line="290"/>
      </w:pPr>
      <w:r>
        <w:rPr>
          <w:color w:val="0F172A"/>
          <w:sz w:val="22"/>
          <w:szCs w:val="22"/>
        </w:rPr>
        <w:t xml:space="preserve">Reads for master data (students, categories, subjects, notices) are refreshed opportunistically — primarily on login (Auth._syncWithBackend()) — and simply overwrite the corresponding State array + localStorage cache.</w:t>
      </w:r>
    </w:p>
    <w:p>
      <w:pPr>
        <w:pStyle w:val="ListParagraph"/>
        <w:numPr>
          <w:ilvl w:val="0"/>
          <w:numId w:val="2"/>
        </w:numPr>
        <w:spacing w:after="90" w:line="290"/>
      </w:pPr>
      <w:r>
        <w:rPr>
          <w:color w:val="0F172A"/>
          <w:sz w:val="22"/>
          <w:szCs w:val="22"/>
        </w:rPr>
        <w:t xml:space="preserve">There is no conflict-resolution or merge logic anywhere in the client: the most recent write (local or remote) wins in an unstructured way. Concurrent edits from two devices to the same record are not reconciled.</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Operational note: </w:t>
            </w:r>
            <w:r>
              <w:rPr>
                <w:color w:val="0F172A"/>
                <w:sz w:val="21"/>
                <w:szCs w:val="21"/>
              </w:rPr>
              <w:t xml:space="preserve">GAS_URL is hard-coded as a constant in the client script. Rotating the backend deployment requires editing and redeploying index.html.</w:t>
            </w:r>
          </w:p>
        </w:tc>
      </w:tr>
    </w:tbl>
    <w:p>
      <w:pPr>
        <w:pStyle w:val="Heading1"/>
        <w:spacing w:after="200" w:before="400"/>
      </w:pPr>
      <w:r>
        <w:rPr>
          <w:b/>
          <w:bCs/>
          <w:color w:val="2563EB"/>
          <w:sz w:val="32"/>
          <w:szCs w:val="32"/>
        </w:rPr>
        <w:t xml:space="preserve">10. Authentication &amp; Session Management</w:t>
      </w:r>
    </w:p>
    <w:p>
      <w:pPr>
        <w:pStyle w:val="Heading3"/>
        <w:spacing w:after="100" w:before="200"/>
      </w:pPr>
      <w:r>
        <w:rPr>
          <w:b/>
          <w:bCs/>
          <w:color w:val="2563EB"/>
          <w:sz w:val="22"/>
          <w:szCs w:val="22"/>
        </w:rPr>
        <w:t xml:space="preserve">Accounts</w:t>
      </w:r>
    </w:p>
    <w:p>
      <w:pPr>
        <w:spacing w:after="160" w:line="300"/>
      </w:pPr>
      <w:r>
        <w:rPr>
          <w:color w:val="0F172A"/>
          <w:sz w:val="22"/>
          <w:szCs w:val="22"/>
        </w:rPr>
        <w:t xml:space="preserve">Registration (Auth.register) creates a user object { id, username, password, role, biometric:false, credentialId:null, theme:'light' } and appends it to State.users / DB('users'). Login (Auth.login) does a direct field match against username, password, and the selected role.</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Security: </w:t>
            </w:r>
            <w:r>
              <w:rPr>
                <w:color w:val="0F172A"/>
                <w:sz w:val="21"/>
                <w:szCs w:val="21"/>
              </w:rPr>
              <w:t xml:space="preserve">Passwords are stored in plain text in localStorage — there is no hashing (e.g. bcrypt/PBKDF2/Argon2) anywhere in the auth flow. This is a significant weakness if the deployment target is anything beyond a trusted single-user device; see Section 16 for hardening recommendations.</w:t>
            </w:r>
          </w:p>
        </w:tc>
      </w:tr>
    </w:tbl>
    <w:p>
      <w:pPr>
        <w:pStyle w:val="Heading3"/>
        <w:spacing w:after="100" w:before="200"/>
      </w:pPr>
      <w:r>
        <w:rPr>
          <w:b/>
          <w:bCs/>
          <w:color w:val="2563EB"/>
          <w:sz w:val="22"/>
          <w:szCs w:val="22"/>
        </w:rPr>
        <w:t xml:space="preserve">Sessions</w:t>
      </w:r>
    </w:p>
    <w:p>
      <w:pPr>
        <w:pStyle w:val="ListParagraph"/>
        <w:numPr>
          <w:ilvl w:val="0"/>
          <w:numId w:val="2"/>
        </w:numPr>
        <w:spacing w:after="90" w:line="290"/>
      </w:pPr>
      <w:r>
        <w:rPr>
          <w:color w:val="0F172A"/>
          <w:sz w:val="22"/>
          <w:szCs w:val="22"/>
        </w:rPr>
        <w:t xml:space="preserve">“Remember me” checked → session token {username, role} written to localStorage under key AttendXSession (persists across browser restarts).</w:t>
      </w:r>
    </w:p>
    <w:p>
      <w:pPr>
        <w:pStyle w:val="ListParagraph"/>
        <w:numPr>
          <w:ilvl w:val="0"/>
          <w:numId w:val="2"/>
        </w:numPr>
        <w:spacing w:after="90" w:line="290"/>
      </w:pPr>
      <w:r>
        <w:rPr>
          <w:color w:val="0F172A"/>
          <w:sz w:val="22"/>
          <w:szCs w:val="22"/>
        </w:rPr>
        <w:t xml:space="preserve">“Remember me” unchecked → same token written to sessionStorage instead (cleared when the tab/window closes).</w:t>
      </w:r>
    </w:p>
    <w:p>
      <w:pPr>
        <w:pStyle w:val="ListParagraph"/>
        <w:numPr>
          <w:ilvl w:val="0"/>
          <w:numId w:val="2"/>
        </w:numPr>
        <w:spacing w:after="90" w:line="290"/>
      </w:pPr>
      <w:r>
        <w:rPr>
          <w:color w:val="0F172A"/>
          <w:sz w:val="22"/>
          <w:szCs w:val="22"/>
        </w:rPr>
        <w:t xml:space="preserve">Auth.init() (run on every page load) checks both storages and, if a token matches an existing user, logs them in automatically without re-prompting for a password.</w:t>
      </w:r>
    </w:p>
    <w:p>
      <w:pPr>
        <w:pStyle w:val="Heading3"/>
        <w:spacing w:after="100" w:before="200"/>
      </w:pPr>
      <w:r>
        <w:rPr>
          <w:b/>
          <w:bCs/>
          <w:color w:val="2563EB"/>
          <w:sz w:val="22"/>
          <w:szCs w:val="22"/>
        </w:rPr>
        <w:t xml:space="preserve">Biometric second factor</w:t>
      </w:r>
    </w:p>
    <w:p>
      <w:pPr>
        <w:spacing w:after="160" w:line="300"/>
      </w:pPr>
      <w:r>
        <w:rPr>
          <w:color w:val="0F172A"/>
          <w:sz w:val="22"/>
          <w:szCs w:val="22"/>
        </w:rPr>
        <w:t xml:space="preserve">Optional, offered right after registration if window.PublicKeyCredential exists:</w:t>
      </w:r>
    </w:p>
    <w:p>
      <w:pPr>
        <w:pStyle w:val="ListParagraph"/>
        <w:numPr>
          <w:ilvl w:val="0"/>
          <w:numId w:val="3"/>
        </w:numPr>
        <w:spacing w:after="90" w:line="290"/>
      </w:pPr>
      <w:r>
        <w:rPr>
          <w:color w:val="0F172A"/>
          <w:sz w:val="22"/>
          <w:szCs w:val="22"/>
        </w:rPr>
        <w:t xml:space="preserve">WebAuthn platform passkey — navigator.credentials.create() registers a platform authenticator (fingerprint/face/device PIN, whichever the OS provides) with algorithm preferences ES256 (-7) and RS256 (-257), authenticatorAttachment:'platform', userVerification:'required'. The resulting credential's rawId is base64-encoded and stored as user.credentialId with bioType:'webauthn'. Requires HTTPS or localhost.</w:t>
      </w:r>
    </w:p>
    <w:p>
      <w:pPr>
        <w:pStyle w:val="ListParagraph"/>
        <w:numPr>
          <w:ilvl w:val="0"/>
          <w:numId w:val="3"/>
        </w:numPr>
        <w:spacing w:after="90" w:line="290"/>
      </w:pPr>
      <w:r>
        <w:rPr>
          <w:color w:val="0F172A"/>
          <w:sz w:val="22"/>
          <w:szCs w:val="22"/>
        </w:rPr>
        <w:t xml:space="preserve">PIN fallback — if WebAuthn is unavailable or fails, the user is prompted (via window.prompt) for a 4–8 digit PIN. A simple non-cryptographic string hash (bitwise-shift accumulator, not a real KDF) of pin + '::' + username + '::attendx_salt_v1' is stored as user.credentialId with bioType:'pin'.</w:t>
      </w:r>
    </w:p>
    <w:p>
      <w:pPr>
        <w:spacing w:after="160" w:line="300"/>
      </w:pPr>
      <w:r>
        <w:rPr>
          <w:color w:val="0F172A"/>
          <w:sz w:val="22"/>
          <w:szCs w:val="22"/>
        </w:rPr>
        <w:t xml:space="preserve">Auth.biometric() (invoked from the login screen) tries WebAuthn verification first for any WebAuthn-registered users, then falls back to prompting for the shared PIN and checking it against every PIN-registered user's stored hash.</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Security: </w:t>
            </w:r>
            <w:r>
              <w:rPr>
                <w:color w:val="0F172A"/>
                <w:sz w:val="21"/>
                <w:szCs w:val="21"/>
              </w:rPr>
              <w:t xml:space="preserve">The PIN hash function is a toy 32-bit rolling hash, not a cryptographic hash — it provides only casual protection against someone glancing at localStorage, not a real security guarantee against a determined attacker with local storage access.</w:t>
            </w:r>
          </w:p>
        </w:tc>
      </w:tr>
    </w:tbl>
    <w:p>
      <w:pPr>
        <w:pStyle w:val="Heading1"/>
        <w:spacing w:after="200" w:before="400"/>
      </w:pPr>
      <w:r>
        <w:rPr>
          <w:b/>
          <w:bCs/>
          <w:color w:val="2563EB"/>
          <w:sz w:val="32"/>
          <w:szCs w:val="32"/>
        </w:rPr>
        <w:t xml:space="preserve">11. Role-Based Access Control</w:t>
      </w:r>
    </w:p>
    <w:p>
      <w:pPr>
        <w:spacing w:after="160" w:line="300"/>
      </w:pPr>
      <w:r>
        <w:rPr>
          <w:color w:val="0F172A"/>
          <w:sz w:val="22"/>
          <w:szCs w:val="22"/>
        </w:rPr>
        <w:t xml:space="preserve">Two roles: admin and teacher. applyRolePermissions() runs after most view renders and toggles the visibility of admin-only controls: the Manage tile, individual record delete buttons, and the Records “Clear All” button. App.openView('manage') additionally hard-blocks non-admins with a toast + redirect Home.</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Security: </w:t>
            </w:r>
            <w:r>
              <w:rPr>
                <w:color w:val="0F172A"/>
                <w:sz w:val="21"/>
                <w:szCs w:val="21"/>
              </w:rPr>
              <w:t xml:space="preserve">This is purely a client-side UI guard. Since the entire dataset lives in the browser's own localStorage and there is no server-side session/authorization check on the GAS endpoints as used by this client, a technically capable user could open devtools and call any API action directly, or edit localStorage, bypassing the role check entirely. Treat the admin/teacher distinction as a UX affordance, not an access-control boundary — do not rely on it to protect sensitive data in a multi-tenant or adversarial deployment.</w:t>
            </w:r>
          </w:p>
        </w:tc>
      </w:tr>
    </w:tbl>
    <w:p>
      <w:pPr>
        <w:pStyle w:val="Heading1"/>
        <w:spacing w:after="200" w:before="400"/>
      </w:pPr>
      <w:r>
        <w:rPr>
          <w:b/>
          <w:bCs/>
          <w:color w:val="2563EB"/>
          <w:sz w:val="32"/>
          <w:szCs w:val="32"/>
        </w:rPr>
        <w:t xml:space="preserve">12. Client-Side Routing / History Handling</w:t>
      </w:r>
    </w:p>
    <w:p>
      <w:pPr>
        <w:spacing w:after="160" w:line="300"/>
      </w:pPr>
      <w:r>
        <w:rPr>
          <w:color w:val="0F172A"/>
          <w:sz w:val="22"/>
          <w:szCs w:val="22"/>
        </w:rPr>
        <w:t xml:space="preserve">App.openView(id) / App.goHome() act as a minimal router: they toggle the .active view element, update the topbar title, rebuild the class-chip selector, and call the appropriate module's render(). Each call also pushes a History API state entry ({axView:id} or {axView:null}) unless it originated from a popstate event itself (tracked via a fromPop flag, to avoid a push/pop feedback loop).</w:t>
      </w:r>
    </w:p>
    <w:p>
      <w:pPr>
        <w:spacing w:after="160" w:line="300"/>
      </w:pPr>
      <w:r>
        <w:rPr>
          <w:color w:val="0F172A"/>
          <w:sz w:val="22"/>
          <w:szCs w:val="22"/>
        </w:rPr>
        <w:t xml:space="preserve">A single window 'popstate' listener re-opens whatever view is recorded in event.state, or returns Home if state is null. This makes the mobile/browser hardware back button step back through in-app views one at a time — matching native app back-navigation — instead of immediately exiting the PWA on the first back-press. The listener is a no-op while signed out.</w:t>
      </w:r>
    </w:p>
    <w:p>
      <w:pPr>
        <w:pStyle w:val="Heading1"/>
        <w:spacing w:after="200" w:before="400"/>
      </w:pPr>
      <w:r>
        <w:rPr>
          <w:b/>
          <w:bCs/>
          <w:color w:val="2563EB"/>
          <w:sz w:val="32"/>
          <w:szCs w:val="32"/>
        </w:rPr>
        <w:t xml:space="preserve">13. Module Reference</w:t>
      </w:r>
    </w:p>
    <w:p>
      <w:pPr>
        <w:spacing w:after="160" w:line="300"/>
      </w:pPr>
      <w:r>
        <w:rPr>
          <w:color w:val="0F172A"/>
          <w:sz w:val="22"/>
          <w:szCs w:val="22"/>
        </w:rPr>
        <w:t xml:space="preserve">Summary of every top-level module/object in the script, in source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563EB" w:val="clear"/>
            <w:tcMar>
              <w:top w:type="dxa" w:w="90"/>
              <w:left w:type="dxa" w:w="100"/>
              <w:bottom w:type="dxa" w:w="90"/>
              <w:right w:type="dxa" w:w="100"/>
            </w:tcMar>
          </w:tcPr>
          <w:p>
            <w:r>
              <w:rPr>
                <w:b/>
                <w:bCs/>
                <w:color w:val="FFFFFF"/>
                <w:sz w:val="20"/>
                <w:szCs w:val="20"/>
              </w:rPr>
              <w:t xml:space="preserve">Module</w:t>
            </w:r>
          </w:p>
        </w:tc>
        <w:tc>
          <w:tcPr>
            <w:tcW w:type="dxa" w:w="6900"/>
            <w:shd w:fill="2563EB" w:val="clear"/>
            <w:tcMar>
              <w:top w:type="dxa" w:w="90"/>
              <w:left w:type="dxa" w:w="100"/>
              <w:bottom w:type="dxa" w:w="90"/>
              <w:right w:type="dxa" w:w="100"/>
            </w:tcMar>
          </w:tcPr>
          <w:p>
            <w:r>
              <w:rPr>
                <w:b/>
                <w:bCs/>
                <w:color w:val="FFFFFF"/>
                <w:sz w:val="20"/>
                <w:szCs w:val="20"/>
              </w:rPr>
              <w:t xml:space="preserve">Responsibility</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DB</w:t>
            </w:r>
          </w:p>
        </w:tc>
        <w:tc>
          <w:tcPr>
            <w:tcW w:type="dxa" w:w="6900"/>
            <w:shd w:fill="F8FAFC" w:val="clear"/>
            <w:tcMar>
              <w:top w:type="dxa" w:w="80"/>
              <w:left w:type="dxa" w:w="100"/>
              <w:bottom w:type="dxa" w:w="80"/>
              <w:right w:type="dxa" w:w="100"/>
            </w:tcMar>
          </w:tcPr>
          <w:p>
            <w:r>
              <w:rPr>
                <w:color w:val="0F172A"/>
                <w:sz w:val="19"/>
                <w:szCs w:val="19"/>
              </w:rPr>
              <w:t xml:space="preserve">localStorage get/set/remove wrapper, namespaced 'ax2_'.</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State</w:t>
            </w:r>
          </w:p>
        </w:tc>
        <w:tc>
          <w:tcPr>
            <w:tcW w:type="dxa" w:w="6900"/>
            <w:shd w:fill="FFFFFF" w:val="clear"/>
            <w:tcMar>
              <w:top w:type="dxa" w:w="80"/>
              <w:left w:type="dxa" w:w="100"/>
              <w:bottom w:type="dxa" w:w="80"/>
              <w:right w:type="dxa" w:w="100"/>
            </w:tcMar>
          </w:tcPr>
          <w:p>
            <w:r>
              <w:rPr>
                <w:color w:val="0F172A"/>
                <w:sz w:val="19"/>
                <w:szCs w:val="19"/>
              </w:rPr>
              <w:t xml:space="preserve">Single in-memory source of truth for the session.</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API</w:t>
            </w:r>
          </w:p>
        </w:tc>
        <w:tc>
          <w:tcPr>
            <w:tcW w:type="dxa" w:w="6900"/>
            <w:shd w:fill="F8FAFC" w:val="clear"/>
            <w:tcMar>
              <w:top w:type="dxa" w:w="80"/>
              <w:left w:type="dxa" w:w="100"/>
              <w:bottom w:type="dxa" w:w="80"/>
              <w:right w:type="dxa" w:w="100"/>
            </w:tcMar>
          </w:tcPr>
          <w:p>
            <w:r>
              <w:rPr>
                <w:color w:val="0F172A"/>
                <w:sz w:val="19"/>
                <w:szCs w:val="19"/>
              </w:rPr>
              <w:t xml:space="preserve">fetch() wrapper for the Google Apps Script backend.</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Modals / Confirm</w:t>
            </w:r>
          </w:p>
        </w:tc>
        <w:tc>
          <w:tcPr>
            <w:tcW w:type="dxa" w:w="6900"/>
            <w:shd w:fill="FFFFFF" w:val="clear"/>
            <w:tcMar>
              <w:top w:type="dxa" w:w="80"/>
              <w:left w:type="dxa" w:w="100"/>
              <w:bottom w:type="dxa" w:w="80"/>
              <w:right w:type="dxa" w:w="100"/>
            </w:tcMar>
          </w:tcPr>
          <w:p>
            <w:r>
              <w:rPr>
                <w:color w:val="0F172A"/>
                <w:sz w:val="19"/>
                <w:szCs w:val="19"/>
              </w:rPr>
              <w:t xml:space="preserve">Generic open/close for modal overlays; reusable confirm dialog.</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Auth</w:t>
            </w:r>
          </w:p>
        </w:tc>
        <w:tc>
          <w:tcPr>
            <w:tcW w:type="dxa" w:w="6900"/>
            <w:shd w:fill="F8FAFC" w:val="clear"/>
            <w:tcMar>
              <w:top w:type="dxa" w:w="80"/>
              <w:left w:type="dxa" w:w="100"/>
              <w:bottom w:type="dxa" w:w="80"/>
              <w:right w:type="dxa" w:w="100"/>
            </w:tcMar>
          </w:tcPr>
          <w:p>
            <w:r>
              <w:rPr>
                <w:color w:val="0F172A"/>
                <w:sz w:val="19"/>
                <w:szCs w:val="19"/>
              </w:rPr>
              <w:t xml:space="preserve">Registration, login, sessions, biometric/PIN 2FA, boot sequence.</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SetupWizard</w:t>
            </w:r>
          </w:p>
        </w:tc>
        <w:tc>
          <w:tcPr>
            <w:tcW w:type="dxa" w:w="6900"/>
            <w:shd w:fill="FFFFFF" w:val="clear"/>
            <w:tcMar>
              <w:top w:type="dxa" w:w="80"/>
              <w:left w:type="dxa" w:w="100"/>
              <w:bottom w:type="dxa" w:w="80"/>
              <w:right w:type="dxa" w:w="100"/>
            </w:tcMar>
          </w:tcPr>
          <w:p>
            <w:r>
              <w:rPr>
                <w:color w:val="0F172A"/>
                <w:sz w:val="19"/>
                <w:szCs w:val="19"/>
              </w:rPr>
              <w:t xml:space="preserve">First-run 3-step institution/branch setup for new Admins.</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App</w:t>
            </w:r>
          </w:p>
        </w:tc>
        <w:tc>
          <w:tcPr>
            <w:tcW w:type="dxa" w:w="6900"/>
            <w:shd w:fill="F8FAFC" w:val="clear"/>
            <w:tcMar>
              <w:top w:type="dxa" w:w="80"/>
              <w:left w:type="dxa" w:w="100"/>
              <w:bottom w:type="dxa" w:w="80"/>
              <w:right w:type="dxa" w:w="100"/>
            </w:tcMar>
          </w:tcPr>
          <w:p>
            <w:r>
              <w:rPr>
                <w:color w:val="0F172A"/>
                <w:sz w:val="19"/>
                <w:szCs w:val="19"/>
              </w:rPr>
              <w:t xml:space="preserve">View router: openView/goHome, class-chip selector, history integration.</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TeacherAnalytics</w:t>
            </w:r>
          </w:p>
        </w:tc>
        <w:tc>
          <w:tcPr>
            <w:tcW w:type="dxa" w:w="6900"/>
            <w:shd w:fill="FFFFFF" w:val="clear"/>
            <w:tcMar>
              <w:top w:type="dxa" w:w="80"/>
              <w:left w:type="dxa" w:w="100"/>
              <w:bottom w:type="dxa" w:w="80"/>
              <w:right w:type="dxa" w:w="100"/>
            </w:tcMar>
          </w:tcPr>
          <w:p>
            <w:r>
              <w:rPr>
                <w:color w:val="0F172A"/>
                <w:sz w:val="19"/>
                <w:szCs w:val="19"/>
              </w:rPr>
              <w:t xml:space="preserve">Home-screen summary stat cards shown to Teacher role only.</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BackupEngine</w:t>
            </w:r>
          </w:p>
        </w:tc>
        <w:tc>
          <w:tcPr>
            <w:tcW w:type="dxa" w:w="6900"/>
            <w:shd w:fill="F8FAFC" w:val="clear"/>
            <w:tcMar>
              <w:top w:type="dxa" w:w="80"/>
              <w:left w:type="dxa" w:w="100"/>
              <w:bottom w:type="dxa" w:w="80"/>
              <w:right w:type="dxa" w:w="100"/>
            </w:tcMar>
          </w:tcPr>
          <w:p>
            <w:r>
              <w:rPr>
                <w:color w:val="0F172A"/>
                <w:sz w:val="19"/>
                <w:szCs w:val="19"/>
              </w:rPr>
              <w:t xml:space="preserve">Manual full-dataset JSON export/import.</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Subjects</w:t>
            </w:r>
          </w:p>
        </w:tc>
        <w:tc>
          <w:tcPr>
            <w:tcW w:type="dxa" w:w="6900"/>
            <w:shd w:fill="FFFFFF" w:val="clear"/>
            <w:tcMar>
              <w:top w:type="dxa" w:w="80"/>
              <w:left w:type="dxa" w:w="100"/>
              <w:bottom w:type="dxa" w:w="80"/>
              <w:right w:type="dxa" w:w="100"/>
            </w:tcMar>
          </w:tcPr>
          <w:p>
            <w:r>
              <w:rPr>
                <w:color w:val="0F172A"/>
                <w:sz w:val="19"/>
                <w:szCs w:val="19"/>
              </w:rPr>
              <w:t xml:space="preserve">CRUD for the legacy free-text subject list.</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ManageView</w:t>
            </w:r>
          </w:p>
        </w:tc>
        <w:tc>
          <w:tcPr>
            <w:tcW w:type="dxa" w:w="6900"/>
            <w:shd w:fill="F8FAFC" w:val="clear"/>
            <w:tcMar>
              <w:top w:type="dxa" w:w="80"/>
              <w:left w:type="dxa" w:w="100"/>
              <w:bottom w:type="dxa" w:w="80"/>
              <w:right w:type="dxa" w:w="100"/>
            </w:tcMar>
          </w:tcPr>
          <w:p>
            <w:r>
              <w:rPr>
                <w:color w:val="0F172A"/>
                <w:sz w:val="19"/>
                <w:szCs w:val="19"/>
              </w:rPr>
              <w:t xml:space="preserve">Admin console shell: tab switching across Manage sub-sections.</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Classes</w:t>
            </w:r>
          </w:p>
        </w:tc>
        <w:tc>
          <w:tcPr>
            <w:tcW w:type="dxa" w:w="6900"/>
            <w:shd w:fill="FFFFFF" w:val="clear"/>
            <w:tcMar>
              <w:top w:type="dxa" w:w="80"/>
              <w:left w:type="dxa" w:w="100"/>
              <w:bottom w:type="dxa" w:w="80"/>
              <w:right w:type="dxa" w:w="100"/>
            </w:tcMar>
          </w:tcPr>
          <w:p>
            <w:r>
              <w:rPr>
                <w:color w:val="0F172A"/>
                <w:sz w:val="19"/>
                <w:szCs w:val="19"/>
              </w:rPr>
              <w:t xml:space="preserve">CRUD for class/section records, enforces the 3-class Free-plan cap.</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Register</w:t>
            </w:r>
          </w:p>
        </w:tc>
        <w:tc>
          <w:tcPr>
            <w:tcW w:type="dxa" w:w="6900"/>
            <w:shd w:fill="F8FAFC" w:val="clear"/>
            <w:tcMar>
              <w:top w:type="dxa" w:w="80"/>
              <w:left w:type="dxa" w:w="100"/>
              <w:bottom w:type="dxa" w:w="80"/>
              <w:right w:type="dxa" w:w="100"/>
            </w:tcMar>
          </w:tcPr>
          <w:p>
            <w:r>
              <w:rPr>
                <w:color w:val="0F172A"/>
                <w:sz w:val="19"/>
                <w:szCs w:val="19"/>
              </w:rPr>
              <w:t xml:space="preserve">Attendance-marking screen: mark/submit/edit a session.</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Students</w:t>
            </w:r>
          </w:p>
        </w:tc>
        <w:tc>
          <w:tcPr>
            <w:tcW w:type="dxa" w:w="6900"/>
            <w:shd w:fill="FFFFFF" w:val="clear"/>
            <w:tcMar>
              <w:top w:type="dxa" w:w="80"/>
              <w:left w:type="dxa" w:w="100"/>
              <w:bottom w:type="dxa" w:w="80"/>
              <w:right w:type="dxa" w:w="100"/>
            </w:tcMar>
          </w:tcPr>
          <w:p>
            <w:r>
              <w:rPr>
                <w:color w:val="0F172A"/>
                <w:sz w:val="19"/>
                <w:szCs w:val="19"/>
              </w:rPr>
              <w:t xml:space="preserve">Roster CRUD, CSV import, search, A–Z grouping.</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Records</w:t>
            </w:r>
          </w:p>
        </w:tc>
        <w:tc>
          <w:tcPr>
            <w:tcW w:type="dxa" w:w="6900"/>
            <w:shd w:fill="F8FAFC" w:val="clear"/>
            <w:tcMar>
              <w:top w:type="dxa" w:w="80"/>
              <w:left w:type="dxa" w:w="100"/>
              <w:bottom w:type="dxa" w:w="80"/>
              <w:right w:type="dxa" w:w="100"/>
            </w:tcMar>
          </w:tcPr>
          <w:p>
            <w:r>
              <w:rPr>
                <w:color w:val="0F172A"/>
                <w:sz w:val="19"/>
                <w:szCs w:val="19"/>
              </w:rPr>
              <w:t xml:space="preserve">Read view of saved attendance sessions, edit/delete entry points.</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ExportEngine</w:t>
            </w:r>
          </w:p>
        </w:tc>
        <w:tc>
          <w:tcPr>
            <w:tcW w:type="dxa" w:w="6900"/>
            <w:shd w:fill="FFFFFF" w:val="clear"/>
            <w:tcMar>
              <w:top w:type="dxa" w:w="80"/>
              <w:left w:type="dxa" w:w="100"/>
              <w:bottom w:type="dxa" w:w="80"/>
              <w:right w:type="dxa" w:w="100"/>
            </w:tcMar>
          </w:tcPr>
          <w:p>
            <w:r>
              <w:rPr>
                <w:color w:val="0F172A"/>
                <w:sz w:val="19"/>
                <w:szCs w:val="19"/>
              </w:rPr>
              <w:t xml:space="preserve">Builds and downloads CSV exports (session/summary/date-range).</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Analytics</w:t>
            </w:r>
          </w:p>
        </w:tc>
        <w:tc>
          <w:tcPr>
            <w:tcW w:type="dxa" w:w="6900"/>
            <w:shd w:fill="F8FAFC" w:val="clear"/>
            <w:tcMar>
              <w:top w:type="dxa" w:w="80"/>
              <w:left w:type="dxa" w:w="100"/>
              <w:bottom w:type="dxa" w:w="80"/>
              <w:right w:type="dxa" w:w="100"/>
            </w:tcMar>
          </w:tcPr>
          <w:p>
            <w:r>
              <w:rPr>
                <w:color w:val="0F172A"/>
                <w:sz w:val="19"/>
                <w:szCs w:val="19"/>
              </w:rPr>
              <w:t xml:space="preserve">Per-student % table + hand-rolled SVG bar charts for the active class.</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SubjectReport</w:t>
            </w:r>
          </w:p>
        </w:tc>
        <w:tc>
          <w:tcPr>
            <w:tcW w:type="dxa" w:w="6900"/>
            <w:shd w:fill="FFFFFF" w:val="clear"/>
            <w:tcMar>
              <w:top w:type="dxa" w:w="80"/>
              <w:left w:type="dxa" w:w="100"/>
              <w:bottom w:type="dxa" w:w="80"/>
              <w:right w:type="dxa" w:w="100"/>
            </w:tcMar>
          </w:tcPr>
          <w:p>
            <w:r>
              <w:rPr>
                <w:color w:val="0F172A"/>
                <w:sz w:val="19"/>
                <w:szCs w:val="19"/>
              </w:rPr>
              <w:t xml:space="preserve">Subject-wise attendance breakdown and charts.</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AlertsView</w:t>
            </w:r>
          </w:p>
        </w:tc>
        <w:tc>
          <w:tcPr>
            <w:tcW w:type="dxa" w:w="6900"/>
            <w:shd w:fill="F8FAFC" w:val="clear"/>
            <w:tcMar>
              <w:top w:type="dxa" w:w="80"/>
              <w:left w:type="dxa" w:w="100"/>
              <w:bottom w:type="dxa" w:w="80"/>
              <w:right w:type="dxa" w:w="100"/>
            </w:tcMar>
          </w:tcPr>
          <w:p>
            <w:r>
              <w:rPr>
                <w:color w:val="0F172A"/>
                <w:sz w:val="19"/>
                <w:szCs w:val="19"/>
              </w:rPr>
              <w:t xml:space="preserve">Surfaces at-risk / recently-absent students for follow-up.</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Notices</w:t>
            </w:r>
          </w:p>
        </w:tc>
        <w:tc>
          <w:tcPr>
            <w:tcW w:type="dxa" w:w="6900"/>
            <w:shd w:fill="FFFFFF" w:val="clear"/>
            <w:tcMar>
              <w:top w:type="dxa" w:w="80"/>
              <w:left w:type="dxa" w:w="100"/>
              <w:bottom w:type="dxa" w:w="80"/>
              <w:right w:type="dxa" w:w="100"/>
            </w:tcMar>
          </w:tcPr>
          <w:p>
            <w:r>
              <w:rPr>
                <w:color w:val="0F172A"/>
                <w:sz w:val="19"/>
                <w:szCs w:val="19"/>
              </w:rPr>
              <w:t xml:space="preserve">Notice-board list, post/edit/delete, unread badge, attachments.</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SubjectMaster</w:t>
            </w:r>
          </w:p>
        </w:tc>
        <w:tc>
          <w:tcPr>
            <w:tcW w:type="dxa" w:w="6900"/>
            <w:shd w:fill="F8FAFC" w:val="clear"/>
            <w:tcMar>
              <w:top w:type="dxa" w:w="80"/>
              <w:left w:type="dxa" w:w="100"/>
              <w:bottom w:type="dxa" w:w="80"/>
              <w:right w:type="dxa" w:w="100"/>
            </w:tcMar>
          </w:tcPr>
          <w:p>
            <w:r>
              <w:rPr>
                <w:color w:val="0F172A"/>
                <w:sz w:val="19"/>
                <w:szCs w:val="19"/>
              </w:rPr>
              <w:t xml:space="preserve">Manage-view CRUD for the detailed subject master list.</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uploadMasterDataCSV()</w:t>
            </w:r>
          </w:p>
        </w:tc>
        <w:tc>
          <w:tcPr>
            <w:tcW w:type="dxa" w:w="6900"/>
            <w:shd w:fill="FFFFFF" w:val="clear"/>
            <w:tcMar>
              <w:top w:type="dxa" w:w="80"/>
              <w:left w:type="dxa" w:w="100"/>
              <w:bottom w:type="dxa" w:w="80"/>
              <w:right w:type="dxa" w:w="100"/>
            </w:tcMar>
          </w:tcPr>
          <w:p>
            <w:r>
              <w:rPr>
                <w:color w:val="0F172A"/>
                <w:sz w:val="19"/>
                <w:szCs w:val="19"/>
              </w:rPr>
              <w:t xml:space="preserve">Generic CSV importer for category/sub-category/sub-sub-category data.</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Alerts</w:t>
            </w:r>
          </w:p>
        </w:tc>
        <w:tc>
          <w:tcPr>
            <w:tcW w:type="dxa" w:w="6900"/>
            <w:shd w:fill="F8FAFC" w:val="clear"/>
            <w:tcMar>
              <w:top w:type="dxa" w:w="80"/>
              <w:left w:type="dxa" w:w="100"/>
              <w:bottom w:type="dxa" w:w="80"/>
              <w:right w:type="dxa" w:w="100"/>
            </w:tcMar>
          </w:tcPr>
          <w:p>
            <w:r>
              <w:rPr>
                <w:color w:val="0F172A"/>
                <w:sz w:val="19"/>
                <w:szCs w:val="19"/>
              </w:rPr>
              <w:t xml:space="preserve">Builds absence/monthly parent-notice message previews.</w:t>
            </w:r>
          </w:p>
        </w:tc>
      </w:tr>
      <w:tr>
        <w:tc>
          <w:tcPr>
            <w:tcW w:type="dxa" w:w="2600"/>
            <w:shd w:fill="FFFFFF"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ProfileModal</w:t>
            </w:r>
          </w:p>
        </w:tc>
        <w:tc>
          <w:tcPr>
            <w:tcW w:type="dxa" w:w="6900"/>
            <w:shd w:fill="FFFFFF" w:val="clear"/>
            <w:tcMar>
              <w:top w:type="dxa" w:w="80"/>
              <w:left w:type="dxa" w:w="100"/>
              <w:bottom w:type="dxa" w:w="80"/>
              <w:right w:type="dxa" w:w="100"/>
            </w:tcMar>
          </w:tcPr>
          <w:p>
            <w:r>
              <w:rPr>
                <w:color w:val="0F172A"/>
                <w:sz w:val="19"/>
                <w:szCs w:val="19"/>
              </w:rPr>
              <w:t xml:space="preserve">Self-service profile fields, theme switch, backup shortcuts, sign out.</w:t>
            </w:r>
          </w:p>
        </w:tc>
      </w:tr>
      <w:tr>
        <w:tc>
          <w:tcPr>
            <w:tcW w:type="dxa" w:w="2600"/>
            <w:shd w:fill="F8FAFC" w:val="clear"/>
            <w:tcMar>
              <w:top w:type="dxa" w:w="80"/>
              <w:left w:type="dxa" w:w="100"/>
              <w:bottom w:type="dxa" w:w="80"/>
              <w:right w:type="dxa" w:w="100"/>
            </w:tcMar>
          </w:tcPr>
          <w:p>
            <w:r>
              <w:rPr>
                <w:rFonts w:ascii="JetBrains Mono" w:cs="JetBrains Mono" w:eastAsia="JetBrains Mono" w:hAnsi="JetBrains Mono"/>
                <w:color w:val="0F172A"/>
                <w:sz w:val="19"/>
                <w:szCs w:val="19"/>
              </w:rPr>
              <w:t xml:space="preserve">InstallPrompt</w:t>
            </w:r>
          </w:p>
        </w:tc>
        <w:tc>
          <w:tcPr>
            <w:tcW w:type="dxa" w:w="6900"/>
            <w:shd w:fill="F8FAFC" w:val="clear"/>
            <w:tcMar>
              <w:top w:type="dxa" w:w="80"/>
              <w:left w:type="dxa" w:w="100"/>
              <w:bottom w:type="dxa" w:w="80"/>
              <w:right w:type="dxa" w:w="100"/>
            </w:tcMar>
          </w:tcPr>
          <w:p>
            <w:r>
              <w:rPr>
                <w:color w:val="0F172A"/>
                <w:sz w:val="19"/>
                <w:szCs w:val="19"/>
              </w:rPr>
              <w:t xml:space="preserve">Wraps beforeinstallprompt / iOS manual-install guidance.</w:t>
            </w:r>
          </w:p>
        </w:tc>
      </w:tr>
    </w:tbl>
    <w:p>
      <w:pPr>
        <w:pStyle w:val="Heading1"/>
        <w:spacing w:after="200" w:before="400"/>
      </w:pPr>
      <w:r>
        <w:rPr>
          <w:b/>
          <w:bCs/>
          <w:color w:val="2563EB"/>
          <w:sz w:val="32"/>
          <w:szCs w:val="32"/>
        </w:rPr>
        <w:t xml:space="preserve">14. UI &amp; Theming</w:t>
      </w:r>
    </w:p>
    <w:p>
      <w:pPr>
        <w:spacing w:after="160" w:line="300"/>
      </w:pPr>
      <w:r>
        <w:rPr>
          <w:color w:val="0F172A"/>
          <w:sz w:val="22"/>
          <w:szCs w:val="22"/>
        </w:rPr>
        <w:t xml:space="preserve">All colours, radii, and fonts are defined as CSS custom properties on :root, with a second set of overrides scoped to body[data-theme="light"] for light mode — ProfileModal.save() toggles this attribute and persists the choice per-user (user.theme). There is no CSS-in-JS or component styling system; all styling is global CSS selectors.</w:t>
      </w:r>
    </w:p>
    <w:p>
      <w:pPr>
        <w:pStyle w:val="ListParagraph"/>
        <w:numPr>
          <w:ilvl w:val="0"/>
          <w:numId w:val="2"/>
        </w:numPr>
        <w:spacing w:after="90" w:line="290"/>
      </w:pPr>
      <w:r>
        <w:rPr>
          <w:color w:val="0F172A"/>
          <w:sz w:val="22"/>
          <w:szCs w:val="22"/>
        </w:rPr>
        <w:t xml:space="preserve">Font stack: Inter (UI text), JetBrains Mono (code-like/monospace elements).</w:t>
      </w:r>
    </w:p>
    <w:p>
      <w:pPr>
        <w:pStyle w:val="ListParagraph"/>
        <w:numPr>
          <w:ilvl w:val="0"/>
          <w:numId w:val="2"/>
        </w:numPr>
        <w:spacing w:after="90" w:line="290"/>
      </w:pPr>
      <w:r>
        <w:rPr>
          <w:color w:val="0F172A"/>
          <w:sz w:val="22"/>
          <w:szCs w:val="22"/>
        </w:rPr>
        <w:t xml:space="preserve">Icons: Tabler Icons webfont, loaded from a CDN — requires network on first load (cached thereafter by the service worker's CDN cache-first rule).</w:t>
      </w:r>
    </w:p>
    <w:p>
      <w:pPr>
        <w:pStyle w:val="ListParagraph"/>
        <w:numPr>
          <w:ilvl w:val="0"/>
          <w:numId w:val="2"/>
        </w:numPr>
        <w:spacing w:after="90" w:line="290"/>
      </w:pPr>
      <w:r>
        <w:rPr>
          <w:color w:val="0F172A"/>
          <w:sz w:val="22"/>
          <w:szCs w:val="22"/>
        </w:rPr>
        <w:t xml:space="preserve">Charts: simple bar charts are hand-built as raw &lt;svg&gt; markup by JS (see Analytics/SubjectReport) rather than via a charting library — keeps the app dependency-free but means chart features are limited to what's been hand-coded.</w:t>
      </w:r>
    </w:p>
    <w:p>
      <w:pPr>
        <w:pStyle w:val="Heading1"/>
        <w:spacing w:after="200" w:before="400"/>
      </w:pPr>
      <w:r>
        <w:rPr>
          <w:b/>
          <w:bCs/>
          <w:color w:val="2563EB"/>
          <w:sz w:val="32"/>
          <w:szCs w:val="32"/>
        </w:rPr>
        <w:t xml:space="preserve">15. Business Rules &amp; Plan Limits</w:t>
      </w:r>
    </w:p>
    <w:p>
      <w:pPr>
        <w:pStyle w:val="ListParagraph"/>
        <w:numPr>
          <w:ilvl w:val="0"/>
          <w:numId w:val="2"/>
        </w:numPr>
        <w:spacing w:after="90" w:line="290"/>
      </w:pPr>
      <w:r>
        <w:rPr>
          <w:color w:val="0F172A"/>
          <w:sz w:val="22"/>
          <w:szCs w:val="22"/>
        </w:rPr>
        <w:t xml:space="preserve">Free plan: 1 active institution, 1 active branch, up to 3 classes per active institution+branch pair. Enforced client-side only in ManageView/Classes (maxFree/atLimit checks) — there is no server-side enforcement of these limits.</w:t>
      </w:r>
    </w:p>
    <w:p>
      <w:pPr>
        <w:pStyle w:val="ListParagraph"/>
        <w:numPr>
          <w:ilvl w:val="0"/>
          <w:numId w:val="2"/>
        </w:numPr>
        <w:spacing w:after="90" w:line="290"/>
      </w:pPr>
      <w:r>
        <w:rPr>
          <w:color w:val="0F172A"/>
          <w:sz w:val="22"/>
          <w:szCs w:val="22"/>
        </w:rPr>
        <w:t xml:space="preserve">Attendance threshold: State.threshold (default 75%) drives the “at risk” highlighting in Analytics and the monthly Alerts message wording; configurable but not extensively surfaced in the current UI beyond initial default.</w:t>
      </w:r>
    </w:p>
    <w:p>
      <w:pPr>
        <w:pStyle w:val="ListParagraph"/>
        <w:numPr>
          <w:ilvl w:val="0"/>
          <w:numId w:val="2"/>
        </w:numPr>
        <w:spacing w:after="90" w:line="290"/>
      </w:pPr>
      <w:r>
        <w:rPr>
          <w:color w:val="0F172A"/>
          <w:sz w:val="22"/>
          <w:szCs w:val="22"/>
        </w:rPr>
        <w:t xml:space="preserve">Attendance record identity: one record per (classId, date) pair; re-submitting the same date for the same class from Register overwrites the prior record for that date rather than creating a second one, when done via the Edit → resubmit flow using the same record id.</w:t>
      </w:r>
    </w:p>
    <w:p>
      <w:pPr>
        <w:pStyle w:val="Heading1"/>
        <w:spacing w:after="200" w:before="400"/>
      </w:pPr>
      <w:r>
        <w:rPr>
          <w:b/>
          <w:bCs/>
          <w:color w:val="2563EB"/>
          <w:sz w:val="32"/>
          <w:szCs w:val="32"/>
        </w:rPr>
        <w:t xml:space="preserve">16. Known Limitations &amp; Security Notes</w:t>
      </w:r>
    </w:p>
    <w:p>
      <w:pPr>
        <w:pStyle w:val="Heading3"/>
        <w:spacing w:after="100" w:before="200"/>
      </w:pPr>
      <w:r>
        <w:rPr>
          <w:b/>
          <w:bCs/>
          <w:color w:val="2563EB"/>
          <w:sz w:val="22"/>
          <w:szCs w:val="22"/>
        </w:rPr>
        <w:t xml:space="preserve">Security</w:t>
      </w:r>
    </w:p>
    <w:p>
      <w:pPr>
        <w:pStyle w:val="ListParagraph"/>
        <w:numPr>
          <w:ilvl w:val="0"/>
          <w:numId w:val="2"/>
        </w:numPr>
        <w:spacing w:after="90" w:line="290"/>
      </w:pPr>
      <w:r>
        <w:rPr>
          <w:color w:val="0F172A"/>
          <w:sz w:val="22"/>
          <w:szCs w:val="22"/>
        </w:rPr>
        <w:t xml:space="preserve">Passwords stored in plain text in localStorage (see Section 10) — recommend adding server-side auth with hashed credentials before any multi-user or internet-facing deployment beyond a single trusted device.</w:t>
      </w:r>
    </w:p>
    <w:p>
      <w:pPr>
        <w:pStyle w:val="ListParagraph"/>
        <w:numPr>
          <w:ilvl w:val="0"/>
          <w:numId w:val="2"/>
        </w:numPr>
        <w:spacing w:after="90" w:line="290"/>
      </w:pPr>
      <w:r>
        <w:rPr>
          <w:color w:val="0F172A"/>
          <w:sz w:val="22"/>
          <w:szCs w:val="22"/>
        </w:rPr>
        <w:t xml:space="preserve">PIN-based biometric fallback uses a non-cryptographic hash — adequate only as a casual local convenience gate.</w:t>
      </w:r>
    </w:p>
    <w:p>
      <w:pPr>
        <w:pStyle w:val="ListParagraph"/>
        <w:numPr>
          <w:ilvl w:val="0"/>
          <w:numId w:val="2"/>
        </w:numPr>
        <w:spacing w:after="90" w:line="290"/>
      </w:pPr>
      <w:r>
        <w:rPr>
          <w:color w:val="0F172A"/>
          <w:sz w:val="22"/>
          <w:szCs w:val="22"/>
        </w:rPr>
        <w:t xml:space="preserve">Role-based access control is UI-only (see Section 11); the GAS backend endpoints, as called by this client, are not shown to perform their own authorization checks from this codebase's perspective — verify and harden authorization at the Apps Script layer if sensitive data is involved.</w:t>
      </w:r>
    </w:p>
    <w:p>
      <w:pPr>
        <w:pStyle w:val="ListParagraph"/>
        <w:numPr>
          <w:ilvl w:val="0"/>
          <w:numId w:val="2"/>
        </w:numPr>
        <w:spacing w:after="90" w:line="290"/>
      </w:pPr>
      <w:r>
        <w:rPr>
          <w:color w:val="0F172A"/>
          <w:sz w:val="22"/>
          <w:szCs w:val="22"/>
        </w:rPr>
        <w:t xml:space="preserve">The Google Apps Script URL (GAS_URL) is a public, unauthenticated-looking endpoint embedded directly in client-side source — anyone who reads the page source can call it directly.</w:t>
      </w:r>
    </w:p>
    <w:p>
      <w:pPr>
        <w:pStyle w:val="Heading3"/>
        <w:spacing w:after="100" w:before="200"/>
      </w:pPr>
      <w:r>
        <w:rPr>
          <w:b/>
          <w:bCs/>
          <w:color w:val="2563EB"/>
          <w:sz w:val="22"/>
          <w:szCs w:val="22"/>
        </w:rPr>
        <w:t xml:space="preserve">Data integrity</w:t>
      </w:r>
    </w:p>
    <w:p>
      <w:pPr>
        <w:pStyle w:val="ListParagraph"/>
        <w:numPr>
          <w:ilvl w:val="0"/>
          <w:numId w:val="2"/>
        </w:numPr>
        <w:spacing w:after="90" w:line="290"/>
      </w:pPr>
      <w:r>
        <w:rPr>
          <w:color w:val="0F172A"/>
          <w:sz w:val="22"/>
          <w:szCs w:val="22"/>
        </w:rPr>
        <w:t xml:space="preserve">No conflict resolution between local and cloud writes; last write wins with no merge or version tracking.</w:t>
      </w:r>
    </w:p>
    <w:p>
      <w:pPr>
        <w:pStyle w:val="ListParagraph"/>
        <w:numPr>
          <w:ilvl w:val="0"/>
          <w:numId w:val="2"/>
        </w:numPr>
        <w:spacing w:after="90" w:line="290"/>
      </w:pPr>
      <w:r>
        <w:rPr>
          <w:color w:val="0F172A"/>
          <w:sz w:val="22"/>
          <w:szCs w:val="22"/>
        </w:rPr>
        <w:t xml:space="preserve">localStorage has practical size limits (commonly 5–10MB/origin); very large student/record datasets over a long institutional history could eventually hit this ceiling with no built-in warning beyond a silent try/catch failure in DB.set().</w:t>
      </w:r>
    </w:p>
    <w:p>
      <w:pPr>
        <w:pStyle w:val="ListParagraph"/>
        <w:numPr>
          <w:ilvl w:val="0"/>
          <w:numId w:val="2"/>
        </w:numPr>
        <w:spacing w:after="90" w:line="290"/>
      </w:pPr>
      <w:r>
        <w:rPr>
          <w:color w:val="0F172A"/>
          <w:sz w:val="22"/>
          <w:szCs w:val="22"/>
        </w:rPr>
        <w:t xml:space="preserve">Attendance cell data has two historical shapes (bare string vs {status,remark} object) — always read through attStatus()/attRemark(), never assume the raw shape.</w:t>
      </w:r>
    </w:p>
    <w:p>
      <w:pPr>
        <w:pStyle w:val="Heading3"/>
        <w:spacing w:after="100" w:before="200"/>
      </w:pPr>
      <w:r>
        <w:rPr>
          <w:b/>
          <w:bCs/>
          <w:color w:val="2563EB"/>
          <w:sz w:val="22"/>
          <w:szCs w:val="22"/>
        </w:rPr>
        <w:t xml:space="preserve">Feature flags / dormant code</w:t>
      </w:r>
    </w:p>
    <w:p>
      <w:pPr>
        <w:pStyle w:val="ListParagraph"/>
        <w:numPr>
          <w:ilvl w:val="0"/>
          <w:numId w:val="2"/>
        </w:numPr>
        <w:spacing w:after="90" w:line="290"/>
      </w:pPr>
      <w:r>
        <w:rPr>
          <w:color w:val="0F172A"/>
          <w:sz w:val="22"/>
          <w:szCs w:val="22"/>
        </w:rPr>
        <w:t xml:space="preserve">A “Bluetooth Attendance” entry point (linking to a bluetooth.html page) exists in the markup but is commented out and its target page is not part of this file set — treat as an inactive/planned feature, not a bug.</w:t>
      </w:r>
    </w:p>
    <w:p>
      <w:pPr>
        <w:pStyle w:val="Heading3"/>
        <w:spacing w:after="100" w:before="200"/>
      </w:pPr>
      <w:r>
        <w:rPr>
          <w:b/>
          <w:bCs/>
          <w:color w:val="2563EB"/>
          <w:sz w:val="22"/>
          <w:szCs w:val="22"/>
        </w:rPr>
        <w:t xml:space="preserve">CSV parsing</w:t>
      </w:r>
    </w:p>
    <w:p>
      <w:pPr>
        <w:pStyle w:val="ListParagraph"/>
        <w:numPr>
          <w:ilvl w:val="0"/>
          <w:numId w:val="2"/>
        </w:numPr>
        <w:spacing w:after="90" w:line="290"/>
      </w:pPr>
      <w:r>
        <w:rPr>
          <w:color w:val="0F172A"/>
          <w:sz w:val="22"/>
          <w:szCs w:val="22"/>
        </w:rPr>
        <w:t xml:space="preserve">Both the student importer and the master-data importer (uploadMasterDataCSV) split rows on a naive comma-split and do not handle quoted fields containing commas — values with embedded commas in a source spreadsheet will misalign columns on import.</w:t>
      </w:r>
    </w:p>
    <w:p>
      <w:pPr>
        <w:pStyle w:val="Heading1"/>
        <w:spacing w:after="200" w:before="400"/>
      </w:pPr>
      <w:r>
        <w:rPr>
          <w:b/>
          <w:bCs/>
          <w:color w:val="2563EB"/>
          <w:sz w:val="32"/>
          <w:szCs w:val="32"/>
        </w:rPr>
        <w:t xml:space="preserve">17. Deployment Notes</w:t>
      </w:r>
    </w:p>
    <w:p>
      <w:pPr>
        <w:pStyle w:val="ListParagraph"/>
        <w:numPr>
          <w:ilvl w:val="0"/>
          <w:numId w:val="3"/>
        </w:numPr>
        <w:spacing w:after="90" w:line="290"/>
      </w:pPr>
      <w:r>
        <w:rPr>
          <w:color w:val="0F172A"/>
          <w:sz w:val="22"/>
          <w:szCs w:val="22"/>
        </w:rPr>
        <w:t xml:space="preserve">Host index.html, manifest.json, and service-worker.js as static files at the root of your domain (service-worker.js is registered with scope '/', so it must be served from the root, not a sub-path, for the manifest's scope:'/' to work as intended).</w:t>
      </w:r>
    </w:p>
    <w:p>
      <w:pPr>
        <w:pStyle w:val="ListParagraph"/>
        <w:numPr>
          <w:ilvl w:val="0"/>
          <w:numId w:val="3"/>
        </w:numPr>
        <w:spacing w:after="90" w:line="290"/>
      </w:pPr>
      <w:r>
        <w:rPr>
          <w:color w:val="0F172A"/>
          <w:sz w:val="22"/>
          <w:szCs w:val="22"/>
        </w:rPr>
        <w:t xml:space="preserve">Ensure the site is served over HTTPS — required both for service worker registration in most browsers and for WebAuthn biometric login to function.</w:t>
      </w:r>
    </w:p>
    <w:p>
      <w:pPr>
        <w:pStyle w:val="ListParagraph"/>
        <w:numPr>
          <w:ilvl w:val="0"/>
          <w:numId w:val="3"/>
        </w:numPr>
        <w:spacing w:after="90" w:line="290"/>
      </w:pPr>
      <w:r>
        <w:rPr>
          <w:color w:val="0F172A"/>
          <w:sz w:val="22"/>
          <w:szCs w:val="22"/>
        </w:rPr>
        <w:t xml:space="preserve">Provide the icons referenced in manifest.json (icons/icon-192x192.png, icons/icon-512x512.png, icons/maskable-icon.png, plus the favicon referenced in &lt;head&gt;) at the expected paths.</w:t>
      </w:r>
    </w:p>
    <w:p>
      <w:pPr>
        <w:pStyle w:val="ListParagraph"/>
        <w:numPr>
          <w:ilvl w:val="0"/>
          <w:numId w:val="3"/>
        </w:numPr>
        <w:spacing w:after="90" w:line="290"/>
      </w:pPr>
      <w:r>
        <w:rPr>
          <w:color w:val="0F172A"/>
          <w:sz w:val="22"/>
          <w:szCs w:val="22"/>
        </w:rPr>
        <w:t xml:space="preserve">Deploy the companion Google Apps Script project as a Web App (execute as: Me / access: Anyone), and update the GAS_URL constant near the top of the inline &lt;script&gt; in index.html to match its deployment URL.</w:t>
      </w:r>
    </w:p>
    <w:p>
      <w:pPr>
        <w:pStyle w:val="ListParagraph"/>
        <w:numPr>
          <w:ilvl w:val="0"/>
          <w:numId w:val="3"/>
        </w:numPr>
        <w:spacing w:after="90" w:line="290"/>
      </w:pPr>
      <w:r>
        <w:rPr>
          <w:color w:val="0F172A"/>
          <w:sz w:val="22"/>
          <w:szCs w:val="22"/>
        </w:rPr>
        <w:t xml:space="preserve">Bump CACHE_NAME in service-worker.js on every release that changes any cached static asset, so returning users pick up the update instead of being served a stale cached shell.</w:t>
      </w:r>
    </w:p>
    <w:p>
      <w:pPr>
        <w:spacing w:after="300"/>
      </w:pPr>
    </w:p>
    <w:p>
      <w:pPr>
        <w:spacing w:before="400"/>
        <w:jc w:val="center"/>
      </w:pPr>
      <w:r>
        <w:rPr>
          <w:i/>
          <w:iCs/>
          <w:color w:val="64748B"/>
          <w:sz w:val="20"/>
          <w:szCs w:val="20"/>
        </w:rPr>
        <w:t xml:space="preserve">— End of Technical Documentation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2026-08-15T14:56:30.610Z</dcterms:created>
  <dcterms:modified xsi:type="dcterms:W3CDTF">2026-08-15T14:56:30.610Z</dcterms:modified>
</cp:coreProperties>
</file>

<file path=docProps/custom.xml><?xml version="1.0" encoding="utf-8"?>
<Properties xmlns="http://schemas.openxmlformats.org/officeDocument/2006/custom-properties" xmlns:vt="http://schemas.openxmlformats.org/officeDocument/2006/docPropsVTypes"/>
</file>