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2563EB"/>
          <w:sz w:val="72"/>
          <w:szCs w:val="72"/>
        </w:rPr>
        <w:t xml:space="preserve">AttendX</w:t>
      </w:r>
    </w:p>
    <w:p>
      <w:pPr>
        <w:spacing w:after="100" w:before="200"/>
        <w:jc w:val="center"/>
      </w:pPr>
      <w:r>
        <w:rPr>
          <w:b/>
          <w:bCs/>
          <w:color w:val="0F172A"/>
          <w:sz w:val="40"/>
          <w:szCs w:val="40"/>
        </w:rPr>
        <w:t xml:space="preserve">User Manual</w:t>
      </w:r>
    </w:p>
    <w:p>
      <w:pPr>
        <w:spacing w:after="800"/>
        <w:jc w:val="center"/>
      </w:pPr>
      <w:r>
        <w:rPr>
          <w:color w:val="64748B"/>
          <w:sz w:val="24"/>
          <w:szCs w:val="24"/>
        </w:rPr>
        <w:t xml:space="preserve">Attendance Tracking &amp; Management Portal — for Teachers &amp; Admins</w:t>
      </w:r>
    </w:p>
    <w:p>
      <w:pPr>
        <w:spacing w:after="60"/>
        <w:jc w:val="center"/>
      </w:pPr>
      <w:r>
        <w:rPr>
          <w:i/>
          <w:iCs/>
          <w:color w:val="64748B"/>
          <w:sz w:val="20"/>
          <w:szCs w:val="20"/>
        </w:rPr>
        <w:t xml:space="preserve">Progressive Web App (PWA) · Version 1.3.2</w:t>
      </w:r>
    </w:p>
    <w:p>
      <w:r>
        <w:br w:type="page"/>
      </w:r>
    </w:p>
    <w:p>
      <w:pPr>
        <w:pStyle w:val="Heading1"/>
        <w:spacing w:after="200" w:before="400"/>
      </w:pPr>
      <w:r>
        <w:rPr>
          <w:b/>
          <w:bCs/>
          <w:color w:val="2563EB"/>
          <w:sz w:val="32"/>
          <w:szCs w:val="32"/>
        </w:rPr>
        <w:t xml:space="preserve">Contents</w:t>
      </w:r>
    </w:p>
    <w:p>
      <w:pPr>
        <w:spacing w:after="160" w:line="300"/>
      </w:pPr>
      <w:r>
        <w:rPr>
          <w:color w:val="0F172A"/>
          <w:sz w:val="22"/>
          <w:szCs w:val="22"/>
        </w:rPr>
        <w:t xml:space="preserve">1. Introduction</w:t>
      </w:r>
    </w:p>
    <w:p>
      <w:pPr>
        <w:spacing w:after="160" w:line="300"/>
      </w:pPr>
      <w:r>
        <w:rPr>
          <w:color w:val="0F172A"/>
          <w:sz w:val="22"/>
          <w:szCs w:val="22"/>
        </w:rPr>
        <w:t xml:space="preserve">2. Installing AttendX on Your Device</w:t>
      </w:r>
    </w:p>
    <w:p>
      <w:pPr>
        <w:spacing w:after="160" w:line="300"/>
      </w:pPr>
      <w:r>
        <w:rPr>
          <w:color w:val="0F172A"/>
          <w:sz w:val="22"/>
          <w:szCs w:val="22"/>
        </w:rPr>
        <w:t xml:space="preserve">3. Creating an Account &amp; Signing In</w:t>
      </w:r>
    </w:p>
    <w:p>
      <w:pPr>
        <w:spacing w:after="160" w:line="300"/>
      </w:pPr>
      <w:r>
        <w:rPr>
          <w:color w:val="0F172A"/>
          <w:sz w:val="22"/>
          <w:szCs w:val="22"/>
        </w:rPr>
        <w:t xml:space="preserve">4. Biometric / PIN Login</w:t>
      </w:r>
    </w:p>
    <w:p>
      <w:pPr>
        <w:spacing w:after="160" w:line="300"/>
      </w:pPr>
      <w:r>
        <w:rPr>
          <w:color w:val="0F172A"/>
          <w:sz w:val="22"/>
          <w:szCs w:val="22"/>
        </w:rPr>
        <w:t xml:space="preserve">5. First-Time Setup (Admin)</w:t>
      </w:r>
    </w:p>
    <w:p>
      <w:pPr>
        <w:spacing w:after="160" w:line="300"/>
      </w:pPr>
      <w:r>
        <w:rPr>
          <w:color w:val="0F172A"/>
          <w:sz w:val="22"/>
          <w:szCs w:val="22"/>
        </w:rPr>
        <w:t xml:space="preserve">6. Home Screen Overview</w:t>
      </w:r>
    </w:p>
    <w:p>
      <w:pPr>
        <w:spacing w:after="160" w:line="300"/>
      </w:pPr>
      <w:r>
        <w:rPr>
          <w:color w:val="0F172A"/>
          <w:sz w:val="22"/>
          <w:szCs w:val="22"/>
        </w:rPr>
        <w:t xml:space="preserve">7. Marking Attendance</w:t>
      </w:r>
    </w:p>
    <w:p>
      <w:pPr>
        <w:spacing w:after="160" w:line="300"/>
      </w:pPr>
      <w:r>
        <w:rPr>
          <w:color w:val="0F172A"/>
          <w:sz w:val="22"/>
          <w:szCs w:val="22"/>
        </w:rPr>
        <w:t xml:space="preserve">8. Managing Students</w:t>
      </w:r>
    </w:p>
    <w:p>
      <w:pPr>
        <w:spacing w:after="160" w:line="300"/>
      </w:pPr>
      <w:r>
        <w:rPr>
          <w:color w:val="0F172A"/>
          <w:sz w:val="22"/>
          <w:szCs w:val="22"/>
        </w:rPr>
        <w:t xml:space="preserve">9. Viewing Attendance Records</w:t>
      </w:r>
    </w:p>
    <w:p>
      <w:pPr>
        <w:spacing w:after="160" w:line="300"/>
      </w:pPr>
      <w:r>
        <w:rPr>
          <w:color w:val="0F172A"/>
          <w:sz w:val="22"/>
          <w:szCs w:val="22"/>
        </w:rPr>
        <w:t xml:space="preserve">10. Analytics &amp; Subject Reports</w:t>
      </w:r>
    </w:p>
    <w:p>
      <w:pPr>
        <w:spacing w:after="160" w:line="300"/>
      </w:pPr>
      <w:r>
        <w:rPr>
          <w:color w:val="0F172A"/>
          <w:sz w:val="22"/>
          <w:szCs w:val="22"/>
        </w:rPr>
        <w:t xml:space="preserve">11. Sending Parent Alerts</w:t>
      </w:r>
    </w:p>
    <w:p>
      <w:pPr>
        <w:spacing w:after="160" w:line="300"/>
      </w:pPr>
      <w:r>
        <w:rPr>
          <w:color w:val="0F172A"/>
          <w:sz w:val="22"/>
          <w:szCs w:val="22"/>
        </w:rPr>
        <w:t xml:space="preserve">12. Notice Board</w:t>
      </w:r>
    </w:p>
    <w:p>
      <w:pPr>
        <w:spacing w:after="160" w:line="300"/>
      </w:pPr>
      <w:r>
        <w:rPr>
          <w:color w:val="0F172A"/>
          <w:sz w:val="22"/>
          <w:szCs w:val="22"/>
        </w:rPr>
        <w:t xml:space="preserve">13. Manage (Admin Only)</w:t>
      </w:r>
    </w:p>
    <w:p>
      <w:pPr>
        <w:spacing w:after="160" w:line="300"/>
      </w:pPr>
      <w:r>
        <w:rPr>
          <w:color w:val="0F172A"/>
          <w:sz w:val="22"/>
          <w:szCs w:val="22"/>
        </w:rPr>
        <w:t xml:space="preserve">14. Your Profile &amp; Settings</w:t>
      </w:r>
    </w:p>
    <w:p>
      <w:pPr>
        <w:spacing w:after="160" w:line="300"/>
      </w:pPr>
      <w:r>
        <w:rPr>
          <w:color w:val="0F172A"/>
          <w:sz w:val="22"/>
          <w:szCs w:val="22"/>
        </w:rPr>
        <w:t xml:space="preserve">15. Working Offline</w:t>
      </w:r>
    </w:p>
    <w:p>
      <w:pPr>
        <w:spacing w:after="160" w:line="300"/>
      </w:pPr>
      <w:r>
        <w:rPr>
          <w:color w:val="0F172A"/>
          <w:sz w:val="22"/>
          <w:szCs w:val="22"/>
        </w:rPr>
        <w:t xml:space="preserve">16. Roles: Admin vs Teacher</w:t>
      </w:r>
    </w:p>
    <w:p>
      <w:pPr>
        <w:spacing w:after="160" w:line="300"/>
      </w:pPr>
      <w:r>
        <w:rPr>
          <w:color w:val="0F172A"/>
          <w:sz w:val="22"/>
          <w:szCs w:val="22"/>
        </w:rPr>
        <w:t xml:space="preserve">17. Free Plan Limits</w:t>
      </w:r>
    </w:p>
    <w:p>
      <w:pPr>
        <w:spacing w:after="160" w:line="300"/>
      </w:pPr>
      <w:r>
        <w:rPr>
          <w:color w:val="0F172A"/>
          <w:sz w:val="22"/>
          <w:szCs w:val="22"/>
        </w:rPr>
        <w:t xml:space="preserve">18. Troubleshooting &amp; FAQ</w:t>
      </w:r>
    </w:p>
    <w:p>
      <w:r>
        <w:br w:type="page"/>
      </w:r>
    </w:p>
    <w:p>
      <w:pPr>
        <w:pStyle w:val="Heading1"/>
        <w:spacing w:after="200" w:before="400"/>
      </w:pPr>
      <w:r>
        <w:rPr>
          <w:b/>
          <w:bCs/>
          <w:color w:val="2563EB"/>
          <w:sz w:val="32"/>
          <w:szCs w:val="32"/>
        </w:rPr>
        <w:t xml:space="preserve">1. Introduction</w:t>
      </w:r>
    </w:p>
    <w:p>
      <w:pPr>
        <w:spacing w:after="160" w:line="300"/>
      </w:pPr>
      <w:r>
        <w:rPr>
          <w:color w:val="0F172A"/>
          <w:sz w:val="22"/>
          <w:szCs w:val="22"/>
        </w:rPr>
        <w:t xml:space="preserve">AttendX is a mobile-friendly attendance tracking app for schools, colleges, and coaching institutes. Teachers use it to mark daily attendance in seconds, while admins use it to set up institutions, classes, and student rosters, and to review attendance trends across the board.</w:t>
      </w:r>
    </w:p>
    <w:p>
      <w:pPr>
        <w:spacing w:after="160" w:line="300"/>
      </w:pPr>
      <w:r>
        <w:rPr>
          <w:color w:val="0F172A"/>
          <w:sz w:val="22"/>
          <w:szCs w:val="22"/>
        </w:rPr>
        <w:t xml:space="preserve">AttendX installs like a native app (no app-store download needed) and keeps working even when your internet connection drops — attendance you mark offline is saved on your device and quietly synced to the cloud the next time you're online.</w:t>
      </w:r>
    </w:p>
    <w:p>
      <w:pPr>
        <w:pStyle w:val="Heading3"/>
        <w:spacing w:after="100" w:before="200"/>
      </w:pPr>
      <w:r>
        <w:rPr>
          <w:b/>
          <w:bCs/>
          <w:color w:val="2563EB"/>
          <w:sz w:val="22"/>
          <w:szCs w:val="22"/>
        </w:rPr>
        <w:t xml:space="preserve">Who is this manual for?</w:t>
      </w:r>
    </w:p>
    <w:p>
      <w:pPr>
        <w:pStyle w:val="ListParagraph"/>
        <w:numPr>
          <w:ilvl w:val="0"/>
          <w:numId w:val="2"/>
        </w:numPr>
        <w:spacing w:after="90" w:line="290"/>
      </w:pPr>
      <w:r>
        <w:rPr>
          <w:color w:val="0F172A"/>
          <w:sz w:val="22"/>
          <w:szCs w:val="22"/>
        </w:rPr>
        <w:t xml:space="preserve">Teachers who need to mark attendance, view records, and check student attendance percentages.</w:t>
      </w:r>
    </w:p>
    <w:p>
      <w:pPr>
        <w:pStyle w:val="ListParagraph"/>
        <w:numPr>
          <w:ilvl w:val="0"/>
          <w:numId w:val="2"/>
        </w:numPr>
        <w:spacing w:after="90" w:line="290"/>
      </w:pPr>
      <w:r>
        <w:rPr>
          <w:color w:val="0F172A"/>
          <w:sz w:val="22"/>
          <w:szCs w:val="22"/>
        </w:rPr>
        <w:t xml:space="preserve">Admins/institution owners who set up institutions, branches, classes, student rosters, and manage master data.</w:t>
      </w:r>
    </w:p>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AttendX has two account roles — Admin and Teacher. Some screens described in this manual (like Manage) are visible to Admins only. See Section 16 for a full comparison.</w:t>
            </w:r>
          </w:p>
        </w:tc>
      </w:tr>
    </w:tbl>
    <w:p>
      <w:pPr>
        <w:pStyle w:val="Heading1"/>
        <w:spacing w:after="200" w:before="400"/>
      </w:pPr>
      <w:r>
        <w:rPr>
          <w:b/>
          <w:bCs/>
          <w:color w:val="2563EB"/>
          <w:sz w:val="32"/>
          <w:szCs w:val="32"/>
        </w:rPr>
        <w:t xml:space="preserve">2. Installing AttendX on Your Device</w:t>
      </w:r>
    </w:p>
    <w:p>
      <w:pPr>
        <w:spacing w:after="160" w:line="300"/>
      </w:pPr>
      <w:r>
        <w:rPr>
          <w:color w:val="0F172A"/>
          <w:sz w:val="22"/>
          <w:szCs w:val="22"/>
        </w:rPr>
        <w:t xml:space="preserve">AttendX is a Progressive Web App (PWA) — you install it straight from your browser, and it then behaves like a normal app: its own icon, full-screen window, and offline access.</w:t>
      </w:r>
    </w:p>
    <w:p>
      <w:pPr>
        <w:pStyle w:val="Heading2"/>
        <w:spacing w:after="150" w:before="300"/>
      </w:pPr>
      <w:r>
        <w:rPr>
          <w:b/>
          <w:bCs/>
          <w:color w:val="0F172A"/>
          <w:sz w:val="26"/>
          <w:szCs w:val="26"/>
        </w:rPr>
        <w:t xml:space="preserve">Android / Desktop Chrome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c>
          <w:tcPr>
            <w:tcW w:type="dxa" w:w="900"/>
            <w:shd w:fill="F8FAFC" w:val="clear"/>
            <w:tcMar>
              <w:top w:type="dxa" w:w="100"/>
              <w:left w:type="dxa" w:w="120"/>
              <w:bottom w:type="dxa" w:w="100"/>
              <w:right w:type="dxa" w:w="80"/>
            </w:tcMar>
          </w:tcPr>
          <w:p>
            <w:r>
              <w:rPr>
                <w:b/>
                <w:bCs/>
                <w:color w:val="2563EB"/>
                <w:sz w:val="22"/>
                <w:szCs w:val="22"/>
              </w:rPr>
              <w:t xml:space="preserve">1</w:t>
            </w:r>
          </w:p>
        </w:tc>
        <w:tc>
          <w:tcPr>
            <w:tcW w:type="dxa" w:w="8600"/>
            <w:shd w:fill="F8FAFC" w:val="clear"/>
            <w:tcMar>
              <w:top w:type="dxa" w:w="100"/>
              <w:left w:type="dxa" w:w="120"/>
              <w:bottom w:type="dxa" w:w="100"/>
              <w:right w:type="dxa" w:w="120"/>
            </w:tcMar>
          </w:tcPr>
          <w:p>
            <w:r>
              <w:rPr>
                <w:b/>
                <w:bCs/>
                <w:color w:val="0F172A"/>
                <w:sz w:val="22"/>
                <w:szCs w:val="22"/>
              </w:rPr>
              <w:t xml:space="preserve">Open AttendX in Chrome</w:t>
            </w:r>
          </w:p>
          <w:p>
            <w:pPr>
              <w:spacing w:before="40"/>
            </w:pPr>
            <w:r>
              <w:rPr>
                <w:color w:val="64748B"/>
                <w:sz w:val="20"/>
                <w:szCs w:val="20"/>
              </w:rPr>
              <w:t xml:space="preserve">Visit the AttendX web address in Chrome on your phone or computer.</w:t>
            </w:r>
          </w:p>
        </w:tc>
      </w:tr>
      <w:tr>
        <w:tc>
          <w:tcPr>
            <w:tcW w:type="dxa" w:w="900"/>
            <w:shd w:fill="FFFFFF" w:val="clear"/>
            <w:tcMar>
              <w:top w:type="dxa" w:w="100"/>
              <w:left w:type="dxa" w:w="120"/>
              <w:bottom w:type="dxa" w:w="100"/>
              <w:right w:type="dxa" w:w="80"/>
            </w:tcMar>
          </w:tcPr>
          <w:p>
            <w:r>
              <w:rPr>
                <w:b/>
                <w:bCs/>
                <w:color w:val="2563EB"/>
                <w:sz w:val="22"/>
                <w:szCs w:val="22"/>
              </w:rPr>
              <w:t xml:space="preserve">2</w:t>
            </w:r>
          </w:p>
        </w:tc>
        <w:tc>
          <w:tcPr>
            <w:tcW w:type="dxa" w:w="8600"/>
            <w:shd w:fill="FFFFFF" w:val="clear"/>
            <w:tcMar>
              <w:top w:type="dxa" w:w="100"/>
              <w:left w:type="dxa" w:w="120"/>
              <w:bottom w:type="dxa" w:w="100"/>
              <w:right w:type="dxa" w:w="120"/>
            </w:tcMar>
          </w:tcPr>
          <w:p>
            <w:r>
              <w:rPr>
                <w:b/>
                <w:bCs/>
                <w:color w:val="0F172A"/>
                <w:sz w:val="22"/>
                <w:szCs w:val="22"/>
              </w:rPr>
              <w:t xml:space="preserve">Look for the install prompt</w:t>
            </w:r>
          </w:p>
          <w:p>
            <w:pPr>
              <w:spacing w:before="40"/>
            </w:pPr>
            <w:r>
              <w:rPr>
                <w:color w:val="64748B"/>
                <w:sz w:val="20"/>
                <w:szCs w:val="20"/>
              </w:rPr>
              <w:t xml:space="preserve">After you sign in, AttendX shows an “Install AttendX” card automatically. You can also tap the “Install App” button on the Home screen.</w:t>
            </w:r>
          </w:p>
        </w:tc>
      </w:tr>
      <w:tr>
        <w:tc>
          <w:tcPr>
            <w:tcW w:type="dxa" w:w="900"/>
            <w:shd w:fill="F8FAFC" w:val="clear"/>
            <w:tcMar>
              <w:top w:type="dxa" w:w="100"/>
              <w:left w:type="dxa" w:w="120"/>
              <w:bottom w:type="dxa" w:w="100"/>
              <w:right w:type="dxa" w:w="80"/>
            </w:tcMar>
          </w:tcPr>
          <w:p>
            <w:r>
              <w:rPr>
                <w:b/>
                <w:bCs/>
                <w:color w:val="2563EB"/>
                <w:sz w:val="22"/>
                <w:szCs w:val="22"/>
              </w:rPr>
              <w:t xml:space="preserve">3</w:t>
            </w:r>
          </w:p>
        </w:tc>
        <w:tc>
          <w:tcPr>
            <w:tcW w:type="dxa" w:w="8600"/>
            <w:shd w:fill="F8FAFC" w:val="clear"/>
            <w:tcMar>
              <w:top w:type="dxa" w:w="100"/>
              <w:left w:type="dxa" w:w="120"/>
              <w:bottom w:type="dxa" w:w="100"/>
              <w:right w:type="dxa" w:w="120"/>
            </w:tcMar>
          </w:tcPr>
          <w:p>
            <w:r>
              <w:rPr>
                <w:b/>
                <w:bCs/>
                <w:color w:val="0F172A"/>
                <w:sz w:val="22"/>
                <w:szCs w:val="22"/>
              </w:rPr>
              <w:t xml:space="preserve">Tap Install</w:t>
            </w:r>
          </w:p>
          <w:p>
            <w:pPr>
              <w:spacing w:before="40"/>
            </w:pPr>
            <w:r>
              <w:rPr>
                <w:color w:val="64748B"/>
                <w:sz w:val="20"/>
                <w:szCs w:val="20"/>
              </w:rPr>
              <w:t xml:space="preserve">Confirm the browser's install dialog. AttendX now appears as an app icon on your home screen / app list.</w:t>
            </w:r>
          </w:p>
        </w:tc>
      </w:tr>
    </w:tbl>
    <w:p>
      <w:pPr>
        <w:spacing w:after="120"/>
      </w:pPr>
    </w:p>
    <w:p>
      <w:pPr>
        <w:pStyle w:val="Heading2"/>
        <w:spacing w:after="150" w:before="300"/>
      </w:pPr>
      <w:r>
        <w:rPr>
          <w:b/>
          <w:bCs/>
          <w:color w:val="0F172A"/>
          <w:sz w:val="26"/>
          <w:szCs w:val="26"/>
        </w:rPr>
        <w:t xml:space="preserve">iPhone / iPad (Safari)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c>
          <w:tcPr>
            <w:tcW w:type="dxa" w:w="900"/>
            <w:shd w:fill="F8FAFC" w:val="clear"/>
            <w:tcMar>
              <w:top w:type="dxa" w:w="100"/>
              <w:left w:type="dxa" w:w="120"/>
              <w:bottom w:type="dxa" w:w="100"/>
              <w:right w:type="dxa" w:w="80"/>
            </w:tcMar>
          </w:tcPr>
          <w:p>
            <w:r>
              <w:rPr>
                <w:b/>
                <w:bCs/>
                <w:color w:val="2563EB"/>
                <w:sz w:val="22"/>
                <w:szCs w:val="22"/>
              </w:rPr>
              <w:t xml:space="preserve">1</w:t>
            </w:r>
          </w:p>
        </w:tc>
        <w:tc>
          <w:tcPr>
            <w:tcW w:type="dxa" w:w="8600"/>
            <w:shd w:fill="F8FAFC" w:val="clear"/>
            <w:tcMar>
              <w:top w:type="dxa" w:w="100"/>
              <w:left w:type="dxa" w:w="120"/>
              <w:bottom w:type="dxa" w:w="100"/>
              <w:right w:type="dxa" w:w="120"/>
            </w:tcMar>
          </w:tcPr>
          <w:p>
            <w:r>
              <w:rPr>
                <w:b/>
                <w:bCs/>
                <w:color w:val="0F172A"/>
                <w:sz w:val="22"/>
                <w:szCs w:val="22"/>
              </w:rPr>
              <w:t xml:space="preserve">Open AttendX in Safari</w:t>
            </w:r>
          </w:p>
          <w:p>
            <w:pPr>
              <w:spacing w:before="40"/>
            </w:pPr>
            <w:r>
              <w:rPr>
                <w:color w:val="64748B"/>
                <w:sz w:val="20"/>
                <w:szCs w:val="20"/>
              </w:rPr>
              <w:t xml:space="preserve">iOS Safari doesn't support one-tap installs, so a short manual step is needed.</w:t>
            </w:r>
          </w:p>
        </w:tc>
      </w:tr>
      <w:tr>
        <w:tc>
          <w:tcPr>
            <w:tcW w:type="dxa" w:w="900"/>
            <w:shd w:fill="FFFFFF" w:val="clear"/>
            <w:tcMar>
              <w:top w:type="dxa" w:w="100"/>
              <w:left w:type="dxa" w:w="120"/>
              <w:bottom w:type="dxa" w:w="100"/>
              <w:right w:type="dxa" w:w="80"/>
            </w:tcMar>
          </w:tcPr>
          <w:p>
            <w:r>
              <w:rPr>
                <w:b/>
                <w:bCs/>
                <w:color w:val="2563EB"/>
                <w:sz w:val="22"/>
                <w:szCs w:val="22"/>
              </w:rPr>
              <w:t xml:space="preserve">2</w:t>
            </w:r>
          </w:p>
        </w:tc>
        <w:tc>
          <w:tcPr>
            <w:tcW w:type="dxa" w:w="8600"/>
            <w:shd w:fill="FFFFFF" w:val="clear"/>
            <w:tcMar>
              <w:top w:type="dxa" w:w="100"/>
              <w:left w:type="dxa" w:w="120"/>
              <w:bottom w:type="dxa" w:w="100"/>
              <w:right w:type="dxa" w:w="120"/>
            </w:tcMar>
          </w:tcPr>
          <w:p>
            <w:r>
              <w:rPr>
                <w:b/>
                <w:bCs/>
                <w:color w:val="0F172A"/>
                <w:sz w:val="22"/>
                <w:szCs w:val="22"/>
              </w:rPr>
              <w:t xml:space="preserve">Tap the Share icon</w:t>
            </w:r>
          </w:p>
          <w:p>
            <w:pPr>
              <w:spacing w:before="40"/>
            </w:pPr>
            <w:r>
              <w:rPr>
                <w:color w:val="64748B"/>
                <w:sz w:val="20"/>
                <w:szCs w:val="20"/>
              </w:rPr>
              <w:t xml:space="preserve">The square-with-arrow icon in Safari's toolbar.</w:t>
            </w:r>
          </w:p>
        </w:tc>
      </w:tr>
      <w:tr>
        <w:tc>
          <w:tcPr>
            <w:tcW w:type="dxa" w:w="900"/>
            <w:shd w:fill="F8FAFC" w:val="clear"/>
            <w:tcMar>
              <w:top w:type="dxa" w:w="100"/>
              <w:left w:type="dxa" w:w="120"/>
              <w:bottom w:type="dxa" w:w="100"/>
              <w:right w:type="dxa" w:w="80"/>
            </w:tcMar>
          </w:tcPr>
          <w:p>
            <w:r>
              <w:rPr>
                <w:b/>
                <w:bCs/>
                <w:color w:val="2563EB"/>
                <w:sz w:val="22"/>
                <w:szCs w:val="22"/>
              </w:rPr>
              <w:t xml:space="preserve">3</w:t>
            </w:r>
          </w:p>
        </w:tc>
        <w:tc>
          <w:tcPr>
            <w:tcW w:type="dxa" w:w="8600"/>
            <w:shd w:fill="F8FAFC" w:val="clear"/>
            <w:tcMar>
              <w:top w:type="dxa" w:w="100"/>
              <w:left w:type="dxa" w:w="120"/>
              <w:bottom w:type="dxa" w:w="100"/>
              <w:right w:type="dxa" w:w="120"/>
            </w:tcMar>
          </w:tcPr>
          <w:p>
            <w:r>
              <w:rPr>
                <w:b/>
                <w:bCs/>
                <w:color w:val="0F172A"/>
                <w:sz w:val="22"/>
                <w:szCs w:val="22"/>
              </w:rPr>
              <w:t xml:space="preserve">Choose “Add to Home Screen”</w:t>
            </w:r>
          </w:p>
          <w:p>
            <w:pPr>
              <w:spacing w:before="40"/>
            </w:pPr>
            <w:r>
              <w:rPr>
                <w:color w:val="64748B"/>
                <w:sz w:val="20"/>
                <w:szCs w:val="20"/>
              </w:rPr>
              <w:t xml:space="preserve">AttendX will then appear as an app icon and open full-screen, just like Android.</w:t>
            </w:r>
          </w:p>
        </w:tc>
      </w:tr>
    </w:tbl>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Tip: </w:t>
            </w:r>
            <w:r>
              <w:rPr>
                <w:color w:val="0F172A"/>
                <w:sz w:val="21"/>
                <w:szCs w:val="21"/>
              </w:rPr>
              <w:t xml:space="preserve">Installing is optional — AttendX works fine in a regular browser tab too. Installing simply makes it faster to open and gives you a proper offline app icon.</w:t>
            </w:r>
          </w:p>
        </w:tc>
      </w:tr>
    </w:tbl>
    <w:p>
      <w:pPr>
        <w:pStyle w:val="Heading1"/>
        <w:spacing w:after="200" w:before="400"/>
      </w:pPr>
      <w:r>
        <w:rPr>
          <w:b/>
          <w:bCs/>
          <w:color w:val="2563EB"/>
          <w:sz w:val="32"/>
          <w:szCs w:val="32"/>
        </w:rPr>
        <w:t xml:space="preserve">3. Creating an Account &amp; Signing In</w:t>
      </w:r>
    </w:p>
    <w:p>
      <w:pPr>
        <w:pStyle w:val="Heading2"/>
        <w:spacing w:after="150" w:before="300"/>
      </w:pPr>
      <w:r>
        <w:rPr>
          <w:b/>
          <w:bCs/>
          <w:color w:val="0F172A"/>
          <w:sz w:val="26"/>
          <w:szCs w:val="26"/>
        </w:rPr>
        <w:t xml:space="preserve">Creating your first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c>
          <w:tcPr>
            <w:tcW w:type="dxa" w:w="900"/>
            <w:shd w:fill="F8FAFC" w:val="clear"/>
            <w:tcMar>
              <w:top w:type="dxa" w:w="100"/>
              <w:left w:type="dxa" w:w="120"/>
              <w:bottom w:type="dxa" w:w="100"/>
              <w:right w:type="dxa" w:w="80"/>
            </w:tcMar>
          </w:tcPr>
          <w:p>
            <w:r>
              <w:rPr>
                <w:b/>
                <w:bCs/>
                <w:color w:val="2563EB"/>
                <w:sz w:val="22"/>
                <w:szCs w:val="22"/>
              </w:rPr>
              <w:t xml:space="preserve">1</w:t>
            </w:r>
          </w:p>
        </w:tc>
        <w:tc>
          <w:tcPr>
            <w:tcW w:type="dxa" w:w="8600"/>
            <w:shd w:fill="F8FAFC" w:val="clear"/>
            <w:tcMar>
              <w:top w:type="dxa" w:w="100"/>
              <w:left w:type="dxa" w:w="120"/>
              <w:bottom w:type="dxa" w:w="100"/>
              <w:right w:type="dxa" w:w="120"/>
            </w:tcMar>
          </w:tcPr>
          <w:p>
            <w:r>
              <w:rPr>
                <w:b/>
                <w:bCs/>
                <w:color w:val="0F172A"/>
                <w:sz w:val="22"/>
                <w:szCs w:val="22"/>
              </w:rPr>
              <w:t xml:space="preserve">Open AttendX</w:t>
            </w:r>
          </w:p>
          <w:p>
            <w:pPr>
              <w:spacing w:before="40"/>
            </w:pPr>
            <w:r>
              <w:rPr>
                <w:color w:val="64748B"/>
                <w:sz w:val="20"/>
                <w:szCs w:val="20"/>
              </w:rPr>
              <w:t xml:space="preserve">If no accounts exist on this device yet, you'll land straight on the Register form.</w:t>
            </w:r>
          </w:p>
        </w:tc>
      </w:tr>
      <w:tr>
        <w:tc>
          <w:tcPr>
            <w:tcW w:type="dxa" w:w="900"/>
            <w:shd w:fill="FFFFFF" w:val="clear"/>
            <w:tcMar>
              <w:top w:type="dxa" w:w="100"/>
              <w:left w:type="dxa" w:w="120"/>
              <w:bottom w:type="dxa" w:w="100"/>
              <w:right w:type="dxa" w:w="80"/>
            </w:tcMar>
          </w:tcPr>
          <w:p>
            <w:r>
              <w:rPr>
                <w:b/>
                <w:bCs/>
                <w:color w:val="2563EB"/>
                <w:sz w:val="22"/>
                <w:szCs w:val="22"/>
              </w:rPr>
              <w:t xml:space="preserve">2</w:t>
            </w:r>
          </w:p>
        </w:tc>
        <w:tc>
          <w:tcPr>
            <w:tcW w:type="dxa" w:w="8600"/>
            <w:shd w:fill="FFFFFF" w:val="clear"/>
            <w:tcMar>
              <w:top w:type="dxa" w:w="100"/>
              <w:left w:type="dxa" w:w="120"/>
              <w:bottom w:type="dxa" w:w="100"/>
              <w:right w:type="dxa" w:w="120"/>
            </w:tcMar>
          </w:tcPr>
          <w:p>
            <w:r>
              <w:rPr>
                <w:b/>
                <w:bCs/>
                <w:color w:val="0F172A"/>
                <w:sz w:val="22"/>
                <w:szCs w:val="22"/>
              </w:rPr>
              <w:t xml:space="preserve">Choose your role</w:t>
            </w:r>
          </w:p>
          <w:p>
            <w:pPr>
              <w:spacing w:before="40"/>
            </w:pPr>
            <w:r>
              <w:rPr>
                <w:color w:val="64748B"/>
                <w:sz w:val="20"/>
                <w:szCs w:val="20"/>
              </w:rPr>
              <w:t xml:space="preserve">Select Admin (institution owner / sets up the system) or Teacher (marks attendance day-to-day).</w:t>
            </w:r>
          </w:p>
        </w:tc>
      </w:tr>
      <w:tr>
        <w:tc>
          <w:tcPr>
            <w:tcW w:type="dxa" w:w="900"/>
            <w:shd w:fill="F8FAFC" w:val="clear"/>
            <w:tcMar>
              <w:top w:type="dxa" w:w="100"/>
              <w:left w:type="dxa" w:w="120"/>
              <w:bottom w:type="dxa" w:w="100"/>
              <w:right w:type="dxa" w:w="80"/>
            </w:tcMar>
          </w:tcPr>
          <w:p>
            <w:r>
              <w:rPr>
                <w:b/>
                <w:bCs/>
                <w:color w:val="2563EB"/>
                <w:sz w:val="22"/>
                <w:szCs w:val="22"/>
              </w:rPr>
              <w:t xml:space="preserve">3</w:t>
            </w:r>
          </w:p>
        </w:tc>
        <w:tc>
          <w:tcPr>
            <w:tcW w:type="dxa" w:w="8600"/>
            <w:shd w:fill="F8FAFC" w:val="clear"/>
            <w:tcMar>
              <w:top w:type="dxa" w:w="100"/>
              <w:left w:type="dxa" w:w="120"/>
              <w:bottom w:type="dxa" w:w="100"/>
              <w:right w:type="dxa" w:w="120"/>
            </w:tcMar>
          </w:tcPr>
          <w:p>
            <w:r>
              <w:rPr>
                <w:b/>
                <w:bCs/>
                <w:color w:val="0F172A"/>
                <w:sz w:val="22"/>
                <w:szCs w:val="22"/>
              </w:rPr>
              <w:t xml:space="preserve">Enter a username &amp; password</w:t>
            </w:r>
          </w:p>
          <w:p>
            <w:pPr>
              <w:spacing w:before="40"/>
            </w:pPr>
            <w:r>
              <w:rPr>
                <w:color w:val="64748B"/>
                <w:sz w:val="20"/>
                <w:szCs w:val="20"/>
              </w:rPr>
              <w:t xml:space="preserve">Pick something memorable — this account lives on this device.</w:t>
            </w:r>
          </w:p>
        </w:tc>
      </w:tr>
      <w:tr>
        <w:tc>
          <w:tcPr>
            <w:tcW w:type="dxa" w:w="900"/>
            <w:shd w:fill="FFFFFF" w:val="clear"/>
            <w:tcMar>
              <w:top w:type="dxa" w:w="100"/>
              <w:left w:type="dxa" w:w="120"/>
              <w:bottom w:type="dxa" w:w="100"/>
              <w:right w:type="dxa" w:w="80"/>
            </w:tcMar>
          </w:tcPr>
          <w:p>
            <w:r>
              <w:rPr>
                <w:b/>
                <w:bCs/>
                <w:color w:val="2563EB"/>
                <w:sz w:val="22"/>
                <w:szCs w:val="22"/>
              </w:rPr>
              <w:t xml:space="preserve">4</w:t>
            </w:r>
          </w:p>
        </w:tc>
        <w:tc>
          <w:tcPr>
            <w:tcW w:type="dxa" w:w="8600"/>
            <w:shd w:fill="FFFFFF" w:val="clear"/>
            <w:tcMar>
              <w:top w:type="dxa" w:w="100"/>
              <w:left w:type="dxa" w:w="120"/>
              <w:bottom w:type="dxa" w:w="100"/>
              <w:right w:type="dxa" w:w="120"/>
            </w:tcMar>
          </w:tcPr>
          <w:p>
            <w:r>
              <w:rPr>
                <w:b/>
                <w:bCs/>
                <w:color w:val="0F172A"/>
                <w:sz w:val="22"/>
                <w:szCs w:val="22"/>
              </w:rPr>
              <w:t xml:space="preserve">Tap Register</w:t>
            </w:r>
          </w:p>
          <w:p>
            <w:pPr>
              <w:spacing w:before="40"/>
            </w:pPr>
            <w:r>
              <w:rPr>
                <w:color w:val="64748B"/>
                <w:sz w:val="20"/>
                <w:szCs w:val="20"/>
              </w:rPr>
              <w:t xml:space="preserve">Your account is created and you're signed in immediately.</w:t>
            </w:r>
          </w:p>
        </w:tc>
      </w:tr>
    </w:tbl>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Accounts are stored on the device you register on. If you use AttendX on a new phone or a different browser, you'll need to register there too (or, as Admin, you can restore a backup — see Section 14).</w:t>
            </w:r>
          </w:p>
        </w:tc>
      </w:tr>
    </w:tbl>
    <w:p>
      <w:pPr>
        <w:spacing w:after="120"/>
      </w:pPr>
    </w:p>
    <w:p>
      <w:pPr>
        <w:pStyle w:val="Heading2"/>
        <w:spacing w:after="150" w:before="300"/>
      </w:pPr>
      <w:r>
        <w:rPr>
          <w:b/>
          <w:bCs/>
          <w:color w:val="0F172A"/>
          <w:sz w:val="26"/>
          <w:szCs w:val="26"/>
        </w:rPr>
        <w:t xml:space="preserve">Signing in later</w:t>
      </w:r>
    </w:p>
    <w:p>
      <w:pPr>
        <w:pStyle w:val="ListParagraph"/>
        <w:numPr>
          <w:ilvl w:val="0"/>
          <w:numId w:val="2"/>
        </w:numPr>
        <w:spacing w:after="90" w:line="290"/>
      </w:pPr>
      <w:r>
        <w:rPr>
          <w:color w:val="0F172A"/>
          <w:sz w:val="22"/>
          <w:szCs w:val="22"/>
        </w:rPr>
        <w:t xml:space="preserve">Open AttendX, choose your role, enter your username and password, and tap Sign In.</w:t>
      </w:r>
    </w:p>
    <w:p>
      <w:pPr>
        <w:pStyle w:val="ListParagraph"/>
        <w:numPr>
          <w:ilvl w:val="0"/>
          <w:numId w:val="2"/>
        </w:numPr>
        <w:spacing w:after="90" w:line="290"/>
      </w:pPr>
      <w:r>
        <w:rPr>
          <w:color w:val="0F172A"/>
          <w:sz w:val="22"/>
          <w:szCs w:val="22"/>
        </w:rPr>
        <w:t xml:space="preserve">Tick “Remember me” to stay signed in between visits — otherwise you're signed out when you close the browser tab.</w:t>
      </w:r>
    </w:p>
    <w:p>
      <w:pPr>
        <w:pStyle w:val="ListParagraph"/>
        <w:numPr>
          <w:ilvl w:val="0"/>
          <w:numId w:val="2"/>
        </w:numPr>
        <w:spacing w:after="90" w:line="290"/>
      </w:pPr>
      <w:r>
        <w:rPr>
          <w:color w:val="0F172A"/>
          <w:sz w:val="22"/>
          <w:szCs w:val="22"/>
        </w:rPr>
        <w:t xml:space="preserve">If your account and role don't match (e.g. you registered as Teacher but select Admin), AttendX will tell you to pick the correct role.</w:t>
      </w:r>
    </w:p>
    <w:p>
      <w:pPr>
        <w:pStyle w:val="Heading1"/>
        <w:spacing w:after="200" w:before="400"/>
      </w:pPr>
      <w:r>
        <w:rPr>
          <w:b/>
          <w:bCs/>
          <w:color w:val="2563EB"/>
          <w:sz w:val="32"/>
          <w:szCs w:val="32"/>
        </w:rPr>
        <w:t xml:space="preserve">4. Biometric / PIN Login</w:t>
      </w:r>
    </w:p>
    <w:p>
      <w:pPr>
        <w:spacing w:after="160" w:line="300"/>
      </w:pPr>
      <w:r>
        <w:rPr>
          <w:color w:val="0F172A"/>
          <w:sz w:val="22"/>
          <w:szCs w:val="22"/>
        </w:rPr>
        <w:t xml:space="preserve">Right after registering, AttendX offers to set up a faster sign-in using your device's fingerprint, face unlock, or a short PIN — so you don't have to type your password every time.</w:t>
      </w:r>
    </w:p>
    <w:p>
      <w:pPr>
        <w:pStyle w:val="Heading2"/>
        <w:spacing w:after="150" w:before="300"/>
      </w:pPr>
      <w:r>
        <w:rPr>
          <w:b/>
          <w:bCs/>
          <w:color w:val="0F172A"/>
          <w:sz w:val="26"/>
          <w:szCs w:val="26"/>
        </w:rPr>
        <w:t xml:space="preserve">How it works</w:t>
      </w:r>
    </w:p>
    <w:p>
      <w:pPr>
        <w:pStyle w:val="ListParagraph"/>
        <w:numPr>
          <w:ilvl w:val="0"/>
          <w:numId w:val="2"/>
        </w:numPr>
        <w:spacing w:after="90" w:line="290"/>
      </w:pPr>
      <w:r>
        <w:rPr>
          <w:color w:val="0F172A"/>
          <w:sz w:val="22"/>
          <w:szCs w:val="22"/>
        </w:rPr>
        <w:t xml:space="preserve">If your device/browser supports it, AttendX uses your phone or laptop's built-in fingerprint/face unlock (this uses your device's own secure authenticator — AttendX never sees or stores your actual fingerprint/face data).</w:t>
      </w:r>
    </w:p>
    <w:p>
      <w:pPr>
        <w:pStyle w:val="ListParagraph"/>
        <w:numPr>
          <w:ilvl w:val="0"/>
          <w:numId w:val="2"/>
        </w:numPr>
        <w:spacing w:after="90" w:line="290"/>
      </w:pPr>
      <w:r>
        <w:rPr>
          <w:color w:val="0F172A"/>
          <w:sz w:val="22"/>
          <w:szCs w:val="22"/>
        </w:rPr>
        <w:t xml:space="preserve">If that isn't available (for example, older devices, or the site isn't loaded over a secure https:// connection), you'll instead be asked to set a 4–8 digit PIN. This PIN is stored only on your device.</w:t>
      </w:r>
    </w:p>
    <w:p>
      <w:pPr>
        <w:pStyle w:val="Heading2"/>
        <w:spacing w:after="150" w:before="300"/>
      </w:pPr>
      <w:r>
        <w:rPr>
          <w:b/>
          <w:bCs/>
          <w:color w:val="0F172A"/>
          <w:sz w:val="26"/>
          <w:szCs w:val="26"/>
        </w:rPr>
        <w:t xml:space="preserve">Using it to sign in</w:t>
      </w:r>
    </w:p>
    <w:p>
      <w:pPr>
        <w:pStyle w:val="ListParagraph"/>
        <w:numPr>
          <w:ilvl w:val="0"/>
          <w:numId w:val="3"/>
        </w:numPr>
        <w:spacing w:after="90" w:line="290"/>
      </w:pPr>
      <w:r>
        <w:rPr>
          <w:color w:val="0F172A"/>
          <w:sz w:val="22"/>
          <w:szCs w:val="22"/>
        </w:rPr>
        <w:t xml:space="preserve">On the login screen, tap “Use Biometric.”</w:t>
      </w:r>
    </w:p>
    <w:p>
      <w:pPr>
        <w:pStyle w:val="ListParagraph"/>
        <w:numPr>
          <w:ilvl w:val="0"/>
          <w:numId w:val="3"/>
        </w:numPr>
        <w:spacing w:after="90" w:line="290"/>
      </w:pPr>
      <w:r>
        <w:rPr>
          <w:color w:val="0F172A"/>
          <w:sz w:val="22"/>
          <w:szCs w:val="22"/>
        </w:rPr>
        <w:t xml:space="preserve">Follow your device's fingerprint/face prompt, or enter your PIN if that's what you set up.</w:t>
      </w:r>
    </w:p>
    <w:p>
      <w:pPr>
        <w:pStyle w:val="ListParagraph"/>
        <w:numPr>
          <w:ilvl w:val="0"/>
          <w:numId w:val="3"/>
        </w:numPr>
        <w:spacing w:after="90" w:line="290"/>
      </w:pPr>
      <w:r>
        <w:rPr>
          <w:color w:val="0F172A"/>
          <w:sz w:val="22"/>
          <w:szCs w:val="22"/>
        </w:rPr>
        <w:t xml:space="preserve">You're signed straight in — no need to type your username or password.</w:t>
      </w:r>
    </w:p>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Forgot your PIN? There's no PIN reset — simply sign in the normal way with your username and password instead.</w:t>
            </w:r>
          </w:p>
        </w:tc>
      </w:tr>
    </w:tbl>
    <w:p>
      <w:pPr>
        <w:pStyle w:val="Heading1"/>
        <w:spacing w:after="200" w:before="400"/>
      </w:pPr>
      <w:r>
        <w:rPr>
          <w:b/>
          <w:bCs/>
          <w:color w:val="2563EB"/>
          <w:sz w:val="32"/>
          <w:szCs w:val="32"/>
        </w:rPr>
        <w:t xml:space="preserve">5. First-Time Setup (Admin)</w:t>
      </w:r>
    </w:p>
    <w:p>
      <w:pPr>
        <w:spacing w:after="160" w:line="300"/>
      </w:pPr>
      <w:r>
        <w:rPr>
          <w:color w:val="0F172A"/>
          <w:sz w:val="22"/>
          <w:szCs w:val="22"/>
        </w:rPr>
        <w:t xml:space="preserve">The very first time an Admin account signs in (and no institution has been set up yet), AttendX walks you through a quick 3-step setup wizard.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c>
          <w:tcPr>
            <w:tcW w:type="dxa" w:w="900"/>
            <w:shd w:fill="F8FAFC" w:val="clear"/>
            <w:tcMar>
              <w:top w:type="dxa" w:w="100"/>
              <w:left w:type="dxa" w:w="120"/>
              <w:bottom w:type="dxa" w:w="100"/>
              <w:right w:type="dxa" w:w="80"/>
            </w:tcMar>
          </w:tcPr>
          <w:p>
            <w:r>
              <w:rPr>
                <w:b/>
                <w:bCs/>
                <w:color w:val="2563EB"/>
                <w:sz w:val="22"/>
                <w:szCs w:val="22"/>
              </w:rPr>
              <w:t xml:space="preserve">1</w:t>
            </w:r>
          </w:p>
        </w:tc>
        <w:tc>
          <w:tcPr>
            <w:tcW w:type="dxa" w:w="8600"/>
            <w:shd w:fill="F8FAFC" w:val="clear"/>
            <w:tcMar>
              <w:top w:type="dxa" w:w="100"/>
              <w:left w:type="dxa" w:w="120"/>
              <w:bottom w:type="dxa" w:w="100"/>
              <w:right w:type="dxa" w:w="120"/>
            </w:tcMar>
          </w:tcPr>
          <w:p>
            <w:r>
              <w:rPr>
                <w:b/>
                <w:bCs/>
                <w:color w:val="0F172A"/>
                <w:sz w:val="22"/>
                <w:szCs w:val="22"/>
              </w:rPr>
              <w:t xml:space="preserve">Institution</w:t>
            </w:r>
          </w:p>
          <w:p>
            <w:pPr>
              <w:spacing w:before="40"/>
            </w:pPr>
            <w:r>
              <w:rPr>
                <w:color w:val="64748B"/>
                <w:sz w:val="20"/>
                <w:szCs w:val="20"/>
              </w:rPr>
              <w:t xml:space="preserve">Enter your institution's name (e.g. your school or college name) and pick a colour to identify it.</w:t>
            </w:r>
          </w:p>
        </w:tc>
      </w:tr>
      <w:tr>
        <w:tc>
          <w:tcPr>
            <w:tcW w:type="dxa" w:w="900"/>
            <w:shd w:fill="FFFFFF" w:val="clear"/>
            <w:tcMar>
              <w:top w:type="dxa" w:w="100"/>
              <w:left w:type="dxa" w:w="120"/>
              <w:bottom w:type="dxa" w:w="100"/>
              <w:right w:type="dxa" w:w="80"/>
            </w:tcMar>
          </w:tcPr>
          <w:p>
            <w:r>
              <w:rPr>
                <w:b/>
                <w:bCs/>
                <w:color w:val="2563EB"/>
                <w:sz w:val="22"/>
                <w:szCs w:val="22"/>
              </w:rPr>
              <w:t xml:space="preserve">2</w:t>
            </w:r>
          </w:p>
        </w:tc>
        <w:tc>
          <w:tcPr>
            <w:tcW w:type="dxa" w:w="8600"/>
            <w:shd w:fill="FFFFFF" w:val="clear"/>
            <w:tcMar>
              <w:top w:type="dxa" w:w="100"/>
              <w:left w:type="dxa" w:w="120"/>
              <w:bottom w:type="dxa" w:w="100"/>
              <w:right w:type="dxa" w:w="120"/>
            </w:tcMar>
          </w:tcPr>
          <w:p>
            <w:r>
              <w:rPr>
                <w:b/>
                <w:bCs/>
                <w:color w:val="0F172A"/>
                <w:sz w:val="22"/>
                <w:szCs w:val="22"/>
              </w:rPr>
              <w:t xml:space="preserve">Branch / Department</w:t>
            </w:r>
          </w:p>
          <w:p>
            <w:pPr>
              <w:spacing w:before="40"/>
            </w:pPr>
            <w:r>
              <w:rPr>
                <w:color w:val="64748B"/>
                <w:sz w:val="20"/>
                <w:szCs w:val="20"/>
              </w:rPr>
              <w:t xml:space="preserve">Add your first branch or department (e.g. “CSE”, “Commerce”, “Class Sections”) and its colour.</w:t>
            </w:r>
          </w:p>
        </w:tc>
      </w:tr>
      <w:tr>
        <w:tc>
          <w:tcPr>
            <w:tcW w:type="dxa" w:w="900"/>
            <w:shd w:fill="F8FAFC" w:val="clear"/>
            <w:tcMar>
              <w:top w:type="dxa" w:w="100"/>
              <w:left w:type="dxa" w:w="120"/>
              <w:bottom w:type="dxa" w:w="100"/>
              <w:right w:type="dxa" w:w="80"/>
            </w:tcMar>
          </w:tcPr>
          <w:p>
            <w:r>
              <w:rPr>
                <w:b/>
                <w:bCs/>
                <w:color w:val="2563EB"/>
                <w:sz w:val="22"/>
                <w:szCs w:val="22"/>
              </w:rPr>
              <w:t xml:space="preserve">3</w:t>
            </w:r>
          </w:p>
        </w:tc>
        <w:tc>
          <w:tcPr>
            <w:tcW w:type="dxa" w:w="8600"/>
            <w:shd w:fill="F8FAFC" w:val="clear"/>
            <w:tcMar>
              <w:top w:type="dxa" w:w="100"/>
              <w:left w:type="dxa" w:w="120"/>
              <w:bottom w:type="dxa" w:w="100"/>
              <w:right w:type="dxa" w:w="120"/>
            </w:tcMar>
          </w:tcPr>
          <w:p>
            <w:r>
              <w:rPr>
                <w:b/>
                <w:bCs/>
                <w:color w:val="0F172A"/>
                <w:sz w:val="22"/>
                <w:szCs w:val="22"/>
              </w:rPr>
              <w:t xml:space="preserve">Confirmation</w:t>
            </w:r>
          </w:p>
          <w:p>
            <w:pPr>
              <w:spacing w:before="40"/>
            </w:pPr>
            <w:r>
              <w:rPr>
                <w:color w:val="64748B"/>
                <w:sz w:val="20"/>
                <w:szCs w:val="20"/>
              </w:rPr>
              <w:t xml:space="preserve">Review a summary and tap “Enter Portal” to finish. You can add more institutions/branches/classes later from Manage.</w:t>
            </w:r>
          </w:p>
        </w:tc>
      </w:tr>
    </w:tbl>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On the Free plan, only 1 institution and 1 branch can be active at a time, with up to 3 classes per branch. See Section 17 for details.</w:t>
            </w:r>
          </w:p>
        </w:tc>
      </w:tr>
    </w:tbl>
    <w:p>
      <w:pPr>
        <w:pStyle w:val="Heading1"/>
        <w:spacing w:after="200" w:before="400"/>
      </w:pPr>
      <w:r>
        <w:rPr>
          <w:b/>
          <w:bCs/>
          <w:color w:val="2563EB"/>
          <w:sz w:val="32"/>
          <w:szCs w:val="32"/>
        </w:rPr>
        <w:t xml:space="preserve">6. Home Screen Overview</w:t>
      </w:r>
    </w:p>
    <w:p>
      <w:pPr>
        <w:spacing w:after="160" w:line="300"/>
      </w:pPr>
      <w:r>
        <w:rPr>
          <w:color w:val="0F172A"/>
          <w:sz w:val="22"/>
          <w:szCs w:val="22"/>
        </w:rPr>
        <w:t xml:space="preserve">After signing in, you land on the Home screen — your launchpad into every feature. The tiles you see depend on your role: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500"/>
      </w:tblGrid>
      <w:tr>
        <w:trPr>
          <w:tblHeader/>
        </w:trPr>
        <w:tc>
          <w:tcPr>
            <w:tcW w:type="dxa" w:w="2400"/>
            <w:shd w:fill="2563EB" w:val="clear"/>
            <w:tcMar>
              <w:top w:type="dxa" w:w="90"/>
              <w:left w:type="dxa" w:w="100"/>
              <w:bottom w:type="dxa" w:w="90"/>
              <w:right w:type="dxa" w:w="100"/>
            </w:tcMar>
          </w:tcPr>
          <w:p>
            <w:r>
              <w:rPr>
                <w:b/>
                <w:bCs/>
                <w:color w:val="FFFFFF"/>
                <w:sz w:val="20"/>
                <w:szCs w:val="20"/>
              </w:rPr>
              <w:t xml:space="preserve">Tile</w:t>
            </w:r>
          </w:p>
        </w:tc>
        <w:tc>
          <w:tcPr>
            <w:tcW w:type="dxa" w:w="5600"/>
            <w:shd w:fill="2563EB" w:val="clear"/>
            <w:tcMar>
              <w:top w:type="dxa" w:w="90"/>
              <w:left w:type="dxa" w:w="100"/>
              <w:bottom w:type="dxa" w:w="90"/>
              <w:right w:type="dxa" w:w="100"/>
            </w:tcMar>
          </w:tcPr>
          <w:p>
            <w:r>
              <w:rPr>
                <w:b/>
                <w:bCs/>
                <w:color w:val="FFFFFF"/>
                <w:sz w:val="20"/>
                <w:szCs w:val="20"/>
              </w:rPr>
              <w:t xml:space="preserve">What it does</w:t>
            </w:r>
          </w:p>
        </w:tc>
        <w:tc>
          <w:tcPr>
            <w:tcW w:type="dxa" w:w="1500"/>
            <w:shd w:fill="2563EB" w:val="clear"/>
            <w:tcMar>
              <w:top w:type="dxa" w:w="90"/>
              <w:left w:type="dxa" w:w="100"/>
              <w:bottom w:type="dxa" w:w="90"/>
              <w:right w:type="dxa" w:w="100"/>
            </w:tcMar>
          </w:tcPr>
          <w:p>
            <w:r>
              <w:rPr>
                <w:b/>
                <w:bCs/>
                <w:color w:val="FFFFFF"/>
                <w:sz w:val="20"/>
                <w:szCs w:val="20"/>
              </w:rPr>
              <w:t xml:space="preserve">Who sees it</w:t>
            </w:r>
          </w:p>
        </w:tc>
      </w:tr>
      <w:tr>
        <w:tc>
          <w:tcPr>
            <w:tcW w:type="dxa" w:w="2400"/>
            <w:shd w:fill="F8FAFC" w:val="clear"/>
            <w:tcMar>
              <w:top w:type="dxa" w:w="80"/>
              <w:left w:type="dxa" w:w="100"/>
              <w:bottom w:type="dxa" w:w="80"/>
              <w:right w:type="dxa" w:w="100"/>
            </w:tcMar>
          </w:tcPr>
          <w:p>
            <w:r>
              <w:rPr>
                <w:color w:val="0F172A"/>
                <w:sz w:val="19"/>
                <w:szCs w:val="19"/>
              </w:rPr>
              <w:t xml:space="preserve">Mark Attendance</w:t>
            </w:r>
          </w:p>
        </w:tc>
        <w:tc>
          <w:tcPr>
            <w:tcW w:type="dxa" w:w="5600"/>
            <w:shd w:fill="F8FAFC" w:val="clear"/>
            <w:tcMar>
              <w:top w:type="dxa" w:w="80"/>
              <w:left w:type="dxa" w:w="100"/>
              <w:bottom w:type="dxa" w:w="80"/>
              <w:right w:type="dxa" w:w="100"/>
            </w:tcMar>
          </w:tcPr>
          <w:p>
            <w:r>
              <w:rPr>
                <w:color w:val="0F172A"/>
                <w:sz w:val="19"/>
                <w:szCs w:val="19"/>
              </w:rPr>
              <w:t xml:space="preserve">Take today's roll call for a class</w:t>
            </w:r>
          </w:p>
        </w:tc>
        <w:tc>
          <w:tcPr>
            <w:tcW w:type="dxa" w:w="1500"/>
            <w:shd w:fill="F8FAFC" w:val="clear"/>
            <w:tcMar>
              <w:top w:type="dxa" w:w="80"/>
              <w:left w:type="dxa" w:w="100"/>
              <w:bottom w:type="dxa" w:w="80"/>
              <w:right w:type="dxa" w:w="100"/>
            </w:tcMar>
          </w:tcPr>
          <w:p>
            <w:r>
              <w:rPr>
                <w:color w:val="0F172A"/>
                <w:sz w:val="19"/>
                <w:szCs w:val="19"/>
              </w:rPr>
              <w:t xml:space="preserve">Everyone</w:t>
            </w:r>
          </w:p>
        </w:tc>
      </w:tr>
      <w:tr>
        <w:tc>
          <w:tcPr>
            <w:tcW w:type="dxa" w:w="2400"/>
            <w:shd w:fill="FFFFFF" w:val="clear"/>
            <w:tcMar>
              <w:top w:type="dxa" w:w="80"/>
              <w:left w:type="dxa" w:w="100"/>
              <w:bottom w:type="dxa" w:w="80"/>
              <w:right w:type="dxa" w:w="100"/>
            </w:tcMar>
          </w:tcPr>
          <w:p>
            <w:r>
              <w:rPr>
                <w:color w:val="0F172A"/>
                <w:sz w:val="19"/>
                <w:szCs w:val="19"/>
              </w:rPr>
              <w:t xml:space="preserve">Records</w:t>
            </w:r>
          </w:p>
        </w:tc>
        <w:tc>
          <w:tcPr>
            <w:tcW w:type="dxa" w:w="5600"/>
            <w:shd w:fill="FFFFFF" w:val="clear"/>
            <w:tcMar>
              <w:top w:type="dxa" w:w="80"/>
              <w:left w:type="dxa" w:w="100"/>
              <w:bottom w:type="dxa" w:w="80"/>
              <w:right w:type="dxa" w:w="100"/>
            </w:tcMar>
          </w:tcPr>
          <w:p>
            <w:r>
              <w:rPr>
                <w:color w:val="0F172A"/>
                <w:sz w:val="19"/>
                <w:szCs w:val="19"/>
              </w:rPr>
              <w:t xml:space="preserve">Browse previously saved attendance sessions</w:t>
            </w:r>
          </w:p>
        </w:tc>
        <w:tc>
          <w:tcPr>
            <w:tcW w:type="dxa" w:w="1500"/>
            <w:shd w:fill="FFFFFF" w:val="clear"/>
            <w:tcMar>
              <w:top w:type="dxa" w:w="80"/>
              <w:left w:type="dxa" w:w="100"/>
              <w:bottom w:type="dxa" w:w="80"/>
              <w:right w:type="dxa" w:w="100"/>
            </w:tcMar>
          </w:tcPr>
          <w:p>
            <w:r>
              <w:rPr>
                <w:color w:val="0F172A"/>
                <w:sz w:val="19"/>
                <w:szCs w:val="19"/>
              </w:rPr>
              <w:t xml:space="preserve">Everyone</w:t>
            </w:r>
          </w:p>
        </w:tc>
      </w:tr>
      <w:tr>
        <w:tc>
          <w:tcPr>
            <w:tcW w:type="dxa" w:w="2400"/>
            <w:shd w:fill="F8FAFC" w:val="clear"/>
            <w:tcMar>
              <w:top w:type="dxa" w:w="80"/>
              <w:left w:type="dxa" w:w="100"/>
              <w:bottom w:type="dxa" w:w="80"/>
              <w:right w:type="dxa" w:w="100"/>
            </w:tcMar>
          </w:tcPr>
          <w:p>
            <w:r>
              <w:rPr>
                <w:color w:val="0F172A"/>
                <w:sz w:val="19"/>
                <w:szCs w:val="19"/>
              </w:rPr>
              <w:t xml:space="preserve">Analytics</w:t>
            </w:r>
          </w:p>
        </w:tc>
        <w:tc>
          <w:tcPr>
            <w:tcW w:type="dxa" w:w="5600"/>
            <w:shd w:fill="F8FAFC" w:val="clear"/>
            <w:tcMar>
              <w:top w:type="dxa" w:w="80"/>
              <w:left w:type="dxa" w:w="100"/>
              <w:bottom w:type="dxa" w:w="80"/>
              <w:right w:type="dxa" w:w="100"/>
            </w:tcMar>
          </w:tcPr>
          <w:p>
            <w:r>
              <w:rPr>
                <w:color w:val="0F172A"/>
                <w:sz w:val="19"/>
                <w:szCs w:val="19"/>
              </w:rPr>
              <w:t xml:space="preserve">Attendance % trends and subject-wise reports</w:t>
            </w:r>
          </w:p>
        </w:tc>
        <w:tc>
          <w:tcPr>
            <w:tcW w:type="dxa" w:w="1500"/>
            <w:shd w:fill="F8FAFC" w:val="clear"/>
            <w:tcMar>
              <w:top w:type="dxa" w:w="80"/>
              <w:left w:type="dxa" w:w="100"/>
              <w:bottom w:type="dxa" w:w="80"/>
              <w:right w:type="dxa" w:w="100"/>
            </w:tcMar>
          </w:tcPr>
          <w:p>
            <w:r>
              <w:rPr>
                <w:color w:val="0F172A"/>
                <w:sz w:val="19"/>
                <w:szCs w:val="19"/>
              </w:rPr>
              <w:t xml:space="preserve">Everyone</w:t>
            </w:r>
          </w:p>
        </w:tc>
      </w:tr>
      <w:tr>
        <w:tc>
          <w:tcPr>
            <w:tcW w:type="dxa" w:w="2400"/>
            <w:shd w:fill="FFFFFF" w:val="clear"/>
            <w:tcMar>
              <w:top w:type="dxa" w:w="80"/>
              <w:left w:type="dxa" w:w="100"/>
              <w:bottom w:type="dxa" w:w="80"/>
              <w:right w:type="dxa" w:w="100"/>
            </w:tcMar>
          </w:tcPr>
          <w:p>
            <w:r>
              <w:rPr>
                <w:color w:val="0F172A"/>
                <w:sz w:val="19"/>
                <w:szCs w:val="19"/>
              </w:rPr>
              <w:t xml:space="preserve">Alerts</w:t>
            </w:r>
          </w:p>
        </w:tc>
        <w:tc>
          <w:tcPr>
            <w:tcW w:type="dxa" w:w="5600"/>
            <w:shd w:fill="FFFFFF" w:val="clear"/>
            <w:tcMar>
              <w:top w:type="dxa" w:w="80"/>
              <w:left w:type="dxa" w:w="100"/>
              <w:bottom w:type="dxa" w:w="80"/>
              <w:right w:type="dxa" w:w="100"/>
            </w:tcMar>
          </w:tcPr>
          <w:p>
            <w:r>
              <w:rPr>
                <w:color w:val="0F172A"/>
                <w:sz w:val="19"/>
                <w:szCs w:val="19"/>
              </w:rPr>
              <w:t xml:space="preserve">Compose absence/monthly notices for parents</w:t>
            </w:r>
          </w:p>
        </w:tc>
        <w:tc>
          <w:tcPr>
            <w:tcW w:type="dxa" w:w="1500"/>
            <w:shd w:fill="FFFFFF" w:val="clear"/>
            <w:tcMar>
              <w:top w:type="dxa" w:w="80"/>
              <w:left w:type="dxa" w:w="100"/>
              <w:bottom w:type="dxa" w:w="80"/>
              <w:right w:type="dxa" w:w="100"/>
            </w:tcMar>
          </w:tcPr>
          <w:p>
            <w:r>
              <w:rPr>
                <w:color w:val="0F172A"/>
                <w:sz w:val="19"/>
                <w:szCs w:val="19"/>
              </w:rPr>
              <w:t xml:space="preserve">Everyone</w:t>
            </w:r>
          </w:p>
        </w:tc>
      </w:tr>
      <w:tr>
        <w:tc>
          <w:tcPr>
            <w:tcW w:type="dxa" w:w="2400"/>
            <w:shd w:fill="F8FAFC" w:val="clear"/>
            <w:tcMar>
              <w:top w:type="dxa" w:w="80"/>
              <w:left w:type="dxa" w:w="100"/>
              <w:bottom w:type="dxa" w:w="80"/>
              <w:right w:type="dxa" w:w="100"/>
            </w:tcMar>
          </w:tcPr>
          <w:p>
            <w:r>
              <w:rPr>
                <w:color w:val="0F172A"/>
                <w:sz w:val="19"/>
                <w:szCs w:val="19"/>
              </w:rPr>
              <w:t xml:space="preserve">Students</w:t>
            </w:r>
          </w:p>
        </w:tc>
        <w:tc>
          <w:tcPr>
            <w:tcW w:type="dxa" w:w="5600"/>
            <w:shd w:fill="F8FAFC" w:val="clear"/>
            <w:tcMar>
              <w:top w:type="dxa" w:w="80"/>
              <w:left w:type="dxa" w:w="100"/>
              <w:bottom w:type="dxa" w:w="80"/>
              <w:right w:type="dxa" w:w="100"/>
            </w:tcMar>
          </w:tcPr>
          <w:p>
            <w:r>
              <w:rPr>
                <w:color w:val="0F172A"/>
                <w:sz w:val="19"/>
                <w:szCs w:val="19"/>
              </w:rPr>
              <w:t xml:space="preserve">View and manage the class roster</w:t>
            </w:r>
          </w:p>
        </w:tc>
        <w:tc>
          <w:tcPr>
            <w:tcW w:type="dxa" w:w="1500"/>
            <w:shd w:fill="F8FAFC" w:val="clear"/>
            <w:tcMar>
              <w:top w:type="dxa" w:w="80"/>
              <w:left w:type="dxa" w:w="100"/>
              <w:bottom w:type="dxa" w:w="80"/>
              <w:right w:type="dxa" w:w="100"/>
            </w:tcMar>
          </w:tcPr>
          <w:p>
            <w:r>
              <w:rPr>
                <w:color w:val="0F172A"/>
                <w:sz w:val="19"/>
                <w:szCs w:val="19"/>
              </w:rPr>
              <w:t xml:space="preserve">Everyone</w:t>
            </w:r>
          </w:p>
        </w:tc>
      </w:tr>
      <w:tr>
        <w:tc>
          <w:tcPr>
            <w:tcW w:type="dxa" w:w="2400"/>
            <w:shd w:fill="FFFFFF" w:val="clear"/>
            <w:tcMar>
              <w:top w:type="dxa" w:w="80"/>
              <w:left w:type="dxa" w:w="100"/>
              <w:bottom w:type="dxa" w:w="80"/>
              <w:right w:type="dxa" w:w="100"/>
            </w:tcMar>
          </w:tcPr>
          <w:p>
            <w:r>
              <w:rPr>
                <w:color w:val="0F172A"/>
                <w:sz w:val="19"/>
                <w:szCs w:val="19"/>
              </w:rPr>
              <w:t xml:space="preserve">Manage</w:t>
            </w:r>
          </w:p>
        </w:tc>
        <w:tc>
          <w:tcPr>
            <w:tcW w:type="dxa" w:w="5600"/>
            <w:shd w:fill="FFFFFF" w:val="clear"/>
            <w:tcMar>
              <w:top w:type="dxa" w:w="80"/>
              <w:left w:type="dxa" w:w="100"/>
              <w:bottom w:type="dxa" w:w="80"/>
              <w:right w:type="dxa" w:w="100"/>
            </w:tcMar>
          </w:tcPr>
          <w:p>
            <w:r>
              <w:rPr>
                <w:color w:val="0F172A"/>
                <w:sz w:val="19"/>
                <w:szCs w:val="19"/>
              </w:rPr>
              <w:t xml:space="preserve">Institutions, branches, classes &amp; master data</w:t>
            </w:r>
          </w:p>
        </w:tc>
        <w:tc>
          <w:tcPr>
            <w:tcW w:type="dxa" w:w="1500"/>
            <w:shd w:fill="FFFFFF" w:val="clear"/>
            <w:tcMar>
              <w:top w:type="dxa" w:w="80"/>
              <w:left w:type="dxa" w:w="100"/>
              <w:bottom w:type="dxa" w:w="80"/>
              <w:right w:type="dxa" w:w="100"/>
            </w:tcMar>
          </w:tcPr>
          <w:p>
            <w:r>
              <w:rPr>
                <w:color w:val="0F172A"/>
                <w:sz w:val="19"/>
                <w:szCs w:val="19"/>
              </w:rPr>
              <w:t xml:space="preserve">Admin only</w:t>
            </w:r>
          </w:p>
        </w:tc>
      </w:tr>
      <w:tr>
        <w:tc>
          <w:tcPr>
            <w:tcW w:type="dxa" w:w="2400"/>
            <w:shd w:fill="F8FAFC" w:val="clear"/>
            <w:tcMar>
              <w:top w:type="dxa" w:w="80"/>
              <w:left w:type="dxa" w:w="100"/>
              <w:bottom w:type="dxa" w:w="80"/>
              <w:right w:type="dxa" w:w="100"/>
            </w:tcMar>
          </w:tcPr>
          <w:p>
            <w:r>
              <w:rPr>
                <w:color w:val="0F172A"/>
                <w:sz w:val="19"/>
                <w:szCs w:val="19"/>
              </w:rPr>
              <w:t xml:space="preserve">Notice Board</w:t>
            </w:r>
          </w:p>
        </w:tc>
        <w:tc>
          <w:tcPr>
            <w:tcW w:type="dxa" w:w="5600"/>
            <w:shd w:fill="F8FAFC" w:val="clear"/>
            <w:tcMar>
              <w:top w:type="dxa" w:w="80"/>
              <w:left w:type="dxa" w:w="100"/>
              <w:bottom w:type="dxa" w:w="80"/>
              <w:right w:type="dxa" w:w="100"/>
            </w:tcMar>
          </w:tcPr>
          <w:p>
            <w:r>
              <w:rPr>
                <w:color w:val="0F172A"/>
                <w:sz w:val="19"/>
                <w:szCs w:val="19"/>
              </w:rPr>
              <w:t xml:space="preserve">Institution-wide announcements</w:t>
            </w:r>
          </w:p>
        </w:tc>
        <w:tc>
          <w:tcPr>
            <w:tcW w:type="dxa" w:w="1500"/>
            <w:shd w:fill="F8FAFC" w:val="clear"/>
            <w:tcMar>
              <w:top w:type="dxa" w:w="80"/>
              <w:left w:type="dxa" w:w="100"/>
              <w:bottom w:type="dxa" w:w="80"/>
              <w:right w:type="dxa" w:w="100"/>
            </w:tcMar>
          </w:tcPr>
          <w:p>
            <w:r>
              <w:rPr>
                <w:color w:val="0F172A"/>
                <w:sz w:val="19"/>
                <w:szCs w:val="19"/>
              </w:rPr>
              <w:t xml:space="preserve">Everyone</w:t>
            </w:r>
          </w:p>
        </w:tc>
      </w:tr>
    </w:tbl>
    <w:p>
      <w:pPr>
        <w:spacing w:after="120"/>
      </w:pPr>
    </w:p>
    <w:p>
      <w:pPr>
        <w:spacing w:after="160" w:line="300"/>
      </w:pPr>
      <w:r>
        <w:rPr>
          <w:color w:val="0F172A"/>
          <w:sz w:val="22"/>
          <w:szCs w:val="22"/>
        </w:rPr>
        <w:t xml:space="preserve">At the top of Home you'll see your current institution and branch (with a colour dot). Tap your avatar in the corner to open your Profile.</w:t>
      </w:r>
    </w:p>
    <w:p>
      <w:pPr>
        <w:pStyle w:val="Heading1"/>
        <w:spacing w:after="200" w:before="400"/>
      </w:pPr>
      <w:r>
        <w:rPr>
          <w:b/>
          <w:bCs/>
          <w:color w:val="2563EB"/>
          <w:sz w:val="32"/>
          <w:szCs w:val="32"/>
        </w:rPr>
        <w:t xml:space="preserve">7. Marking Attendance</w:t>
      </w:r>
    </w:p>
    <w:p>
      <w:pPr>
        <w:spacing w:after="160" w:line="300"/>
      </w:pPr>
      <w:r>
        <w:rPr>
          <w:color w:val="0F172A"/>
          <w:sz w:val="22"/>
          <w:szCs w:val="22"/>
        </w:rPr>
        <w:t xml:space="preserve">This is the everyday screen you'll use most — open it from the “Mark Attendance” tile.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c>
          <w:tcPr>
            <w:tcW w:type="dxa" w:w="900"/>
            <w:shd w:fill="F8FAFC" w:val="clear"/>
            <w:tcMar>
              <w:top w:type="dxa" w:w="100"/>
              <w:left w:type="dxa" w:w="120"/>
              <w:bottom w:type="dxa" w:w="100"/>
              <w:right w:type="dxa" w:w="80"/>
            </w:tcMar>
          </w:tcPr>
          <w:p>
            <w:r>
              <w:rPr>
                <w:b/>
                <w:bCs/>
                <w:color w:val="2563EB"/>
                <w:sz w:val="22"/>
                <w:szCs w:val="22"/>
              </w:rPr>
              <w:t xml:space="preserve">1</w:t>
            </w:r>
          </w:p>
        </w:tc>
        <w:tc>
          <w:tcPr>
            <w:tcW w:type="dxa" w:w="8600"/>
            <w:shd w:fill="F8FAFC" w:val="clear"/>
            <w:tcMar>
              <w:top w:type="dxa" w:w="100"/>
              <w:left w:type="dxa" w:w="120"/>
              <w:bottom w:type="dxa" w:w="100"/>
              <w:right w:type="dxa" w:w="120"/>
            </w:tcMar>
          </w:tcPr>
          <w:p>
            <w:r>
              <w:rPr>
                <w:b/>
                <w:bCs/>
                <w:color w:val="0F172A"/>
                <w:sz w:val="22"/>
                <w:szCs w:val="22"/>
              </w:rPr>
              <w:t xml:space="preserve">Pick a class</w:t>
            </w:r>
          </w:p>
          <w:p>
            <w:pPr>
              <w:spacing w:before="40"/>
            </w:pPr>
            <w:r>
              <w:rPr>
                <w:color w:val="64748B"/>
                <w:sz w:val="20"/>
                <w:szCs w:val="20"/>
              </w:rPr>
              <w:t xml:space="preserve">Use the class chips at the top to switch between class sections. Admins can add a new class here with the “+” chip.</w:t>
            </w:r>
          </w:p>
        </w:tc>
      </w:tr>
      <w:tr>
        <w:tc>
          <w:tcPr>
            <w:tcW w:type="dxa" w:w="900"/>
            <w:shd w:fill="FFFFFF" w:val="clear"/>
            <w:tcMar>
              <w:top w:type="dxa" w:w="100"/>
              <w:left w:type="dxa" w:w="120"/>
              <w:bottom w:type="dxa" w:w="100"/>
              <w:right w:type="dxa" w:w="80"/>
            </w:tcMar>
          </w:tcPr>
          <w:p>
            <w:r>
              <w:rPr>
                <w:b/>
                <w:bCs/>
                <w:color w:val="2563EB"/>
                <w:sz w:val="22"/>
                <w:szCs w:val="22"/>
              </w:rPr>
              <w:t xml:space="preserve">2</w:t>
            </w:r>
          </w:p>
        </w:tc>
        <w:tc>
          <w:tcPr>
            <w:tcW w:type="dxa" w:w="8600"/>
            <w:shd w:fill="FFFFFF" w:val="clear"/>
            <w:tcMar>
              <w:top w:type="dxa" w:w="100"/>
              <w:left w:type="dxa" w:w="120"/>
              <w:bottom w:type="dxa" w:w="100"/>
              <w:right w:type="dxa" w:w="120"/>
            </w:tcMar>
          </w:tcPr>
          <w:p>
            <w:r>
              <w:rPr>
                <w:b/>
                <w:bCs/>
                <w:color w:val="0F172A"/>
                <w:sz w:val="22"/>
                <w:szCs w:val="22"/>
              </w:rPr>
              <w:t xml:space="preserve">Check the date &amp; session type</w:t>
            </w:r>
          </w:p>
          <w:p>
            <w:pPr>
              <w:spacing w:before="40"/>
            </w:pPr>
            <w:r>
              <w:rPr>
                <w:color w:val="64748B"/>
                <w:sz w:val="20"/>
                <w:szCs w:val="20"/>
              </w:rPr>
              <w:t xml:space="preserve">The date defaults to today. Choose a session type (e.g. Lecture/Lab/Tutorial) if your institution uses them.</w:t>
            </w:r>
          </w:p>
        </w:tc>
      </w:tr>
      <w:tr>
        <w:tc>
          <w:tcPr>
            <w:tcW w:type="dxa" w:w="900"/>
            <w:shd w:fill="F8FAFC" w:val="clear"/>
            <w:tcMar>
              <w:top w:type="dxa" w:w="100"/>
              <w:left w:type="dxa" w:w="120"/>
              <w:bottom w:type="dxa" w:w="100"/>
              <w:right w:type="dxa" w:w="80"/>
            </w:tcMar>
          </w:tcPr>
          <w:p>
            <w:r>
              <w:rPr>
                <w:b/>
                <w:bCs/>
                <w:color w:val="2563EB"/>
                <w:sz w:val="22"/>
                <w:szCs w:val="22"/>
              </w:rPr>
              <w:t xml:space="preserve">3</w:t>
            </w:r>
          </w:p>
        </w:tc>
        <w:tc>
          <w:tcPr>
            <w:tcW w:type="dxa" w:w="8600"/>
            <w:shd w:fill="F8FAFC" w:val="clear"/>
            <w:tcMar>
              <w:top w:type="dxa" w:w="100"/>
              <w:left w:type="dxa" w:w="120"/>
              <w:bottom w:type="dxa" w:w="100"/>
              <w:right w:type="dxa" w:w="120"/>
            </w:tcMar>
          </w:tcPr>
          <w:p>
            <w:r>
              <w:rPr>
                <w:b/>
                <w:bCs/>
                <w:color w:val="0F172A"/>
                <w:sz w:val="22"/>
                <w:szCs w:val="22"/>
              </w:rPr>
              <w:t xml:space="preserve">Mark each student</w:t>
            </w:r>
          </w:p>
          <w:p>
            <w:pPr>
              <w:spacing w:before="40"/>
            </w:pPr>
            <w:r>
              <w:rPr>
                <w:color w:val="64748B"/>
                <w:sz w:val="20"/>
                <w:szCs w:val="20"/>
              </w:rPr>
              <w:t xml:space="preserve">Tap P for Present or A for Absent next to each name. Tapping the same button again clears the mark.</w:t>
            </w:r>
          </w:p>
        </w:tc>
      </w:tr>
      <w:tr>
        <w:tc>
          <w:tcPr>
            <w:tcW w:type="dxa" w:w="900"/>
            <w:shd w:fill="FFFFFF" w:val="clear"/>
            <w:tcMar>
              <w:top w:type="dxa" w:w="100"/>
              <w:left w:type="dxa" w:w="120"/>
              <w:bottom w:type="dxa" w:w="100"/>
              <w:right w:type="dxa" w:w="80"/>
            </w:tcMar>
          </w:tcPr>
          <w:p>
            <w:r>
              <w:rPr>
                <w:b/>
                <w:bCs/>
                <w:color w:val="2563EB"/>
                <w:sz w:val="22"/>
                <w:szCs w:val="22"/>
              </w:rPr>
              <w:t xml:space="preserve">4</w:t>
            </w:r>
          </w:p>
        </w:tc>
        <w:tc>
          <w:tcPr>
            <w:tcW w:type="dxa" w:w="8600"/>
            <w:shd w:fill="FFFFFF" w:val="clear"/>
            <w:tcMar>
              <w:top w:type="dxa" w:w="100"/>
              <w:left w:type="dxa" w:w="120"/>
              <w:bottom w:type="dxa" w:w="100"/>
              <w:right w:type="dxa" w:w="120"/>
            </w:tcMar>
          </w:tcPr>
          <w:p>
            <w:r>
              <w:rPr>
                <w:b/>
                <w:bCs/>
                <w:color w:val="0F172A"/>
                <w:sz w:val="22"/>
                <w:szCs w:val="22"/>
              </w:rPr>
              <w:t xml:space="preserve">Add a remark (optional)</w:t>
            </w:r>
          </w:p>
          <w:p>
            <w:pPr>
              <w:spacing w:before="40"/>
            </w:pPr>
            <w:r>
              <w:rPr>
                <w:color w:val="64748B"/>
                <w:sz w:val="20"/>
                <w:szCs w:val="20"/>
              </w:rPr>
              <w:t xml:space="preserve">When a student is marked Absent, a small note field appears where you can jot a reason (e.g. “Informed — sick”).</w:t>
            </w:r>
          </w:p>
        </w:tc>
      </w:tr>
      <w:tr>
        <w:tc>
          <w:tcPr>
            <w:tcW w:type="dxa" w:w="900"/>
            <w:shd w:fill="F8FAFC" w:val="clear"/>
            <w:tcMar>
              <w:top w:type="dxa" w:w="100"/>
              <w:left w:type="dxa" w:w="120"/>
              <w:bottom w:type="dxa" w:w="100"/>
              <w:right w:type="dxa" w:w="80"/>
            </w:tcMar>
          </w:tcPr>
          <w:p>
            <w:r>
              <w:rPr>
                <w:b/>
                <w:bCs/>
                <w:color w:val="2563EB"/>
                <w:sz w:val="22"/>
                <w:szCs w:val="22"/>
              </w:rPr>
              <w:t xml:space="preserve">5</w:t>
            </w:r>
          </w:p>
        </w:tc>
        <w:tc>
          <w:tcPr>
            <w:tcW w:type="dxa" w:w="8600"/>
            <w:shd w:fill="F8FAFC" w:val="clear"/>
            <w:tcMar>
              <w:top w:type="dxa" w:w="100"/>
              <w:left w:type="dxa" w:w="120"/>
              <w:bottom w:type="dxa" w:w="100"/>
              <w:right w:type="dxa" w:w="120"/>
            </w:tcMar>
          </w:tcPr>
          <w:p>
            <w:r>
              <w:rPr>
                <w:b/>
                <w:bCs/>
                <w:color w:val="0F172A"/>
                <w:sz w:val="22"/>
                <w:szCs w:val="22"/>
              </w:rPr>
              <w:t xml:space="preserve">Use search to find someone fast</w:t>
            </w:r>
          </w:p>
          <w:p>
            <w:pPr>
              <w:spacing w:before="40"/>
            </w:pPr>
            <w:r>
              <w:rPr>
                <w:color w:val="64748B"/>
                <w:sz w:val="20"/>
                <w:szCs w:val="20"/>
              </w:rPr>
              <w:t xml:space="preserve">Type a name or roll number into the search box to filter a long roster.</w:t>
            </w:r>
          </w:p>
        </w:tc>
      </w:tr>
      <w:tr>
        <w:tc>
          <w:tcPr>
            <w:tcW w:type="dxa" w:w="900"/>
            <w:shd w:fill="FFFFFF" w:val="clear"/>
            <w:tcMar>
              <w:top w:type="dxa" w:w="100"/>
              <w:left w:type="dxa" w:w="120"/>
              <w:bottom w:type="dxa" w:w="100"/>
              <w:right w:type="dxa" w:w="80"/>
            </w:tcMar>
          </w:tcPr>
          <w:p>
            <w:r>
              <w:rPr>
                <w:b/>
                <w:bCs/>
                <w:color w:val="2563EB"/>
                <w:sz w:val="22"/>
                <w:szCs w:val="22"/>
              </w:rPr>
              <w:t xml:space="preserve">6</w:t>
            </w:r>
          </w:p>
        </w:tc>
        <w:tc>
          <w:tcPr>
            <w:tcW w:type="dxa" w:w="8600"/>
            <w:shd w:fill="FFFFFF" w:val="clear"/>
            <w:tcMar>
              <w:top w:type="dxa" w:w="100"/>
              <w:left w:type="dxa" w:w="120"/>
              <w:bottom w:type="dxa" w:w="100"/>
              <w:right w:type="dxa" w:w="120"/>
            </w:tcMar>
          </w:tcPr>
          <w:p>
            <w:r>
              <w:rPr>
                <w:b/>
                <w:bCs/>
                <w:color w:val="0F172A"/>
                <w:sz w:val="22"/>
                <w:szCs w:val="22"/>
              </w:rPr>
              <w:t xml:space="preserve">Submit</w:t>
            </w:r>
          </w:p>
          <w:p>
            <w:pPr>
              <w:spacing w:before="40"/>
            </w:pPr>
            <w:r>
              <w:rPr>
                <w:color w:val="64748B"/>
                <w:sz w:val="20"/>
                <w:szCs w:val="20"/>
              </w:rPr>
              <w:t xml:space="preserve">Tap Submit at the bottom. If some students are still unmarked, AttendX will double-check before saving.</w:t>
            </w:r>
          </w:p>
        </w:tc>
      </w:tr>
    </w:tbl>
    <w:p>
      <w:pPr>
        <w:spacing w:after="120"/>
      </w:pPr>
    </w:p>
    <w:p>
      <w:pPr>
        <w:pStyle w:val="Heading2"/>
        <w:spacing w:after="150" w:before="300"/>
      </w:pPr>
      <w:r>
        <w:rPr>
          <w:b/>
          <w:bCs/>
          <w:color w:val="0F172A"/>
          <w:sz w:val="26"/>
          <w:szCs w:val="26"/>
        </w:rPr>
        <w:t xml:space="preserve">Editing a session you already saved</w:t>
      </w:r>
    </w:p>
    <w:p>
      <w:pPr>
        <w:spacing w:after="160" w:line="300"/>
      </w:pPr>
      <w:r>
        <w:rPr>
          <w:color w:val="0F172A"/>
          <w:sz w:val="22"/>
          <w:szCs w:val="22"/>
        </w:rPr>
        <w:t xml:space="preserve">Open Records, find the session, and tap Edit — it loads back into the Mark Attendance screen with your original marks, ready to adjust and re-submit. Saving again updates that same session rather than creating a duplicate.</w:t>
      </w:r>
    </w:p>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Attendance is saved on your device the instant you tap Submit — even with no internet connection. It's then quietly sent to the cloud in the background whenever you're back online.</w:t>
            </w:r>
          </w:p>
        </w:tc>
      </w:tr>
    </w:tbl>
    <w:p>
      <w:pPr>
        <w:pStyle w:val="Heading1"/>
        <w:spacing w:after="200" w:before="400"/>
      </w:pPr>
      <w:r>
        <w:rPr>
          <w:b/>
          <w:bCs/>
          <w:color w:val="2563EB"/>
          <w:sz w:val="32"/>
          <w:szCs w:val="32"/>
        </w:rPr>
        <w:t xml:space="preserve">8. Managing Students</w:t>
      </w:r>
    </w:p>
    <w:p>
      <w:pPr>
        <w:pStyle w:val="Heading2"/>
        <w:spacing w:after="150" w:before="300"/>
      </w:pPr>
      <w:r>
        <w:rPr>
          <w:b/>
          <w:bCs/>
          <w:color w:val="0F172A"/>
          <w:sz w:val="26"/>
          <w:szCs w:val="26"/>
        </w:rPr>
        <w:t xml:space="preserve">Adding students one at a time</w:t>
      </w:r>
    </w:p>
    <w:p>
      <w:pPr>
        <w:pStyle w:val="ListParagraph"/>
        <w:numPr>
          <w:ilvl w:val="0"/>
          <w:numId w:val="2"/>
        </w:numPr>
        <w:spacing w:after="90" w:line="290"/>
      </w:pPr>
      <w:r>
        <w:rPr>
          <w:color w:val="0F172A"/>
          <w:sz w:val="22"/>
          <w:szCs w:val="22"/>
        </w:rPr>
        <w:t xml:space="preserve">Open Students, select the class, and tap Add Student.</w:t>
      </w:r>
    </w:p>
    <w:p>
      <w:pPr>
        <w:pStyle w:val="ListParagraph"/>
        <w:numPr>
          <w:ilvl w:val="0"/>
          <w:numId w:val="2"/>
        </w:numPr>
        <w:spacing w:after="90" w:line="290"/>
      </w:pPr>
      <w:r>
        <w:rPr>
          <w:color w:val="0F172A"/>
          <w:sz w:val="22"/>
          <w:szCs w:val="22"/>
        </w:rPr>
        <w:t xml:space="preserve">Fill in name and roll number (required), and optionally student ID, mobile, email, and parent contact details (mobile / Telegram / email) — these are used later for parent Alerts.</w:t>
      </w:r>
    </w:p>
    <w:p>
      <w:pPr>
        <w:pStyle w:val="Heading2"/>
        <w:spacing w:after="150" w:before="300"/>
      </w:pPr>
      <w:r>
        <w:rPr>
          <w:b/>
          <w:bCs/>
          <w:color w:val="0F172A"/>
          <w:sz w:val="26"/>
          <w:szCs w:val="26"/>
        </w:rPr>
        <w:t xml:space="preserve">Bulk import via CSV</w:t>
      </w:r>
    </w:p>
    <w:p>
      <w:pPr>
        <w:spacing w:after="160" w:line="300"/>
      </w:pPr>
      <w:r>
        <w:rPr>
          <w:color w:val="0F172A"/>
          <w:sz w:val="22"/>
          <w:szCs w:val="22"/>
        </w:rPr>
        <w:t xml:space="preserve">For large rosters, import a spreadsheet instead of typing each student:</w:t>
      </w:r>
    </w:p>
    <w:p>
      <w:pPr>
        <w:pStyle w:val="ListParagraph"/>
        <w:numPr>
          <w:ilvl w:val="0"/>
          <w:numId w:val="3"/>
        </w:numPr>
        <w:spacing w:after="90" w:line="290"/>
      </w:pPr>
      <w:r>
        <w:rPr>
          <w:color w:val="0F172A"/>
          <w:sz w:val="22"/>
          <w:szCs w:val="22"/>
        </w:rPr>
        <w:t xml:space="preserve">Open Students → Import CSV.</w:t>
      </w:r>
    </w:p>
    <w:p>
      <w:pPr>
        <w:pStyle w:val="ListParagraph"/>
        <w:numPr>
          <w:ilvl w:val="0"/>
          <w:numId w:val="3"/>
        </w:numPr>
        <w:spacing w:after="90" w:line="290"/>
      </w:pPr>
      <w:r>
        <w:rPr>
          <w:color w:val="0F172A"/>
          <w:sz w:val="22"/>
          <w:szCs w:val="22"/>
        </w:rPr>
        <w:t xml:space="preserve">Prepare a .csv file with a name column (required). Optional columns: roll_number, student_id, mobile, email, parent_mobile, parent_telegram, parent_email, class_sem, section, department.</w:t>
      </w:r>
    </w:p>
    <w:p>
      <w:pPr>
        <w:pStyle w:val="ListParagraph"/>
        <w:numPr>
          <w:ilvl w:val="0"/>
          <w:numId w:val="3"/>
        </w:numPr>
        <w:spacing w:after="90" w:line="290"/>
      </w:pPr>
      <w:r>
        <w:rPr>
          <w:color w:val="0F172A"/>
          <w:sz w:val="22"/>
          <w:szCs w:val="22"/>
        </w:rPr>
        <w:t xml:space="preserve">Upload the file — AttendX shows a preview before committing the import.</w:t>
      </w:r>
    </w:p>
    <w:p>
      <w:pPr>
        <w:pStyle w:val="ListParagraph"/>
        <w:numPr>
          <w:ilvl w:val="0"/>
          <w:numId w:val="3"/>
        </w:numPr>
        <w:spacing w:after="90" w:line="290"/>
      </w:pPr>
      <w:r>
        <w:rPr>
          <w:color w:val="0F172A"/>
          <w:sz w:val="22"/>
          <w:szCs w:val="22"/>
        </w:rPr>
        <w:t xml:space="preserve">Confirm to add all the rows to the selected class.</w:t>
      </w:r>
    </w:p>
    <w:p>
      <w:pPr>
        <w:pStyle w:val="Heading2"/>
        <w:spacing w:after="150" w:before="300"/>
      </w:pPr>
      <w:r>
        <w:rPr>
          <w:b/>
          <w:bCs/>
          <w:color w:val="0F172A"/>
          <w:sz w:val="26"/>
          <w:szCs w:val="26"/>
        </w:rPr>
        <w:t xml:space="preserve">Other student tools</w:t>
      </w:r>
    </w:p>
    <w:p>
      <w:pPr>
        <w:pStyle w:val="ListParagraph"/>
        <w:numPr>
          <w:ilvl w:val="0"/>
          <w:numId w:val="2"/>
        </w:numPr>
        <w:spacing w:after="90" w:line="290"/>
      </w:pPr>
      <w:r>
        <w:rPr>
          <w:color w:val="0F172A"/>
          <w:sz w:val="22"/>
          <w:szCs w:val="22"/>
        </w:rPr>
        <w:t xml:space="preserve">A–Z / grouped view — toggle to browse students grouped alphabetically.</w:t>
      </w:r>
    </w:p>
    <w:p>
      <w:pPr>
        <w:pStyle w:val="ListParagraph"/>
        <w:numPr>
          <w:ilvl w:val="0"/>
          <w:numId w:val="2"/>
        </w:numPr>
        <w:spacing w:after="90" w:line="290"/>
      </w:pPr>
      <w:r>
        <w:rPr>
          <w:color w:val="0F172A"/>
          <w:sz w:val="22"/>
          <w:szCs w:val="22"/>
        </w:rPr>
        <w:t xml:space="preserve">Search — filter the roster by name or roll number.</w:t>
      </w:r>
    </w:p>
    <w:p>
      <w:pPr>
        <w:pStyle w:val="ListParagraph"/>
        <w:numPr>
          <w:ilvl w:val="0"/>
          <w:numId w:val="2"/>
        </w:numPr>
        <w:spacing w:after="90" w:line="290"/>
      </w:pPr>
      <w:r>
        <w:rPr>
          <w:color w:val="0F172A"/>
          <w:sz w:val="22"/>
          <w:szCs w:val="22"/>
        </w:rPr>
        <w:t xml:space="preserve">Edit / Delete — update or remove a student record (deleting a student does not remove their historical attendance already saved in past records).</w:t>
      </w:r>
    </w:p>
    <w:p>
      <w:pPr>
        <w:pStyle w:val="Heading1"/>
        <w:spacing w:after="200" w:before="400"/>
      </w:pPr>
      <w:r>
        <w:rPr>
          <w:b/>
          <w:bCs/>
          <w:color w:val="2563EB"/>
          <w:sz w:val="32"/>
          <w:szCs w:val="32"/>
        </w:rPr>
        <w:t xml:space="preserve">9. Viewing Attendance Records</w:t>
      </w:r>
    </w:p>
    <w:p>
      <w:pPr>
        <w:spacing w:after="160" w:line="300"/>
      </w:pPr>
      <w:r>
        <w:rPr>
          <w:color w:val="0F172A"/>
          <w:sz w:val="22"/>
          <w:szCs w:val="22"/>
        </w:rPr>
        <w:t xml:space="preserve">The Records screen lists every attendance session saved for the currently selected class, most recent first.</w:t>
      </w:r>
    </w:p>
    <w:p>
      <w:pPr>
        <w:pStyle w:val="ListParagraph"/>
        <w:numPr>
          <w:ilvl w:val="0"/>
          <w:numId w:val="2"/>
        </w:numPr>
        <w:spacing w:after="90" w:line="290"/>
      </w:pPr>
      <w:r>
        <w:rPr>
          <w:color w:val="0F172A"/>
          <w:sz w:val="22"/>
          <w:szCs w:val="22"/>
        </w:rPr>
        <w:t xml:space="preserve">Each entry shows the date, session type, and a colour-coded Present/Absent percentage for that session.</w:t>
      </w:r>
    </w:p>
    <w:p>
      <w:pPr>
        <w:pStyle w:val="ListParagraph"/>
        <w:numPr>
          <w:ilvl w:val="0"/>
          <w:numId w:val="2"/>
        </w:numPr>
        <w:spacing w:after="90" w:line="290"/>
      </w:pPr>
      <w:r>
        <w:rPr>
          <w:color w:val="0F172A"/>
          <w:sz w:val="22"/>
          <w:szCs w:val="22"/>
        </w:rPr>
        <w:t xml:space="preserve">Tap a session to expand it and see exactly how each student was marked.</w:t>
      </w:r>
    </w:p>
    <w:p>
      <w:pPr>
        <w:pStyle w:val="ListParagraph"/>
        <w:numPr>
          <w:ilvl w:val="0"/>
          <w:numId w:val="2"/>
        </w:numPr>
        <w:spacing w:after="90" w:line="290"/>
      </w:pPr>
      <w:r>
        <w:rPr>
          <w:color w:val="0F172A"/>
          <w:sz w:val="22"/>
          <w:szCs w:val="22"/>
        </w:rPr>
        <w:t xml:space="preserve">Use Edit to reopen a session in Mark Attendance and correct it.</w:t>
      </w:r>
    </w:p>
    <w:p>
      <w:pPr>
        <w:pStyle w:val="ListParagraph"/>
        <w:numPr>
          <w:ilvl w:val="0"/>
          <w:numId w:val="2"/>
        </w:numPr>
        <w:spacing w:after="90" w:line="290"/>
      </w:pPr>
      <w:r>
        <w:rPr>
          <w:color w:val="0F172A"/>
          <w:sz w:val="22"/>
          <w:szCs w:val="22"/>
        </w:rPr>
        <w:t xml:space="preserve">Admins can delete individual sessions, or use “Clear All” to wipe every record for the class (teachers cannot delete records).</w:t>
      </w:r>
    </w:p>
    <w:p>
      <w:pPr>
        <w:pStyle w:val="ListParagraph"/>
        <w:numPr>
          <w:ilvl w:val="0"/>
          <w:numId w:val="2"/>
        </w:numPr>
        <w:spacing w:after="90" w:line="290"/>
      </w:pPr>
      <w:r>
        <w:rPr>
          <w:color w:val="0F172A"/>
          <w:sz w:val="22"/>
          <w:szCs w:val="22"/>
        </w:rPr>
        <w:t xml:space="preserve">Use Export to download the records as a CSV file — see the export options in Section 10.</w:t>
      </w:r>
    </w:p>
    <w:p>
      <w:pPr>
        <w:pStyle w:val="Heading1"/>
        <w:spacing w:after="200" w:before="400"/>
      </w:pPr>
      <w:r>
        <w:rPr>
          <w:b/>
          <w:bCs/>
          <w:color w:val="2563EB"/>
          <w:sz w:val="32"/>
          <w:szCs w:val="32"/>
        </w:rPr>
        <w:t xml:space="preserve">10. Analytics &amp; Subject Reports</w:t>
      </w:r>
    </w:p>
    <w:p>
      <w:pPr>
        <w:pStyle w:val="Heading2"/>
        <w:spacing w:after="150" w:before="300"/>
      </w:pPr>
      <w:r>
        <w:rPr>
          <w:b/>
          <w:bCs/>
          <w:color w:val="0F172A"/>
          <w:sz w:val="26"/>
          <w:szCs w:val="26"/>
        </w:rPr>
        <w:t xml:space="preserve">Class Analytics</w:t>
      </w:r>
    </w:p>
    <w:p>
      <w:pPr>
        <w:spacing w:after="160" w:line="300"/>
      </w:pPr>
      <w:r>
        <w:rPr>
          <w:color w:val="0F172A"/>
          <w:sz w:val="22"/>
          <w:szCs w:val="22"/>
        </w:rPr>
        <w:t xml:space="preserve">Open Analytics to see a per-student attendance percentage table for the selected class. Students below the attendance threshold (75% by default) are highlighted so you can spot at-risk students at a glance. Simple bar charts show attendance trends over time and how students compare to each other.</w:t>
      </w:r>
    </w:p>
    <w:p>
      <w:pPr>
        <w:pStyle w:val="Heading2"/>
        <w:spacing w:after="150" w:before="300"/>
      </w:pPr>
      <w:r>
        <w:rPr>
          <w:b/>
          <w:bCs/>
          <w:color w:val="0F172A"/>
          <w:sz w:val="26"/>
          <w:szCs w:val="26"/>
        </w:rPr>
        <w:t xml:space="preserve">Subject Report</w:t>
      </w:r>
    </w:p>
    <w:p>
      <w:pPr>
        <w:spacing w:after="160" w:line="300"/>
      </w:pPr>
      <w:r>
        <w:rPr>
          <w:color w:val="0F172A"/>
          <w:sz w:val="22"/>
          <w:szCs w:val="22"/>
        </w:rPr>
        <w:t xml:space="preserve">A separate report lets you break attendance down by subject where subject-wise sessions are recorded, useful for departments that track per-subject attendance rather than just per-class.</w:t>
      </w:r>
    </w:p>
    <w:p>
      <w:pPr>
        <w:pStyle w:val="Heading2"/>
        <w:spacing w:after="150" w:before="300"/>
      </w:pPr>
      <w:r>
        <w:rPr>
          <w:b/>
          <w:bCs/>
          <w:color w:val="0F172A"/>
          <w:sz w:val="26"/>
          <w:szCs w:val="26"/>
        </w:rPr>
        <w:t xml:space="preserve">Exporting data</w:t>
      </w:r>
    </w:p>
    <w:p>
      <w:pPr>
        <w:spacing w:after="160" w:line="300"/>
      </w:pPr>
      <w:r>
        <w:rPr>
          <w:color w:val="0F172A"/>
          <w:sz w:val="22"/>
          <w:szCs w:val="22"/>
        </w:rPr>
        <w:t xml:space="preserve">From Records or Analytics you can export to CSV in a few shapes: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563EB" w:val="clear"/>
            <w:tcMar>
              <w:top w:type="dxa" w:w="90"/>
              <w:left w:type="dxa" w:w="100"/>
              <w:bottom w:type="dxa" w:w="90"/>
              <w:right w:type="dxa" w:w="100"/>
            </w:tcMar>
          </w:tcPr>
          <w:p>
            <w:r>
              <w:rPr>
                <w:b/>
                <w:bCs/>
                <w:color w:val="FFFFFF"/>
                <w:sz w:val="20"/>
                <w:szCs w:val="20"/>
              </w:rPr>
              <w:t xml:space="preserve">Export type</w:t>
            </w:r>
          </w:p>
        </w:tc>
        <w:tc>
          <w:tcPr>
            <w:tcW w:type="dxa" w:w="6300"/>
            <w:shd w:fill="2563EB" w:val="clear"/>
            <w:tcMar>
              <w:top w:type="dxa" w:w="90"/>
              <w:left w:type="dxa" w:w="100"/>
              <w:bottom w:type="dxa" w:w="90"/>
              <w:right w:type="dxa" w:w="100"/>
            </w:tcMar>
          </w:tcPr>
          <w:p>
            <w:r>
              <w:rPr>
                <w:b/>
                <w:bCs/>
                <w:color w:val="FFFFFF"/>
                <w:sz w:val="20"/>
                <w:szCs w:val="20"/>
              </w:rPr>
              <w:t xml:space="preserve">What you get</w:t>
            </w:r>
          </w:p>
        </w:tc>
      </w:tr>
      <w:tr>
        <w:tc>
          <w:tcPr>
            <w:tcW w:type="dxa" w:w="3200"/>
            <w:shd w:fill="F8FAFC" w:val="clear"/>
            <w:tcMar>
              <w:top w:type="dxa" w:w="80"/>
              <w:left w:type="dxa" w:w="100"/>
              <w:bottom w:type="dxa" w:w="80"/>
              <w:right w:type="dxa" w:w="100"/>
            </w:tcMar>
          </w:tcPr>
          <w:p>
            <w:r>
              <w:rPr>
                <w:color w:val="0F172A"/>
                <w:sz w:val="19"/>
                <w:szCs w:val="19"/>
              </w:rPr>
              <w:t xml:space="preserve">Session detail</w:t>
            </w:r>
          </w:p>
        </w:tc>
        <w:tc>
          <w:tcPr>
            <w:tcW w:type="dxa" w:w="6300"/>
            <w:shd w:fill="F8FAFC" w:val="clear"/>
            <w:tcMar>
              <w:top w:type="dxa" w:w="80"/>
              <w:left w:type="dxa" w:w="100"/>
              <w:bottom w:type="dxa" w:w="80"/>
              <w:right w:type="dxa" w:w="100"/>
            </w:tcMar>
          </w:tcPr>
          <w:p>
            <w:r>
              <w:rPr>
                <w:color w:val="0F172A"/>
                <w:sz w:val="19"/>
                <w:szCs w:val="19"/>
              </w:rPr>
              <w:t xml:space="preserve">One row per student per session — good for audits.</w:t>
            </w:r>
          </w:p>
        </w:tc>
      </w:tr>
      <w:tr>
        <w:tc>
          <w:tcPr>
            <w:tcW w:type="dxa" w:w="3200"/>
            <w:shd w:fill="FFFFFF" w:val="clear"/>
            <w:tcMar>
              <w:top w:type="dxa" w:w="80"/>
              <w:left w:type="dxa" w:w="100"/>
              <w:bottom w:type="dxa" w:w="80"/>
              <w:right w:type="dxa" w:w="100"/>
            </w:tcMar>
          </w:tcPr>
          <w:p>
            <w:r>
              <w:rPr>
                <w:color w:val="0F172A"/>
                <w:sz w:val="19"/>
                <w:szCs w:val="19"/>
              </w:rPr>
              <w:t xml:space="preserve">Student summary</w:t>
            </w:r>
          </w:p>
        </w:tc>
        <w:tc>
          <w:tcPr>
            <w:tcW w:type="dxa" w:w="6300"/>
            <w:shd w:fill="FFFFFF" w:val="clear"/>
            <w:tcMar>
              <w:top w:type="dxa" w:w="80"/>
              <w:left w:type="dxa" w:w="100"/>
              <w:bottom w:type="dxa" w:w="80"/>
              <w:right w:type="dxa" w:w="100"/>
            </w:tcMar>
          </w:tcPr>
          <w:p>
            <w:r>
              <w:rPr>
                <w:color w:val="0F172A"/>
                <w:sz w:val="19"/>
                <w:szCs w:val="19"/>
              </w:rPr>
              <w:t xml:space="preserve">One row per student with their overall attendance %.</w:t>
            </w:r>
          </w:p>
        </w:tc>
      </w:tr>
      <w:tr>
        <w:tc>
          <w:tcPr>
            <w:tcW w:type="dxa" w:w="3200"/>
            <w:shd w:fill="F8FAFC" w:val="clear"/>
            <w:tcMar>
              <w:top w:type="dxa" w:w="80"/>
              <w:left w:type="dxa" w:w="100"/>
              <w:bottom w:type="dxa" w:w="80"/>
              <w:right w:type="dxa" w:w="100"/>
            </w:tcMar>
          </w:tcPr>
          <w:p>
            <w:r>
              <w:rPr>
                <w:color w:val="0F172A"/>
                <w:sz w:val="19"/>
                <w:szCs w:val="19"/>
              </w:rPr>
              <w:t xml:space="preserve">Date range</w:t>
            </w:r>
          </w:p>
        </w:tc>
        <w:tc>
          <w:tcPr>
            <w:tcW w:type="dxa" w:w="6300"/>
            <w:shd w:fill="F8FAFC" w:val="clear"/>
            <w:tcMar>
              <w:top w:type="dxa" w:w="80"/>
              <w:left w:type="dxa" w:w="100"/>
              <w:bottom w:type="dxa" w:w="80"/>
              <w:right w:type="dxa" w:w="100"/>
            </w:tcMar>
          </w:tcPr>
          <w:p>
            <w:r>
              <w:rPr>
                <w:color w:val="0F172A"/>
                <w:sz w:val="19"/>
                <w:szCs w:val="19"/>
              </w:rPr>
              <w:t xml:space="preserve">Sessions filtered to a specific from/to date range.</w:t>
            </w:r>
          </w:p>
        </w:tc>
      </w:tr>
    </w:tbl>
    <w:p>
      <w:pPr>
        <w:pStyle w:val="Heading1"/>
        <w:spacing w:after="200" w:before="400"/>
      </w:pPr>
      <w:r>
        <w:rPr>
          <w:b/>
          <w:bCs/>
          <w:color w:val="2563EB"/>
          <w:sz w:val="32"/>
          <w:szCs w:val="32"/>
        </w:rPr>
        <w:t xml:space="preserve">11. Sending Parent Alerts</w:t>
      </w:r>
    </w:p>
    <w:p>
      <w:pPr>
        <w:spacing w:after="160" w:line="300"/>
      </w:pPr>
      <w:r>
        <w:rPr>
          <w:color w:val="0F172A"/>
          <w:sz w:val="22"/>
          <w:szCs w:val="22"/>
        </w:rPr>
        <w:t xml:space="preserve">Open Alerts (or tap a flagged student in the Alerts tab) to draft a message to a parent/guardian — either a single-day absence notice or a monthly attendance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0"/>
        <w:gridCol w:w="8600"/>
      </w:tblGrid>
      <w:tr>
        <w:tc>
          <w:tcPr>
            <w:tcW w:type="dxa" w:w="900"/>
            <w:shd w:fill="F8FAFC" w:val="clear"/>
            <w:tcMar>
              <w:top w:type="dxa" w:w="100"/>
              <w:left w:type="dxa" w:w="120"/>
              <w:bottom w:type="dxa" w:w="100"/>
              <w:right w:type="dxa" w:w="80"/>
            </w:tcMar>
          </w:tcPr>
          <w:p>
            <w:r>
              <w:rPr>
                <w:b/>
                <w:bCs/>
                <w:color w:val="2563EB"/>
                <w:sz w:val="22"/>
                <w:szCs w:val="22"/>
              </w:rPr>
              <w:t xml:space="preserve">1</w:t>
            </w:r>
          </w:p>
        </w:tc>
        <w:tc>
          <w:tcPr>
            <w:tcW w:type="dxa" w:w="8600"/>
            <w:shd w:fill="F8FAFC" w:val="clear"/>
            <w:tcMar>
              <w:top w:type="dxa" w:w="100"/>
              <w:left w:type="dxa" w:w="120"/>
              <w:bottom w:type="dxa" w:w="100"/>
              <w:right w:type="dxa" w:w="120"/>
            </w:tcMar>
          </w:tcPr>
          <w:p>
            <w:r>
              <w:rPr>
                <w:b/>
                <w:bCs/>
                <w:color w:val="0F172A"/>
                <w:sz w:val="22"/>
                <w:szCs w:val="22"/>
              </w:rPr>
              <w:t xml:space="preserve">Pick a student</w:t>
            </w:r>
          </w:p>
          <w:p>
            <w:pPr>
              <w:spacing w:before="40"/>
            </w:pPr>
            <w:r>
              <w:rPr>
                <w:color w:val="64748B"/>
                <w:sz w:val="20"/>
                <w:szCs w:val="20"/>
              </w:rPr>
              <w:t xml:space="preserve">AttendX auto-fills the message using that student's name, roll number, class, and institution.</w:t>
            </w:r>
          </w:p>
        </w:tc>
      </w:tr>
      <w:tr>
        <w:tc>
          <w:tcPr>
            <w:tcW w:type="dxa" w:w="900"/>
            <w:shd w:fill="FFFFFF" w:val="clear"/>
            <w:tcMar>
              <w:top w:type="dxa" w:w="100"/>
              <w:left w:type="dxa" w:w="120"/>
              <w:bottom w:type="dxa" w:w="100"/>
              <w:right w:type="dxa" w:w="80"/>
            </w:tcMar>
          </w:tcPr>
          <w:p>
            <w:r>
              <w:rPr>
                <w:b/>
                <w:bCs/>
                <w:color w:val="2563EB"/>
                <w:sz w:val="22"/>
                <w:szCs w:val="22"/>
              </w:rPr>
              <w:t xml:space="preserve">2</w:t>
            </w:r>
          </w:p>
        </w:tc>
        <w:tc>
          <w:tcPr>
            <w:tcW w:type="dxa" w:w="8600"/>
            <w:shd w:fill="FFFFFF" w:val="clear"/>
            <w:tcMar>
              <w:top w:type="dxa" w:w="100"/>
              <w:left w:type="dxa" w:w="120"/>
              <w:bottom w:type="dxa" w:w="100"/>
              <w:right w:type="dxa" w:w="120"/>
            </w:tcMar>
          </w:tcPr>
          <w:p>
            <w:r>
              <w:rPr>
                <w:b/>
                <w:bCs/>
                <w:color w:val="0F172A"/>
                <w:sz w:val="22"/>
                <w:szCs w:val="22"/>
              </w:rPr>
              <w:t xml:space="preserve">Review the channels</w:t>
            </w:r>
          </w:p>
          <w:p>
            <w:pPr>
              <w:spacing w:before="40"/>
            </w:pPr>
            <w:r>
              <w:rPr>
                <w:color w:val="64748B"/>
                <w:sz w:val="20"/>
                <w:szCs w:val="20"/>
              </w:rPr>
              <w:t xml:space="preserve">Any parent contact details on file (SMS number, email, Telegram) are shown, along with a full preview of the message text.</w:t>
            </w:r>
          </w:p>
        </w:tc>
      </w:tr>
      <w:tr>
        <w:tc>
          <w:tcPr>
            <w:tcW w:type="dxa" w:w="900"/>
            <w:shd w:fill="F8FAFC" w:val="clear"/>
            <w:tcMar>
              <w:top w:type="dxa" w:w="100"/>
              <w:left w:type="dxa" w:w="120"/>
              <w:bottom w:type="dxa" w:w="100"/>
              <w:right w:type="dxa" w:w="80"/>
            </w:tcMar>
          </w:tcPr>
          <w:p>
            <w:r>
              <w:rPr>
                <w:b/>
                <w:bCs/>
                <w:color w:val="2563EB"/>
                <w:sz w:val="22"/>
                <w:szCs w:val="22"/>
              </w:rPr>
              <w:t xml:space="preserve">3</w:t>
            </w:r>
          </w:p>
        </w:tc>
        <w:tc>
          <w:tcPr>
            <w:tcW w:type="dxa" w:w="8600"/>
            <w:shd w:fill="F8FAFC" w:val="clear"/>
            <w:tcMar>
              <w:top w:type="dxa" w:w="100"/>
              <w:left w:type="dxa" w:w="120"/>
              <w:bottom w:type="dxa" w:w="100"/>
              <w:right w:type="dxa" w:w="120"/>
            </w:tcMar>
          </w:tcPr>
          <w:p>
            <w:r>
              <w:rPr>
                <w:b/>
                <w:bCs/>
                <w:color w:val="0F172A"/>
                <w:sz w:val="22"/>
                <w:szCs w:val="22"/>
              </w:rPr>
              <w:t xml:space="preserve">Send</w:t>
            </w:r>
          </w:p>
          <w:p>
            <w:pPr>
              <w:spacing w:before="40"/>
            </w:pPr>
            <w:r>
              <w:rPr>
                <w:color w:val="64748B"/>
                <w:sz w:val="20"/>
                <w:szCs w:val="20"/>
              </w:rPr>
              <w:t xml:space="preserve">Tap Send to dispatch it.</w:t>
            </w:r>
          </w:p>
        </w:tc>
      </w:tr>
    </w:tbl>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This is a preview/composer tool — if no parent contact details are on file for a student, add them from Students first (Section 8).</w:t>
            </w:r>
          </w:p>
        </w:tc>
      </w:tr>
    </w:tbl>
    <w:p>
      <w:pPr>
        <w:pStyle w:val="Heading1"/>
        <w:spacing w:after="200" w:before="400"/>
      </w:pPr>
      <w:r>
        <w:rPr>
          <w:b/>
          <w:bCs/>
          <w:color w:val="2563EB"/>
          <w:sz w:val="32"/>
          <w:szCs w:val="32"/>
        </w:rPr>
        <w:t xml:space="preserve">12. Notice Board</w:t>
      </w:r>
    </w:p>
    <w:p>
      <w:pPr>
        <w:spacing w:after="160" w:line="300"/>
      </w:pPr>
      <w:r>
        <w:rPr>
          <w:color w:val="0F172A"/>
          <w:sz w:val="22"/>
          <w:szCs w:val="22"/>
        </w:rPr>
        <w:t xml:space="preserve">A shared announcements feed visible to everyone signed in. Admins can post, edit, and delete notices; teachers and other users can read them.</w:t>
      </w:r>
    </w:p>
    <w:p>
      <w:pPr>
        <w:pStyle w:val="Heading2"/>
        <w:spacing w:after="150" w:before="300"/>
      </w:pPr>
      <w:r>
        <w:rPr>
          <w:b/>
          <w:bCs/>
          <w:color w:val="0F172A"/>
          <w:sz w:val="26"/>
          <w:szCs w:val="26"/>
        </w:rPr>
        <w:t xml:space="preserve">Posting a notice (Admin)</w:t>
      </w:r>
    </w:p>
    <w:p>
      <w:pPr>
        <w:pStyle w:val="ListParagraph"/>
        <w:numPr>
          <w:ilvl w:val="0"/>
          <w:numId w:val="3"/>
        </w:numPr>
        <w:spacing w:after="90" w:line="290"/>
      </w:pPr>
      <w:r>
        <w:rPr>
          <w:color w:val="0F172A"/>
          <w:sz w:val="22"/>
          <w:szCs w:val="22"/>
        </w:rPr>
        <w:t xml:space="preserve">Open Notice Board → Post Notice.</w:t>
      </w:r>
    </w:p>
    <w:p>
      <w:pPr>
        <w:pStyle w:val="ListParagraph"/>
        <w:numPr>
          <w:ilvl w:val="0"/>
          <w:numId w:val="3"/>
        </w:numPr>
        <w:spacing w:after="90" w:line="290"/>
      </w:pPr>
      <w:r>
        <w:rPr>
          <w:color w:val="0F172A"/>
          <w:sz w:val="22"/>
          <w:szCs w:val="22"/>
        </w:rPr>
        <w:t xml:space="preserve">Enter a topic and description (both required).</w:t>
      </w:r>
    </w:p>
    <w:p>
      <w:pPr>
        <w:pStyle w:val="ListParagraph"/>
        <w:numPr>
          <w:ilvl w:val="0"/>
          <w:numId w:val="3"/>
        </w:numPr>
        <w:spacing w:after="90" w:line="290"/>
      </w:pPr>
      <w:r>
        <w:rPr>
          <w:color w:val="0F172A"/>
          <w:sz w:val="22"/>
          <w:szCs w:val="22"/>
        </w:rPr>
        <w:t xml:space="preserve">Optionally target it to a specific department, class, or section — leave blank to show it to everyone.</w:t>
      </w:r>
    </w:p>
    <w:p>
      <w:pPr>
        <w:pStyle w:val="ListParagraph"/>
        <w:numPr>
          <w:ilvl w:val="0"/>
          <w:numId w:val="3"/>
        </w:numPr>
        <w:spacing w:after="90" w:line="290"/>
      </w:pPr>
      <w:r>
        <w:rPr>
          <w:color w:val="0F172A"/>
          <w:sz w:val="22"/>
          <w:szCs w:val="22"/>
        </w:rPr>
        <w:t xml:space="preserve">Choose a single date, or a from/to date range for multi-day notices.</w:t>
      </w:r>
    </w:p>
    <w:p>
      <w:pPr>
        <w:pStyle w:val="ListParagraph"/>
        <w:numPr>
          <w:ilvl w:val="0"/>
          <w:numId w:val="3"/>
        </w:numPr>
        <w:spacing w:after="90" w:line="290"/>
      </w:pPr>
      <w:r>
        <w:rPr>
          <w:color w:val="0F172A"/>
          <w:sz w:val="22"/>
          <w:szCs w:val="22"/>
        </w:rPr>
        <w:t xml:space="preserve">Optionally attach a file (e.g. a circular or PDF).</w:t>
      </w:r>
    </w:p>
    <w:p>
      <w:pPr>
        <w:pStyle w:val="ListParagraph"/>
        <w:numPr>
          <w:ilvl w:val="0"/>
          <w:numId w:val="3"/>
        </w:numPr>
        <w:spacing w:after="90" w:line="290"/>
      </w:pPr>
      <w:r>
        <w:rPr>
          <w:color w:val="0F172A"/>
          <w:sz w:val="22"/>
          <w:szCs w:val="22"/>
        </w:rPr>
        <w:t xml:space="preserve">Tap Post Notice.</w:t>
      </w:r>
    </w:p>
    <w:p>
      <w:pPr>
        <w:spacing w:after="120"/>
      </w:pPr>
    </w:p>
    <w:p>
      <w:pPr>
        <w:spacing w:after="160" w:line="300"/>
      </w:pPr>
      <w:r>
        <w:rPr>
          <w:color w:val="0F172A"/>
          <w:sz w:val="22"/>
          <w:szCs w:val="22"/>
        </w:rPr>
        <w:t xml:space="preserve">A small badge on the Notice Board tile shows how many notices you haven't read yet.</w:t>
      </w:r>
    </w:p>
    <w:p>
      <w:pPr>
        <w:pStyle w:val="Heading1"/>
        <w:spacing w:after="200" w:before="400"/>
      </w:pPr>
      <w:r>
        <w:rPr>
          <w:b/>
          <w:bCs/>
          <w:color w:val="2563EB"/>
          <w:sz w:val="32"/>
          <w:szCs w:val="32"/>
        </w:rPr>
        <w:t xml:space="preserve">13. Manage (Admin Only)</w:t>
      </w:r>
    </w:p>
    <w:p>
      <w:pPr>
        <w:spacing w:after="160" w:line="300"/>
      </w:pPr>
      <w:r>
        <w:rPr>
          <w:color w:val="0F172A"/>
          <w:sz w:val="22"/>
          <w:szCs w:val="22"/>
        </w:rPr>
        <w:t xml:space="preserve">The Manage screen is the admin control centre for the structure of your institution and shared reference data. It's organised into tabs: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2563EB" w:val="clear"/>
            <w:tcMar>
              <w:top w:type="dxa" w:w="90"/>
              <w:left w:type="dxa" w:w="100"/>
              <w:bottom w:type="dxa" w:w="90"/>
              <w:right w:type="dxa" w:w="100"/>
            </w:tcMar>
          </w:tcPr>
          <w:p>
            <w:r>
              <w:rPr>
                <w:b/>
                <w:bCs/>
                <w:color w:val="FFFFFF"/>
                <w:sz w:val="20"/>
                <w:szCs w:val="20"/>
              </w:rPr>
              <w:t xml:space="preserve">Tab</w:t>
            </w:r>
          </w:p>
        </w:tc>
        <w:tc>
          <w:tcPr>
            <w:tcW w:type="dxa" w:w="6500"/>
            <w:shd w:fill="2563EB" w:val="clear"/>
            <w:tcMar>
              <w:top w:type="dxa" w:w="90"/>
              <w:left w:type="dxa" w:w="100"/>
              <w:bottom w:type="dxa" w:w="90"/>
              <w:right w:type="dxa" w:w="100"/>
            </w:tcMar>
          </w:tcPr>
          <w:p>
            <w:r>
              <w:rPr>
                <w:b/>
                <w:bCs/>
                <w:color w:val="FFFFFF"/>
                <w:sz w:val="20"/>
                <w:szCs w:val="20"/>
              </w:rPr>
              <w:t xml:space="preserve">Purpose</w:t>
            </w:r>
          </w:p>
        </w:tc>
      </w:tr>
      <w:tr>
        <w:tc>
          <w:tcPr>
            <w:tcW w:type="dxa" w:w="3000"/>
            <w:shd w:fill="F8FAFC" w:val="clear"/>
            <w:tcMar>
              <w:top w:type="dxa" w:w="80"/>
              <w:left w:type="dxa" w:w="100"/>
              <w:bottom w:type="dxa" w:w="80"/>
              <w:right w:type="dxa" w:w="100"/>
            </w:tcMar>
          </w:tcPr>
          <w:p>
            <w:r>
              <w:rPr>
                <w:color w:val="0F172A"/>
                <w:sz w:val="19"/>
                <w:szCs w:val="19"/>
              </w:rPr>
              <w:t xml:space="preserve">Institutions</w:t>
            </w:r>
          </w:p>
        </w:tc>
        <w:tc>
          <w:tcPr>
            <w:tcW w:type="dxa" w:w="6500"/>
            <w:shd w:fill="F8FAFC" w:val="clear"/>
            <w:tcMar>
              <w:top w:type="dxa" w:w="80"/>
              <w:left w:type="dxa" w:w="100"/>
              <w:bottom w:type="dxa" w:w="80"/>
              <w:right w:type="dxa" w:w="100"/>
            </w:tcMar>
          </w:tcPr>
          <w:p>
            <w:r>
              <w:rPr>
                <w:color w:val="0F172A"/>
                <w:sz w:val="19"/>
                <w:szCs w:val="19"/>
              </w:rPr>
              <w:t xml:space="preserve">Add/edit/switch institutions (Free plan: 1 active at a time).</w:t>
            </w:r>
          </w:p>
        </w:tc>
      </w:tr>
      <w:tr>
        <w:tc>
          <w:tcPr>
            <w:tcW w:type="dxa" w:w="3000"/>
            <w:shd w:fill="FFFFFF" w:val="clear"/>
            <w:tcMar>
              <w:top w:type="dxa" w:w="80"/>
              <w:left w:type="dxa" w:w="100"/>
              <w:bottom w:type="dxa" w:w="80"/>
              <w:right w:type="dxa" w:w="100"/>
            </w:tcMar>
          </w:tcPr>
          <w:p>
            <w:r>
              <w:rPr>
                <w:color w:val="0F172A"/>
                <w:sz w:val="19"/>
                <w:szCs w:val="19"/>
              </w:rPr>
              <w:t xml:space="preserve">Branches</w:t>
            </w:r>
          </w:p>
        </w:tc>
        <w:tc>
          <w:tcPr>
            <w:tcW w:type="dxa" w:w="6500"/>
            <w:shd w:fill="FFFFFF" w:val="clear"/>
            <w:tcMar>
              <w:top w:type="dxa" w:w="80"/>
              <w:left w:type="dxa" w:w="100"/>
              <w:bottom w:type="dxa" w:w="80"/>
              <w:right w:type="dxa" w:w="100"/>
            </w:tcMar>
          </w:tcPr>
          <w:p>
            <w:r>
              <w:rPr>
                <w:color w:val="0F172A"/>
                <w:sz w:val="19"/>
                <w:szCs w:val="19"/>
              </w:rPr>
              <w:t xml:space="preserve">Add/edit/switch branches or departments within the active institution.</w:t>
            </w:r>
          </w:p>
        </w:tc>
      </w:tr>
      <w:tr>
        <w:tc>
          <w:tcPr>
            <w:tcW w:type="dxa" w:w="3000"/>
            <w:shd w:fill="F8FAFC" w:val="clear"/>
            <w:tcMar>
              <w:top w:type="dxa" w:w="80"/>
              <w:left w:type="dxa" w:w="100"/>
              <w:bottom w:type="dxa" w:w="80"/>
              <w:right w:type="dxa" w:w="100"/>
            </w:tcMar>
          </w:tcPr>
          <w:p>
            <w:r>
              <w:rPr>
                <w:color w:val="0F172A"/>
                <w:sz w:val="19"/>
                <w:szCs w:val="19"/>
              </w:rPr>
              <w:t xml:space="preserve">Classes</w:t>
            </w:r>
          </w:p>
        </w:tc>
        <w:tc>
          <w:tcPr>
            <w:tcW w:type="dxa" w:w="6500"/>
            <w:shd w:fill="F8FAFC" w:val="clear"/>
            <w:tcMar>
              <w:top w:type="dxa" w:w="80"/>
              <w:left w:type="dxa" w:w="100"/>
              <w:bottom w:type="dxa" w:w="80"/>
              <w:right w:type="dxa" w:w="100"/>
            </w:tcMar>
          </w:tcPr>
          <w:p>
            <w:r>
              <w:rPr>
                <w:color w:val="0F172A"/>
                <w:sz w:val="19"/>
                <w:szCs w:val="19"/>
              </w:rPr>
              <w:t xml:space="preserve">Add/edit/delete class sections within the active branch (Free plan: up to 3).</w:t>
            </w:r>
          </w:p>
        </w:tc>
      </w:tr>
      <w:tr>
        <w:tc>
          <w:tcPr>
            <w:tcW w:type="dxa" w:w="3000"/>
            <w:shd w:fill="FFFFFF" w:val="clear"/>
            <w:tcMar>
              <w:top w:type="dxa" w:w="80"/>
              <w:left w:type="dxa" w:w="100"/>
              <w:bottom w:type="dxa" w:w="80"/>
              <w:right w:type="dxa" w:w="100"/>
            </w:tcMar>
          </w:tcPr>
          <w:p>
            <w:r>
              <w:rPr>
                <w:color w:val="0F172A"/>
                <w:sz w:val="19"/>
                <w:szCs w:val="19"/>
              </w:rPr>
              <w:t xml:space="preserve">Subjects</w:t>
            </w:r>
          </w:p>
        </w:tc>
        <w:tc>
          <w:tcPr>
            <w:tcW w:type="dxa" w:w="6500"/>
            <w:shd w:fill="FFFFFF" w:val="clear"/>
            <w:tcMar>
              <w:top w:type="dxa" w:w="80"/>
              <w:left w:type="dxa" w:w="100"/>
              <w:bottom w:type="dxa" w:w="80"/>
              <w:right w:type="dxa" w:w="100"/>
            </w:tcMar>
          </w:tcPr>
          <w:p>
            <w:r>
              <w:rPr>
                <w:color w:val="0F172A"/>
                <w:sz w:val="19"/>
                <w:szCs w:val="19"/>
              </w:rPr>
              <w:t xml:space="preserve">Maintain the simple subject list used when creating classes.</w:t>
            </w:r>
          </w:p>
        </w:tc>
      </w:tr>
      <w:tr>
        <w:tc>
          <w:tcPr>
            <w:tcW w:type="dxa" w:w="3000"/>
            <w:shd w:fill="F8FAFC" w:val="clear"/>
            <w:tcMar>
              <w:top w:type="dxa" w:w="80"/>
              <w:left w:type="dxa" w:w="100"/>
              <w:bottom w:type="dxa" w:w="80"/>
              <w:right w:type="dxa" w:w="100"/>
            </w:tcMar>
          </w:tcPr>
          <w:p>
            <w:r>
              <w:rPr>
                <w:color w:val="0F172A"/>
                <w:sz w:val="19"/>
                <w:szCs w:val="19"/>
              </w:rPr>
              <w:t xml:space="preserve">Categories / Sub-categories / Sub-sub-categories</w:t>
            </w:r>
          </w:p>
        </w:tc>
        <w:tc>
          <w:tcPr>
            <w:tcW w:type="dxa" w:w="6500"/>
            <w:shd w:fill="F8FAFC" w:val="clear"/>
            <w:tcMar>
              <w:top w:type="dxa" w:w="80"/>
              <w:left w:type="dxa" w:w="100"/>
              <w:bottom w:type="dxa" w:w="80"/>
              <w:right w:type="dxa" w:w="100"/>
            </w:tcMar>
          </w:tcPr>
          <w:p>
            <w:r>
              <w:rPr>
                <w:color w:val="0F172A"/>
                <w:sz w:val="19"/>
                <w:szCs w:val="19"/>
              </w:rPr>
              <w:t xml:space="preserve">Department → Class → Section master data, used across the app for tagging and reporting.</w:t>
            </w:r>
          </w:p>
        </w:tc>
      </w:tr>
      <w:tr>
        <w:tc>
          <w:tcPr>
            <w:tcW w:type="dxa" w:w="3000"/>
            <w:shd w:fill="FFFFFF" w:val="clear"/>
            <w:tcMar>
              <w:top w:type="dxa" w:w="80"/>
              <w:left w:type="dxa" w:w="100"/>
              <w:bottom w:type="dxa" w:w="80"/>
              <w:right w:type="dxa" w:w="100"/>
            </w:tcMar>
          </w:tcPr>
          <w:p>
            <w:r>
              <w:rPr>
                <w:color w:val="0F172A"/>
                <w:sz w:val="19"/>
                <w:szCs w:val="19"/>
              </w:rPr>
              <w:t xml:space="preserve">Subject Master</w:t>
            </w:r>
          </w:p>
        </w:tc>
        <w:tc>
          <w:tcPr>
            <w:tcW w:type="dxa" w:w="6500"/>
            <w:shd w:fill="FFFFFF" w:val="clear"/>
            <w:tcMar>
              <w:top w:type="dxa" w:w="80"/>
              <w:left w:type="dxa" w:w="100"/>
              <w:bottom w:type="dxa" w:w="80"/>
              <w:right w:type="dxa" w:w="100"/>
            </w:tcMar>
          </w:tcPr>
          <w:p>
            <w:r>
              <w:rPr>
                <w:color w:val="0F172A"/>
                <w:sz w:val="19"/>
                <w:szCs w:val="19"/>
              </w:rPr>
              <w:t xml:space="preserve">A more detailed subject list shared with reporting.</w:t>
            </w:r>
          </w:p>
        </w:tc>
      </w:tr>
    </w:tbl>
    <w:p>
      <w:pPr>
        <w:spacing w:after="120"/>
      </w:pPr>
    </w:p>
    <w:p>
      <w:pPr>
        <w:pStyle w:val="Heading2"/>
        <w:spacing w:after="150" w:before="300"/>
      </w:pPr>
      <w:r>
        <w:rPr>
          <w:b/>
          <w:bCs/>
          <w:color w:val="0F172A"/>
          <w:sz w:val="26"/>
          <w:szCs w:val="26"/>
        </w:rPr>
        <w:t xml:space="preserve">Bulk-uploading master data</w:t>
      </w:r>
    </w:p>
    <w:p>
      <w:pPr>
        <w:spacing w:after="160" w:line="300"/>
      </w:pPr>
      <w:r>
        <w:rPr>
          <w:color w:val="0F172A"/>
          <w:sz w:val="22"/>
          <w:szCs w:val="22"/>
        </w:rPr>
        <w:t xml:space="preserve">Categories, sub-categories, and sub-sub-categories can each be bulk-imported from a CSV file, the same way student rosters are — useful when setting up a new institution with many departments/classes/sections at once.</w:t>
      </w:r>
    </w:p>
    <w:p>
      <w:pPr>
        <w:pStyle w:val="Heading1"/>
        <w:spacing w:after="200" w:before="400"/>
      </w:pPr>
      <w:r>
        <w:rPr>
          <w:b/>
          <w:bCs/>
          <w:color w:val="2563EB"/>
          <w:sz w:val="32"/>
          <w:szCs w:val="32"/>
        </w:rPr>
        <w:t xml:space="preserve">14. Your Profile &amp; Settings</w:t>
      </w:r>
    </w:p>
    <w:p>
      <w:pPr>
        <w:spacing w:after="160" w:line="300"/>
      </w:pPr>
      <w:r>
        <w:rPr>
          <w:color w:val="0F172A"/>
          <w:sz w:val="22"/>
          <w:szCs w:val="22"/>
        </w:rPr>
        <w:t xml:space="preserve">Tap your avatar on the Home screen to open your profile.</w:t>
      </w:r>
    </w:p>
    <w:p>
      <w:pPr>
        <w:pStyle w:val="ListParagraph"/>
        <w:numPr>
          <w:ilvl w:val="0"/>
          <w:numId w:val="2"/>
        </w:numPr>
        <w:spacing w:after="90" w:line="290"/>
      </w:pPr>
      <w:r>
        <w:rPr>
          <w:color w:val="0F172A"/>
          <w:sz w:val="22"/>
          <w:szCs w:val="22"/>
        </w:rPr>
        <w:t xml:space="preserve">Personal info — display name, email, designation, department, phone, and a secondary email.</w:t>
      </w:r>
    </w:p>
    <w:p>
      <w:pPr>
        <w:pStyle w:val="ListParagraph"/>
        <w:numPr>
          <w:ilvl w:val="0"/>
          <w:numId w:val="2"/>
        </w:numPr>
        <w:spacing w:after="90" w:line="290"/>
      </w:pPr>
      <w:r>
        <w:rPr>
          <w:color w:val="0F172A"/>
          <w:sz w:val="22"/>
          <w:szCs w:val="22"/>
        </w:rPr>
        <w:t xml:space="preserve">Theme — switch between Light and Dark mode; it applies instantly.</w:t>
      </w:r>
    </w:p>
    <w:p>
      <w:pPr>
        <w:pStyle w:val="ListParagraph"/>
        <w:numPr>
          <w:ilvl w:val="0"/>
          <w:numId w:val="2"/>
        </w:numPr>
        <w:spacing w:after="90" w:line="290"/>
      </w:pPr>
      <w:r>
        <w:rPr>
          <w:color w:val="0F172A"/>
          <w:sz w:val="22"/>
          <w:szCs w:val="22"/>
        </w:rPr>
        <w:t xml:space="preserve">Backup &amp; Restore — Export downloads a complete backup of your data (institutions, branches, classes, students, records, notices, etc.) as a .json file. Import restores from a backup file — note this replaces your current data, so use it carefully.</w:t>
      </w:r>
    </w:p>
    <w:p>
      <w:pPr>
        <w:pStyle w:val="ListParagraph"/>
        <w:numPr>
          <w:ilvl w:val="0"/>
          <w:numId w:val="2"/>
        </w:numPr>
        <w:spacing w:after="90" w:line="290"/>
      </w:pPr>
      <w:r>
        <w:rPr>
          <w:color w:val="0F172A"/>
          <w:sz w:val="22"/>
          <w:szCs w:val="22"/>
        </w:rPr>
        <w:t xml:space="preserve">Sign Out — ends your session on this device.</w:t>
      </w:r>
    </w:p>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Back up regularly if you rely on AttendX as your primary attendance record — Export creates a file you can store safely (e.g. in cloud storage or email it to yourself).</w:t>
            </w:r>
          </w:p>
        </w:tc>
      </w:tr>
    </w:tbl>
    <w:p>
      <w:pPr>
        <w:pStyle w:val="Heading1"/>
        <w:spacing w:after="200" w:before="400"/>
      </w:pPr>
      <w:r>
        <w:rPr>
          <w:b/>
          <w:bCs/>
          <w:color w:val="2563EB"/>
          <w:sz w:val="32"/>
          <w:szCs w:val="32"/>
        </w:rPr>
        <w:t xml:space="preserve">15. Working Offline</w:t>
      </w:r>
    </w:p>
    <w:p>
      <w:pPr>
        <w:spacing w:after="160" w:line="300"/>
      </w:pPr>
      <w:r>
        <w:rPr>
          <w:color w:val="0F172A"/>
          <w:sz w:val="22"/>
          <w:szCs w:val="22"/>
        </w:rPr>
        <w:t xml:space="preserve">AttendX is designed to keep working with no signal:</w:t>
      </w:r>
    </w:p>
    <w:p>
      <w:pPr>
        <w:pStyle w:val="ListParagraph"/>
        <w:numPr>
          <w:ilvl w:val="0"/>
          <w:numId w:val="2"/>
        </w:numPr>
        <w:spacing w:after="90" w:line="290"/>
      </w:pPr>
      <w:r>
        <w:rPr>
          <w:color w:val="0F172A"/>
          <w:sz w:val="22"/>
          <w:szCs w:val="22"/>
        </w:rPr>
        <w:t xml:space="preserve">Once you've opened AttendX at least once, the app itself (screens, buttons, styling) continues to load even with airplane mode on.</w:t>
      </w:r>
    </w:p>
    <w:p>
      <w:pPr>
        <w:pStyle w:val="ListParagraph"/>
        <w:numPr>
          <w:ilvl w:val="0"/>
          <w:numId w:val="2"/>
        </w:numPr>
        <w:spacing w:after="90" w:line="290"/>
      </w:pPr>
      <w:r>
        <w:rPr>
          <w:color w:val="0F172A"/>
          <w:sz w:val="22"/>
          <w:szCs w:val="22"/>
        </w:rPr>
        <w:t xml:space="preserve">Attendance you mark offline is saved immediately on your device — nothing is lost.</w:t>
      </w:r>
    </w:p>
    <w:p>
      <w:pPr>
        <w:pStyle w:val="ListParagraph"/>
        <w:numPr>
          <w:ilvl w:val="0"/>
          <w:numId w:val="2"/>
        </w:numPr>
        <w:spacing w:after="90" w:line="290"/>
      </w:pPr>
      <w:r>
        <w:rPr>
          <w:color w:val="0F172A"/>
          <w:sz w:val="22"/>
          <w:szCs w:val="22"/>
        </w:rPr>
        <w:t xml:space="preserve">When your connection returns, AttendX quietly syncs your changes to the cloud in the background; there's no “sync” button to press.</w:t>
      </w:r>
    </w:p>
    <w:p>
      <w:pPr>
        <w:pStyle w:val="ListParagraph"/>
        <w:numPr>
          <w:ilvl w:val="0"/>
          <w:numId w:val="2"/>
        </w:numPr>
        <w:spacing w:after="90" w:line="290"/>
      </w:pPr>
      <w:r>
        <w:rPr>
          <w:color w:val="0F172A"/>
          <w:sz w:val="22"/>
          <w:szCs w:val="22"/>
        </w:rPr>
        <w:t xml:space="preserve">Actions that need live data from other users (like refreshing the Notice Board with a new post from someone else) will simply show your last-known copy until you're back online.</w:t>
      </w:r>
    </w:p>
    <w:p>
      <w:pPr>
        <w:pStyle w:val="Heading1"/>
        <w:spacing w:after="200" w:before="400"/>
      </w:pPr>
      <w:r>
        <w:rPr>
          <w:b/>
          <w:bCs/>
          <w:color w:val="2563EB"/>
          <w:sz w:val="32"/>
          <w:szCs w:val="32"/>
        </w:rPr>
        <w:t xml:space="preserve">16. Roles: Admin vs Teacher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00"/>
        <w:gridCol w:w="2300"/>
        <w:gridCol w:w="2600"/>
      </w:tblGrid>
      <w:tr>
        <w:trPr>
          <w:tblHeader/>
        </w:trPr>
        <w:tc>
          <w:tcPr>
            <w:tcW w:type="dxa" w:w="4600"/>
            <w:shd w:fill="2563EB" w:val="clear"/>
            <w:tcMar>
              <w:top w:type="dxa" w:w="90"/>
              <w:left w:type="dxa" w:w="100"/>
              <w:bottom w:type="dxa" w:w="90"/>
              <w:right w:type="dxa" w:w="100"/>
            </w:tcMar>
          </w:tcPr>
          <w:p>
            <w:r>
              <w:rPr>
                <w:b/>
                <w:bCs/>
                <w:color w:val="FFFFFF"/>
                <w:sz w:val="20"/>
                <w:szCs w:val="20"/>
              </w:rPr>
              <w:t xml:space="preserve">Capability</w:t>
            </w:r>
          </w:p>
        </w:tc>
        <w:tc>
          <w:tcPr>
            <w:tcW w:type="dxa" w:w="2300"/>
            <w:shd w:fill="2563EB" w:val="clear"/>
            <w:tcMar>
              <w:top w:type="dxa" w:w="90"/>
              <w:left w:type="dxa" w:w="100"/>
              <w:bottom w:type="dxa" w:w="90"/>
              <w:right w:type="dxa" w:w="100"/>
            </w:tcMar>
          </w:tcPr>
          <w:p>
            <w:r>
              <w:rPr>
                <w:b/>
                <w:bCs/>
                <w:color w:val="FFFFFF"/>
                <w:sz w:val="20"/>
                <w:szCs w:val="20"/>
              </w:rPr>
              <w:t xml:space="preserve">Admin</w:t>
            </w:r>
          </w:p>
        </w:tc>
        <w:tc>
          <w:tcPr>
            <w:tcW w:type="dxa" w:w="2600"/>
            <w:shd w:fill="2563EB" w:val="clear"/>
            <w:tcMar>
              <w:top w:type="dxa" w:w="90"/>
              <w:left w:type="dxa" w:w="100"/>
              <w:bottom w:type="dxa" w:w="90"/>
              <w:right w:type="dxa" w:w="100"/>
            </w:tcMar>
          </w:tcPr>
          <w:p>
            <w:r>
              <w:rPr>
                <w:b/>
                <w:bCs/>
                <w:color w:val="FFFFFF"/>
                <w:sz w:val="20"/>
                <w:szCs w:val="20"/>
              </w:rPr>
              <w:t xml:space="preserve">Teacher</w:t>
            </w:r>
          </w:p>
        </w:tc>
      </w:tr>
      <w:tr>
        <w:tc>
          <w:tcPr>
            <w:tcW w:type="dxa" w:w="4600"/>
            <w:shd w:fill="F8FAFC" w:val="clear"/>
            <w:tcMar>
              <w:top w:type="dxa" w:w="80"/>
              <w:left w:type="dxa" w:w="100"/>
              <w:bottom w:type="dxa" w:w="80"/>
              <w:right w:type="dxa" w:w="100"/>
            </w:tcMar>
          </w:tcPr>
          <w:p>
            <w:r>
              <w:rPr>
                <w:color w:val="0F172A"/>
                <w:sz w:val="19"/>
                <w:szCs w:val="19"/>
              </w:rPr>
              <w:t xml:space="preserve">Mark attendance</w:t>
            </w:r>
          </w:p>
        </w:tc>
        <w:tc>
          <w:tcPr>
            <w:tcW w:type="dxa" w:w="2300"/>
            <w:shd w:fill="F8FAFC" w:val="clear"/>
            <w:tcMar>
              <w:top w:type="dxa" w:w="80"/>
              <w:left w:type="dxa" w:w="100"/>
              <w:bottom w:type="dxa" w:w="80"/>
              <w:right w:type="dxa" w:w="100"/>
            </w:tcMar>
          </w:tcPr>
          <w:p>
            <w:r>
              <w:rPr>
                <w:color w:val="0F172A"/>
                <w:sz w:val="19"/>
                <w:szCs w:val="19"/>
              </w:rPr>
              <w:t xml:space="preserve">Yes</w:t>
            </w:r>
          </w:p>
        </w:tc>
        <w:tc>
          <w:tcPr>
            <w:tcW w:type="dxa" w:w="2600"/>
            <w:shd w:fill="F8FAFC" w:val="clear"/>
            <w:tcMar>
              <w:top w:type="dxa" w:w="80"/>
              <w:left w:type="dxa" w:w="100"/>
              <w:bottom w:type="dxa" w:w="80"/>
              <w:right w:type="dxa" w:w="100"/>
            </w:tcMar>
          </w:tcPr>
          <w:p>
            <w:r>
              <w:rPr>
                <w:color w:val="0F172A"/>
                <w:sz w:val="19"/>
                <w:szCs w:val="19"/>
              </w:rPr>
              <w:t xml:space="preserve">Yes</w:t>
            </w:r>
          </w:p>
        </w:tc>
      </w:tr>
      <w:tr>
        <w:tc>
          <w:tcPr>
            <w:tcW w:type="dxa" w:w="4600"/>
            <w:shd w:fill="FFFFFF" w:val="clear"/>
            <w:tcMar>
              <w:top w:type="dxa" w:w="80"/>
              <w:left w:type="dxa" w:w="100"/>
              <w:bottom w:type="dxa" w:w="80"/>
              <w:right w:type="dxa" w:w="100"/>
            </w:tcMar>
          </w:tcPr>
          <w:p>
            <w:r>
              <w:rPr>
                <w:color w:val="0F172A"/>
                <w:sz w:val="19"/>
                <w:szCs w:val="19"/>
              </w:rPr>
              <w:t xml:space="preserve">View records &amp; analytics</w:t>
            </w:r>
          </w:p>
        </w:tc>
        <w:tc>
          <w:tcPr>
            <w:tcW w:type="dxa" w:w="2300"/>
            <w:shd w:fill="FFFFFF" w:val="clear"/>
            <w:tcMar>
              <w:top w:type="dxa" w:w="80"/>
              <w:left w:type="dxa" w:w="100"/>
              <w:bottom w:type="dxa" w:w="80"/>
              <w:right w:type="dxa" w:w="100"/>
            </w:tcMar>
          </w:tcPr>
          <w:p>
            <w:r>
              <w:rPr>
                <w:color w:val="0F172A"/>
                <w:sz w:val="19"/>
                <w:szCs w:val="19"/>
              </w:rPr>
              <w:t xml:space="preserve">Yes</w:t>
            </w:r>
          </w:p>
        </w:tc>
        <w:tc>
          <w:tcPr>
            <w:tcW w:type="dxa" w:w="2600"/>
            <w:shd w:fill="FFFFFF" w:val="clear"/>
            <w:tcMar>
              <w:top w:type="dxa" w:w="80"/>
              <w:left w:type="dxa" w:w="100"/>
              <w:bottom w:type="dxa" w:w="80"/>
              <w:right w:type="dxa" w:w="100"/>
            </w:tcMar>
          </w:tcPr>
          <w:p>
            <w:r>
              <w:rPr>
                <w:color w:val="0F172A"/>
                <w:sz w:val="19"/>
                <w:szCs w:val="19"/>
              </w:rPr>
              <w:t xml:space="preserve">Yes</w:t>
            </w:r>
          </w:p>
        </w:tc>
      </w:tr>
      <w:tr>
        <w:tc>
          <w:tcPr>
            <w:tcW w:type="dxa" w:w="4600"/>
            <w:shd w:fill="F8FAFC" w:val="clear"/>
            <w:tcMar>
              <w:top w:type="dxa" w:w="80"/>
              <w:left w:type="dxa" w:w="100"/>
              <w:bottom w:type="dxa" w:w="80"/>
              <w:right w:type="dxa" w:w="100"/>
            </w:tcMar>
          </w:tcPr>
          <w:p>
            <w:r>
              <w:rPr>
                <w:color w:val="0F172A"/>
                <w:sz w:val="19"/>
                <w:szCs w:val="19"/>
              </w:rPr>
              <w:t xml:space="preserve">Send parent alerts</w:t>
            </w:r>
          </w:p>
        </w:tc>
        <w:tc>
          <w:tcPr>
            <w:tcW w:type="dxa" w:w="2300"/>
            <w:shd w:fill="F8FAFC" w:val="clear"/>
            <w:tcMar>
              <w:top w:type="dxa" w:w="80"/>
              <w:left w:type="dxa" w:w="100"/>
              <w:bottom w:type="dxa" w:w="80"/>
              <w:right w:type="dxa" w:w="100"/>
            </w:tcMar>
          </w:tcPr>
          <w:p>
            <w:r>
              <w:rPr>
                <w:color w:val="0F172A"/>
                <w:sz w:val="19"/>
                <w:szCs w:val="19"/>
              </w:rPr>
              <w:t xml:space="preserve">Yes</w:t>
            </w:r>
          </w:p>
        </w:tc>
        <w:tc>
          <w:tcPr>
            <w:tcW w:type="dxa" w:w="2600"/>
            <w:shd w:fill="F8FAFC" w:val="clear"/>
            <w:tcMar>
              <w:top w:type="dxa" w:w="80"/>
              <w:left w:type="dxa" w:w="100"/>
              <w:bottom w:type="dxa" w:w="80"/>
              <w:right w:type="dxa" w:w="100"/>
            </w:tcMar>
          </w:tcPr>
          <w:p>
            <w:r>
              <w:rPr>
                <w:color w:val="0F172A"/>
                <w:sz w:val="19"/>
                <w:szCs w:val="19"/>
              </w:rPr>
              <w:t xml:space="preserve">Yes</w:t>
            </w:r>
          </w:p>
        </w:tc>
      </w:tr>
      <w:tr>
        <w:tc>
          <w:tcPr>
            <w:tcW w:type="dxa" w:w="4600"/>
            <w:shd w:fill="FFFFFF" w:val="clear"/>
            <w:tcMar>
              <w:top w:type="dxa" w:w="80"/>
              <w:left w:type="dxa" w:w="100"/>
              <w:bottom w:type="dxa" w:w="80"/>
              <w:right w:type="dxa" w:w="100"/>
            </w:tcMar>
          </w:tcPr>
          <w:p>
            <w:r>
              <w:rPr>
                <w:color w:val="0F172A"/>
                <w:sz w:val="19"/>
                <w:szCs w:val="19"/>
              </w:rPr>
              <w:t xml:space="preserve">Add/edit/delete students</w:t>
            </w:r>
          </w:p>
        </w:tc>
        <w:tc>
          <w:tcPr>
            <w:tcW w:type="dxa" w:w="2300"/>
            <w:shd w:fill="FFFFFF" w:val="clear"/>
            <w:tcMar>
              <w:top w:type="dxa" w:w="80"/>
              <w:left w:type="dxa" w:w="100"/>
              <w:bottom w:type="dxa" w:w="80"/>
              <w:right w:type="dxa" w:w="100"/>
            </w:tcMar>
          </w:tcPr>
          <w:p>
            <w:r>
              <w:rPr>
                <w:color w:val="0F172A"/>
                <w:sz w:val="19"/>
                <w:szCs w:val="19"/>
              </w:rPr>
              <w:t xml:space="preserve">Yes</w:t>
            </w:r>
          </w:p>
        </w:tc>
        <w:tc>
          <w:tcPr>
            <w:tcW w:type="dxa" w:w="2600"/>
            <w:shd w:fill="FFFFFF" w:val="clear"/>
            <w:tcMar>
              <w:top w:type="dxa" w:w="80"/>
              <w:left w:type="dxa" w:w="100"/>
              <w:bottom w:type="dxa" w:w="80"/>
              <w:right w:type="dxa" w:w="100"/>
            </w:tcMar>
          </w:tcPr>
          <w:p>
            <w:r>
              <w:rPr>
                <w:color w:val="0F172A"/>
                <w:sz w:val="19"/>
                <w:szCs w:val="19"/>
              </w:rPr>
              <w:t xml:space="preserve">Yes</w:t>
            </w:r>
          </w:p>
        </w:tc>
      </w:tr>
      <w:tr>
        <w:tc>
          <w:tcPr>
            <w:tcW w:type="dxa" w:w="4600"/>
            <w:shd w:fill="F8FAFC" w:val="clear"/>
            <w:tcMar>
              <w:top w:type="dxa" w:w="80"/>
              <w:left w:type="dxa" w:w="100"/>
              <w:bottom w:type="dxa" w:w="80"/>
              <w:right w:type="dxa" w:w="100"/>
            </w:tcMar>
          </w:tcPr>
          <w:p>
            <w:r>
              <w:rPr>
                <w:color w:val="0F172A"/>
                <w:sz w:val="19"/>
                <w:szCs w:val="19"/>
              </w:rPr>
              <w:t xml:space="preserve">Delete attendance records</w:t>
            </w:r>
          </w:p>
        </w:tc>
        <w:tc>
          <w:tcPr>
            <w:tcW w:type="dxa" w:w="2300"/>
            <w:shd w:fill="F8FAFC" w:val="clear"/>
            <w:tcMar>
              <w:top w:type="dxa" w:w="80"/>
              <w:left w:type="dxa" w:w="100"/>
              <w:bottom w:type="dxa" w:w="80"/>
              <w:right w:type="dxa" w:w="100"/>
            </w:tcMar>
          </w:tcPr>
          <w:p>
            <w:r>
              <w:rPr>
                <w:color w:val="0F172A"/>
                <w:sz w:val="19"/>
                <w:szCs w:val="19"/>
              </w:rPr>
              <w:t xml:space="preserve">Yes</w:t>
            </w:r>
          </w:p>
        </w:tc>
        <w:tc>
          <w:tcPr>
            <w:tcW w:type="dxa" w:w="2600"/>
            <w:shd w:fill="F8FAFC" w:val="clear"/>
            <w:tcMar>
              <w:top w:type="dxa" w:w="80"/>
              <w:left w:type="dxa" w:w="100"/>
              <w:bottom w:type="dxa" w:w="80"/>
              <w:right w:type="dxa" w:w="100"/>
            </w:tcMar>
          </w:tcPr>
          <w:p>
            <w:r>
              <w:rPr>
                <w:color w:val="0F172A"/>
                <w:sz w:val="19"/>
                <w:szCs w:val="19"/>
              </w:rPr>
              <w:t xml:space="preserve">No</w:t>
            </w:r>
          </w:p>
        </w:tc>
      </w:tr>
      <w:tr>
        <w:tc>
          <w:tcPr>
            <w:tcW w:type="dxa" w:w="4600"/>
            <w:shd w:fill="FFFFFF" w:val="clear"/>
            <w:tcMar>
              <w:top w:type="dxa" w:w="80"/>
              <w:left w:type="dxa" w:w="100"/>
              <w:bottom w:type="dxa" w:w="80"/>
              <w:right w:type="dxa" w:w="100"/>
            </w:tcMar>
          </w:tcPr>
          <w:p>
            <w:r>
              <w:rPr>
                <w:color w:val="0F172A"/>
                <w:sz w:val="19"/>
                <w:szCs w:val="19"/>
              </w:rPr>
              <w:t xml:space="preserve">Access Manage (institutions/branches/classes/master data)</w:t>
            </w:r>
          </w:p>
        </w:tc>
        <w:tc>
          <w:tcPr>
            <w:tcW w:type="dxa" w:w="2300"/>
            <w:shd w:fill="FFFFFF" w:val="clear"/>
            <w:tcMar>
              <w:top w:type="dxa" w:w="80"/>
              <w:left w:type="dxa" w:w="100"/>
              <w:bottom w:type="dxa" w:w="80"/>
              <w:right w:type="dxa" w:w="100"/>
            </w:tcMar>
          </w:tcPr>
          <w:p>
            <w:r>
              <w:rPr>
                <w:color w:val="0F172A"/>
                <w:sz w:val="19"/>
                <w:szCs w:val="19"/>
              </w:rPr>
              <w:t xml:space="preserve">Yes</w:t>
            </w:r>
          </w:p>
        </w:tc>
        <w:tc>
          <w:tcPr>
            <w:tcW w:type="dxa" w:w="2600"/>
            <w:shd w:fill="FFFFFF" w:val="clear"/>
            <w:tcMar>
              <w:top w:type="dxa" w:w="80"/>
              <w:left w:type="dxa" w:w="100"/>
              <w:bottom w:type="dxa" w:w="80"/>
              <w:right w:type="dxa" w:w="100"/>
            </w:tcMar>
          </w:tcPr>
          <w:p>
            <w:r>
              <w:rPr>
                <w:color w:val="0F172A"/>
                <w:sz w:val="19"/>
                <w:szCs w:val="19"/>
              </w:rPr>
              <w:t xml:space="preserve">No</w:t>
            </w:r>
          </w:p>
        </w:tc>
      </w:tr>
      <w:tr>
        <w:tc>
          <w:tcPr>
            <w:tcW w:type="dxa" w:w="4600"/>
            <w:shd w:fill="F8FAFC" w:val="clear"/>
            <w:tcMar>
              <w:top w:type="dxa" w:w="80"/>
              <w:left w:type="dxa" w:w="100"/>
              <w:bottom w:type="dxa" w:w="80"/>
              <w:right w:type="dxa" w:w="100"/>
            </w:tcMar>
          </w:tcPr>
          <w:p>
            <w:r>
              <w:rPr>
                <w:color w:val="0F172A"/>
                <w:sz w:val="19"/>
                <w:szCs w:val="19"/>
              </w:rPr>
              <w:t xml:space="preserve">Post/edit/delete notices</w:t>
            </w:r>
          </w:p>
        </w:tc>
        <w:tc>
          <w:tcPr>
            <w:tcW w:type="dxa" w:w="2300"/>
            <w:shd w:fill="F8FAFC" w:val="clear"/>
            <w:tcMar>
              <w:top w:type="dxa" w:w="80"/>
              <w:left w:type="dxa" w:w="100"/>
              <w:bottom w:type="dxa" w:w="80"/>
              <w:right w:type="dxa" w:w="100"/>
            </w:tcMar>
          </w:tcPr>
          <w:p>
            <w:r>
              <w:rPr>
                <w:color w:val="0F172A"/>
                <w:sz w:val="19"/>
                <w:szCs w:val="19"/>
              </w:rPr>
              <w:t xml:space="preserve">Yes</w:t>
            </w:r>
          </w:p>
        </w:tc>
        <w:tc>
          <w:tcPr>
            <w:tcW w:type="dxa" w:w="2600"/>
            <w:shd w:fill="F8FAFC" w:val="clear"/>
            <w:tcMar>
              <w:top w:type="dxa" w:w="80"/>
              <w:left w:type="dxa" w:w="100"/>
              <w:bottom w:type="dxa" w:w="80"/>
              <w:right w:type="dxa" w:w="100"/>
            </w:tcMar>
          </w:tcPr>
          <w:p>
            <w:r>
              <w:rPr>
                <w:color w:val="0F172A"/>
                <w:sz w:val="19"/>
                <w:szCs w:val="19"/>
              </w:rPr>
              <w:t xml:space="preserve">No (read-only)</w:t>
            </w:r>
          </w:p>
        </w:tc>
      </w:tr>
    </w:tbl>
    <w:p>
      <w:pPr>
        <w:pStyle w:val="Heading1"/>
        <w:spacing w:after="200" w:before="400"/>
      </w:pPr>
      <w:r>
        <w:rPr>
          <w:b/>
          <w:bCs/>
          <w:color w:val="2563EB"/>
          <w:sz w:val="32"/>
          <w:szCs w:val="32"/>
        </w:rPr>
        <w:t xml:space="preserve">17. Free Plan Limits</w:t>
      </w:r>
    </w:p>
    <w:p>
      <w:pPr>
        <w:spacing w:after="160" w:line="300"/>
      </w:pPr>
      <w:r>
        <w:rPr>
          <w:color w:val="0F172A"/>
          <w:sz w:val="22"/>
          <w:szCs w:val="22"/>
        </w:rPr>
        <w:t xml:space="preserve">AttendX's Free plan keeps things simple with a few soft limits, shown during setup and enforced in the Manage screen:</w:t>
      </w:r>
    </w:p>
    <w:p>
      <w:pPr>
        <w:pStyle w:val="ListParagraph"/>
        <w:numPr>
          <w:ilvl w:val="0"/>
          <w:numId w:val="2"/>
        </w:numPr>
        <w:spacing w:after="90" w:line="290"/>
      </w:pPr>
      <w:r>
        <w:rPr>
          <w:color w:val="0F172A"/>
          <w:sz w:val="22"/>
          <w:szCs w:val="22"/>
        </w:rPr>
        <w:t xml:space="preserve">1 active institution at a time.</w:t>
      </w:r>
    </w:p>
    <w:p>
      <w:pPr>
        <w:pStyle w:val="ListParagraph"/>
        <w:numPr>
          <w:ilvl w:val="0"/>
          <w:numId w:val="2"/>
        </w:numPr>
        <w:spacing w:after="90" w:line="290"/>
      </w:pPr>
      <w:r>
        <w:rPr>
          <w:color w:val="0F172A"/>
          <w:sz w:val="22"/>
          <w:szCs w:val="22"/>
        </w:rPr>
        <w:t xml:space="preserve">1 active branch/department at a time.</w:t>
      </w:r>
    </w:p>
    <w:p>
      <w:pPr>
        <w:pStyle w:val="ListParagraph"/>
        <w:numPr>
          <w:ilvl w:val="0"/>
          <w:numId w:val="2"/>
        </w:numPr>
        <w:spacing w:after="90" w:line="290"/>
      </w:pPr>
      <w:r>
        <w:rPr>
          <w:color w:val="0F172A"/>
          <w:sz w:val="22"/>
          <w:szCs w:val="22"/>
        </w:rPr>
        <w:t xml:space="preserve">Up to 3 class sections per active institution + branch combination.</w:t>
      </w:r>
    </w:p>
    <w:p>
      <w:pPr>
        <w:spacing w:after="120"/>
      </w:pPr>
    </w:p>
    <w:tbl>
      <w:tblPr>
        <w:tblW w:type="pct" w:w="100%"/>
        <w:tblBorders>
          <w:top w:val="single" w:color="2563EB" w:sz="4"/>
          <w:left w:val="single" w:color="2563EB" w:sz="4"/>
          <w:bottom w:val="single" w:color="2563EB" w:sz="4"/>
          <w:right w:val="single" w:color="2563EB"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r>
              <w:rPr>
                <w:b/>
                <w:bCs/>
                <w:color w:val="2563EB"/>
                <w:sz w:val="21"/>
                <w:szCs w:val="21"/>
              </w:rPr>
              <w:t xml:space="preserve">Note: </w:t>
            </w:r>
            <w:r>
              <w:rPr>
                <w:color w:val="0F172A"/>
                <w:sz w:val="21"/>
                <w:szCs w:val="21"/>
              </w:rPr>
              <w:t xml:space="preserve">These limits apply to how many institutions/branches/classes can be active at once, not to the number of students or attendance records you can store.</w:t>
            </w:r>
          </w:p>
        </w:tc>
      </w:tr>
    </w:tbl>
    <w:p>
      <w:pPr>
        <w:pStyle w:val="Heading1"/>
        <w:spacing w:after="200" w:before="400"/>
      </w:pPr>
      <w:r>
        <w:rPr>
          <w:b/>
          <w:bCs/>
          <w:color w:val="2563EB"/>
          <w:sz w:val="32"/>
          <w:szCs w:val="32"/>
        </w:rPr>
        <w:t xml:space="preserve">18. Troubleshooting &amp; FAQ</w:t>
      </w:r>
    </w:p>
    <w:p>
      <w:pPr>
        <w:pStyle w:val="Heading3"/>
        <w:spacing w:after="100" w:before="200"/>
      </w:pPr>
      <w:r>
        <w:rPr>
          <w:b/>
          <w:bCs/>
          <w:color w:val="2563EB"/>
          <w:sz w:val="22"/>
          <w:szCs w:val="22"/>
        </w:rPr>
        <w:t xml:space="preserve">I can't sign in — “Account exists, but not as a…”</w:t>
      </w:r>
    </w:p>
    <w:p>
      <w:pPr>
        <w:spacing w:after="160" w:line="300"/>
      </w:pPr>
      <w:r>
        <w:rPr>
          <w:color w:val="0F172A"/>
          <w:sz w:val="22"/>
          <w:szCs w:val="22"/>
        </w:rPr>
        <w:t xml:space="preserve">You selected the wrong role. Every account is registered as either Admin or Teacher — reselect the correct role next to your username and try again.</w:t>
      </w:r>
    </w:p>
    <w:p>
      <w:pPr>
        <w:pStyle w:val="Heading3"/>
        <w:spacing w:after="100" w:before="200"/>
      </w:pPr>
      <w:r>
        <w:rPr>
          <w:b/>
          <w:bCs/>
          <w:color w:val="2563EB"/>
          <w:sz w:val="22"/>
          <w:szCs w:val="22"/>
        </w:rPr>
        <w:t xml:space="preserve">The Biometric button isn't showing</w:t>
      </w:r>
    </w:p>
    <w:p>
      <w:pPr>
        <w:spacing w:after="160" w:line="300"/>
      </w:pPr>
      <w:r>
        <w:rPr>
          <w:color w:val="0F172A"/>
          <w:sz w:val="22"/>
          <w:szCs w:val="22"/>
        </w:rPr>
        <w:t xml:space="preserve">It only appears once at least one account on this device has biometric login set up, and it requires a secure (https) connection or localhost — it won't appear on an insecure http:// address.</w:t>
      </w:r>
    </w:p>
    <w:p>
      <w:pPr>
        <w:pStyle w:val="Heading3"/>
        <w:spacing w:after="100" w:before="200"/>
      </w:pPr>
      <w:r>
        <w:rPr>
          <w:b/>
          <w:bCs/>
          <w:color w:val="2563EB"/>
          <w:sz w:val="22"/>
          <w:szCs w:val="22"/>
        </w:rPr>
        <w:t xml:space="preserve">My attendance didn't seem to sync</w:t>
      </w:r>
    </w:p>
    <w:p>
      <w:pPr>
        <w:spacing w:after="160" w:line="300"/>
      </w:pPr>
      <w:r>
        <w:rPr>
          <w:color w:val="0F172A"/>
          <w:sz w:val="22"/>
          <w:szCs w:val="22"/>
        </w:rPr>
        <w:t xml:space="preserve">Check you're connected to the internet — AttendX always saves locally first, so your data is safe, but cloud sync only happens while online. It will catch up automatically next time you're connected.</w:t>
      </w:r>
    </w:p>
    <w:p>
      <w:pPr>
        <w:pStyle w:val="Heading3"/>
        <w:spacing w:after="100" w:before="200"/>
      </w:pPr>
      <w:r>
        <w:rPr>
          <w:b/>
          <w:bCs/>
          <w:color w:val="2563EB"/>
          <w:sz w:val="22"/>
          <w:szCs w:val="22"/>
        </w:rPr>
        <w:t xml:space="preserve">I accidentally imported the wrong backup file</w:t>
      </w:r>
    </w:p>
    <w:p>
      <w:pPr>
        <w:spacing w:after="160" w:line="300"/>
      </w:pPr>
      <w:r>
        <w:rPr>
          <w:color w:val="0F172A"/>
          <w:sz w:val="22"/>
          <w:szCs w:val="22"/>
        </w:rPr>
        <w:t xml:space="preserve">Restoring a backup fully replaces your current data. If you have a more recent Export file, import that one to recover; otherwise data changed since your last backup cannot be recovered.</w:t>
      </w:r>
    </w:p>
    <w:p>
      <w:pPr>
        <w:pStyle w:val="Heading3"/>
        <w:spacing w:after="100" w:before="200"/>
      </w:pPr>
      <w:r>
        <w:rPr>
          <w:b/>
          <w:bCs/>
          <w:color w:val="2563EB"/>
          <w:sz w:val="22"/>
          <w:szCs w:val="22"/>
        </w:rPr>
        <w:t xml:space="preserve">A student's attendance % looks wrong</w:t>
      </w:r>
    </w:p>
    <w:p>
      <w:pPr>
        <w:spacing w:after="160" w:line="300"/>
      </w:pPr>
      <w:r>
        <w:rPr>
          <w:color w:val="0F172A"/>
          <w:sz w:val="22"/>
          <w:szCs w:val="22"/>
        </w:rPr>
        <w:t xml:space="preserve">Percentages are calculated only from sessions where that student was actually marked Present or Absent — students who were never marked in a session aren't counted for it.</w:t>
      </w:r>
    </w:p>
    <w:p>
      <w:pPr>
        <w:pStyle w:val="Heading3"/>
        <w:spacing w:after="100" w:before="200"/>
      </w:pPr>
      <w:r>
        <w:rPr>
          <w:b/>
          <w:bCs/>
          <w:color w:val="2563EB"/>
          <w:sz w:val="22"/>
          <w:szCs w:val="22"/>
        </w:rPr>
        <w:t xml:space="preserve">Where is the Bluetooth Attendance option?</w:t>
      </w:r>
    </w:p>
    <w:p>
      <w:pPr>
        <w:spacing w:after="160" w:line="300"/>
      </w:pPr>
      <w:r>
        <w:rPr>
          <w:color w:val="0F172A"/>
          <w:sz w:val="22"/>
          <w:szCs w:val="22"/>
        </w:rPr>
        <w:t xml:space="preserve">An automatic Bluetooth-based attendance shortcut is present in the interface but currently disabled/hidden pending its companion feature; it is not active in this version.</w:t>
      </w:r>
    </w:p>
    <w:p>
      <w:pPr>
        <w:spacing w:after="300"/>
      </w:pPr>
    </w:p>
    <w:p>
      <w:pPr>
        <w:spacing w:before="400"/>
        <w:jc w:val="center"/>
      </w:pPr>
      <w:r>
        <w:rPr>
          <w:i/>
          <w:iCs/>
          <w:color w:val="64748B"/>
          <w:sz w:val="20"/>
          <w:szCs w:val="20"/>
        </w:rPr>
        <w:t xml:space="preserve">— End of User Manual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2026-08-15T14:54:32.981Z</dcterms:created>
  <dcterms:modified xsi:type="dcterms:W3CDTF">2026-08-15T14:54:32.994Z</dcterms:modified>
</cp:coreProperties>
</file>

<file path=docProps/custom.xml><?xml version="1.0" encoding="utf-8"?>
<Properties xmlns="http://schemas.openxmlformats.org/officeDocument/2006/custom-properties" xmlns:vt="http://schemas.openxmlformats.org/officeDocument/2006/docPropsVTypes"/>
</file>