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w:hAnsi="Arial"/>
          <w:b/>
          <w:color w:val="0F2D4A"/>
          <w:sz w:val="56"/>
        </w:rPr>
        <w:t>JANSAATHI AI</w:t>
      </w:r>
    </w:p>
    <w:p>
      <w:pPr>
        <w:spacing w:before="0" w:after="240"/>
      </w:pPr>
      <w:r>
        <w:rPr>
          <w:rFonts w:ascii="Arial" w:hAnsi="Arial"/>
          <w:b/>
          <w:color w:val="0D9488"/>
          <w:sz w:val="28"/>
        </w:rPr>
        <w:t>Production-Ready Human-in-the-Loop Multilingual Clinical Triage Assistant</w:t>
      </w:r>
    </w:p>
    <w:p>
      <w:pPr>
        <w:spacing w:before="0" w:after="320"/>
      </w:pPr>
      <w:r>
        <w:rPr>
          <w:rFonts w:ascii="Arial" w:hAnsi="Arial"/>
          <w:i/>
          <w:color w:val="64748B"/>
          <w:sz w:val="22"/>
        </w:rPr>
        <w:t>“Every language. One structured triage note. A qualified human always decides.”</w:t>
      </w:r>
    </w:p>
    <w:tbl>
      <w:tblPr>
        <w:tblW w:type="auto" w:w="0"/>
        <w:jc w:val="center"/>
        <w:tblLook w:firstColumn="1" w:firstRow="1" w:lastColumn="0" w:lastRow="0" w:noHBand="0" w:noVBand="1" w:val="04A0"/>
      </w:tblPr>
      <w:tblGrid>
        <w:gridCol w:w="4680"/>
        <w:gridCol w:w="4680"/>
      </w:tblGrid>
      <w:tr>
        <w:tc>
          <w:tcPr>
            <w:tcW w:type="dxa" w:w="3168"/>
            <w:shd w:fill="F8FAFC"/>
            <w:tcMar>
              <w:top w:w="60" w:type="dxa"/>
              <w:bottom w:w="60" w:type="dxa"/>
              <w:left w:w="100" w:type="dxa"/>
              <w:right w:w="100" w:type="dxa"/>
            </w:tcMar>
          </w:tcPr>
          <w:p>
            <w:pPr>
              <w:spacing w:after="0"/>
            </w:pPr>
            <w:r>
              <w:rPr>
                <w:rFonts w:ascii="Arial" w:hAnsi="Arial"/>
                <w:b/>
                <w:color w:val="0F2D4A"/>
                <w:sz w:val="19"/>
              </w:rPr>
              <w:t>Document Classification:</w:t>
            </w:r>
          </w:p>
        </w:tc>
        <w:tc>
          <w:tcPr>
            <w:tcW w:type="dxa" w:w="6192"/>
            <w:shd w:fill="FFFFFF"/>
            <w:tcMar>
              <w:top w:w="60" w:type="dxa"/>
              <w:bottom w:w="60" w:type="dxa"/>
              <w:left w:w="100" w:type="dxa"/>
              <w:right w:w="100" w:type="dxa"/>
            </w:tcMar>
          </w:tcPr>
          <w:p>
            <w:pPr>
              <w:spacing w:after="0"/>
            </w:pPr>
            <w:r>
              <w:rPr>
                <w:rFonts w:ascii="Arial" w:hAnsi="Arial"/>
                <w:color w:val="1E293B"/>
                <w:sz w:val="19"/>
              </w:rPr>
              <w:t>Official Technical &amp; Clinical Architecture Specification</w:t>
            </w:r>
          </w:p>
        </w:tc>
      </w:tr>
      <w:tr>
        <w:tc>
          <w:tcPr>
            <w:tcW w:type="dxa" w:w="3168"/>
            <w:shd w:fill="F8FAFC"/>
            <w:tcMar>
              <w:top w:w="60" w:type="dxa"/>
              <w:bottom w:w="60" w:type="dxa"/>
              <w:left w:w="100" w:type="dxa"/>
              <w:right w:w="100" w:type="dxa"/>
            </w:tcMar>
          </w:tcPr>
          <w:p>
            <w:pPr>
              <w:spacing w:after="0"/>
            </w:pPr>
            <w:r>
              <w:rPr>
                <w:rFonts w:ascii="Arial" w:hAnsi="Arial"/>
                <w:b/>
                <w:color w:val="0F2D4A"/>
                <w:sz w:val="19"/>
              </w:rPr>
              <w:t>System Release &amp; Version:</w:t>
            </w:r>
          </w:p>
        </w:tc>
        <w:tc>
          <w:tcPr>
            <w:tcW w:type="dxa" w:w="6192"/>
            <w:shd w:fill="FFFFFF"/>
            <w:tcMar>
              <w:top w:w="60" w:type="dxa"/>
              <w:bottom w:w="60" w:type="dxa"/>
              <w:left w:w="100" w:type="dxa"/>
              <w:right w:w="100" w:type="dxa"/>
            </w:tcMar>
          </w:tcPr>
          <w:p>
            <w:pPr>
              <w:spacing w:after="0"/>
            </w:pPr>
            <w:r>
              <w:rPr>
                <w:rFonts w:ascii="Arial" w:hAnsi="Arial"/>
                <w:color w:val="1E293B"/>
                <w:sz w:val="19"/>
              </w:rPr>
              <w:t>v1.0.0-PROD (Enterprise Health Infrastructure)</w:t>
            </w:r>
          </w:p>
        </w:tc>
      </w:tr>
      <w:tr>
        <w:tc>
          <w:tcPr>
            <w:tcW w:type="dxa" w:w="3168"/>
            <w:shd w:fill="F8FAFC"/>
            <w:tcMar>
              <w:top w:w="60" w:type="dxa"/>
              <w:bottom w:w="60" w:type="dxa"/>
              <w:left w:w="100" w:type="dxa"/>
              <w:right w:w="100" w:type="dxa"/>
            </w:tcMar>
          </w:tcPr>
          <w:p>
            <w:pPr>
              <w:spacing w:after="0"/>
            </w:pPr>
            <w:r>
              <w:rPr>
                <w:rFonts w:ascii="Arial" w:hAnsi="Arial"/>
                <w:b/>
                <w:color w:val="0F2D4A"/>
                <w:sz w:val="19"/>
              </w:rPr>
              <w:t>Target Deployments:</w:t>
            </w:r>
          </w:p>
        </w:tc>
        <w:tc>
          <w:tcPr>
            <w:tcW w:type="dxa" w:w="6192"/>
            <w:shd w:fill="FFFFFF"/>
            <w:tcMar>
              <w:top w:w="60" w:type="dxa"/>
              <w:bottom w:w="60" w:type="dxa"/>
              <w:left w:w="100" w:type="dxa"/>
              <w:right w:w="100" w:type="dxa"/>
            </w:tcMar>
          </w:tcPr>
          <w:p>
            <w:pPr>
              <w:spacing w:after="0"/>
            </w:pPr>
            <w:r>
              <w:rPr>
                <w:rFonts w:ascii="Arial" w:hAnsi="Arial"/>
                <w:color w:val="1E293B"/>
                <w:sz w:val="19"/>
              </w:rPr>
              <w:t>Primary Health Centres (PHCs), CHCs, Public Camps, Company Clinics</w:t>
            </w:r>
          </w:p>
        </w:tc>
      </w:tr>
      <w:tr>
        <w:tc>
          <w:tcPr>
            <w:tcW w:type="dxa" w:w="3168"/>
            <w:shd w:fill="F8FAFC"/>
            <w:tcMar>
              <w:top w:w="60" w:type="dxa"/>
              <w:bottom w:w="60" w:type="dxa"/>
              <w:left w:w="100" w:type="dxa"/>
              <w:right w:w="100" w:type="dxa"/>
            </w:tcMar>
          </w:tcPr>
          <w:p>
            <w:pPr>
              <w:spacing w:after="0"/>
            </w:pPr>
            <w:r>
              <w:rPr>
                <w:rFonts w:ascii="Arial" w:hAnsi="Arial"/>
                <w:b/>
                <w:color w:val="0F2D4A"/>
                <w:sz w:val="19"/>
              </w:rPr>
              <w:t>Date of Publication:</w:t>
            </w:r>
          </w:p>
        </w:tc>
        <w:tc>
          <w:tcPr>
            <w:tcW w:type="dxa" w:w="6192"/>
            <w:shd w:fill="FFFFFF"/>
            <w:tcMar>
              <w:top w:w="60" w:type="dxa"/>
              <w:bottom w:w="60" w:type="dxa"/>
              <w:left w:w="100" w:type="dxa"/>
              <w:right w:w="100" w:type="dxa"/>
            </w:tcMar>
          </w:tcPr>
          <w:p>
            <w:pPr>
              <w:spacing w:after="0"/>
            </w:pPr>
            <w:r>
              <w:rPr>
                <w:rFonts w:ascii="Arial" w:hAnsi="Arial"/>
                <w:color w:val="1E293B"/>
                <w:sz w:val="19"/>
              </w:rPr>
              <w:t>October 2026 • Verified Engineering Report</w:t>
            </w:r>
          </w:p>
        </w:tc>
      </w:tr>
    </w:tbl>
    <w:p>
      <w:pPr>
        <w:spacing w:after="280"/>
      </w:pPr>
    </w:p>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none"/>
              <w:left w:val="single" w:sz="24" w:space="0" w:color="B91C1C"/>
              <w:bottom w:val="none"/>
              <w:right w:val="none"/>
            </w:tcBorders>
          </w:tcPr>
          <w:p>
            <w:pPr>
              <w:spacing w:before="0" w:after="40"/>
            </w:pPr>
            <w:r>
              <w:rPr>
                <w:rFonts w:ascii="Arial" w:hAnsi="Arial"/>
                <w:b/>
                <w:color w:val="B91C1C"/>
                <w:sz w:val="21"/>
              </w:rPr>
              <w:t>MANDATORY CLINICAL GOVERNANCE &amp; SAFETY NOTICE</w:t>
              <w:br/>
            </w:r>
            <w:r>
              <w:rPr>
                <w:rFonts w:ascii="Arial" w:hAnsi="Arial"/>
                <w:color w:val="1E293B"/>
                <w:sz w:val="19"/>
              </w:rPr>
              <w:t>JANSAATHI AI is strictly an administrative and clinical triage-support system. It NEVER acts as an autonomous doctor, never produces medical diagnoses, never prescribes medications or treatment plans, and never calculates disease probability scores. Every clinical decision, diagnosis, and referral authorization remains the exclusive legal responsibility of a qualified healthcare professional.</w:t>
            </w:r>
          </w:p>
        </w:tc>
      </w:tr>
    </w:tbl>
    <w:p>
      <w:pPr>
        <w:spacing w:after="80"/>
      </w:pPr>
    </w:p>
    <w:p>
      <w:pPr>
        <w:keepNext/>
        <w:spacing w:before="360" w:after="120"/>
      </w:pPr>
      <w:r>
        <w:rPr>
          <w:rFonts w:ascii="Arial" w:hAnsi="Arial"/>
          <w:b/>
          <w:color w:val="0F2D4A"/>
          <w:sz w:val="32"/>
        </w:rPr>
        <w:t>1. Executive Summary</w:t>
      </w:r>
    </w:p>
    <w:p>
      <w:pPr>
        <w:spacing w:before="0" w:after="120" w:line="276" w:lineRule="auto"/>
      </w:pPr>
      <w:r>
        <w:rPr>
          <w:rFonts w:ascii="Arial" w:hAnsi="Arial"/>
          <w:color w:val="1E293B"/>
          <w:sz w:val="20"/>
        </w:rPr>
        <w:t>Across public healthcare ecosystems in India—encompassing Primary Health Centres (PHCs), Community Health Centres (CHCs), high-volume public health camps, and industrial occupational health clinics—clinical consultations face a persistent challenge: high patient loads combined with messy, fragmented, and linguistically diverse patient histories. Attending physicians often have only minutes per consultation to decipher dialectal narratives, paper diagnostic slips, and unorganized prior histories.</w:t>
      </w:r>
    </w:p>
    <w:p>
      <w:pPr>
        <w:spacing w:before="0" w:after="120" w:line="276" w:lineRule="auto"/>
      </w:pPr>
      <w:r>
        <w:rPr>
          <w:rFonts w:ascii="Arial" w:hAnsi="Arial"/>
          <w:color w:val="1E293B"/>
          <w:sz w:val="20"/>
        </w:rPr>
        <w:t>JANSAATHI AI solves this critical bottleneck by acting as an objective, human-in-the-loop information organizer. It captures multilingual patient speech, written text, uploaded lab reports, and sensor telemetry, automatically synthesizing them into a clean, standardized, chronologically ordered triage summary. By presenting attending clinicians with high-visibility urgency flags, discrete lab values, and highlighted clinical information gaps before the consultation begins, JANSAATHI AI dramatically accelerates patient review without compromising clinical safety.</w:t>
      </w:r>
    </w:p>
    <w:p>
      <w:pPr>
        <w:spacing w:before="0" w:after="120" w:line="276" w:lineRule="auto"/>
      </w:pPr>
      <w:r>
        <w:rPr>
          <w:rFonts w:ascii="Arial" w:hAnsi="Arial"/>
          <w:color w:val="1E293B"/>
          <w:sz w:val="20"/>
        </w:rPr>
        <w:t>Crucially, JANSAATHI AI is engineered under a strict Zero Software Investment mandate. Utilizing free and open-source infrastructure—including browser-native Web Speech recognition, client-side Tesseract.js Web Worker OCR, Web Serial/Bluetooth medical telemetry, Google Gemini 2.5 Flash free-tier integration, and Supabase PostgreSQL with Row Level Security—the entire platform can be deployed at zero operational software cost.</w:t>
      </w:r>
    </w:p>
    <w:p>
      <w:pPr>
        <w:keepNext/>
        <w:spacing w:before="360" w:after="120"/>
      </w:pPr>
      <w:r>
        <w:rPr>
          <w:rFonts w:ascii="Arial" w:hAnsi="Arial"/>
          <w:b/>
          <w:color w:val="0F2D4A"/>
          <w:sz w:val="32"/>
        </w:rPr>
        <w:t>2. Problem Statement &amp; Healthcare Landscape</w:t>
      </w:r>
    </w:p>
    <w:p>
      <w:pPr>
        <w:keepNext/>
        <w:spacing w:before="240" w:after="80"/>
      </w:pPr>
      <w:r>
        <w:rPr>
          <w:rFonts w:ascii="Arial" w:hAnsi="Arial"/>
          <w:b/>
          <w:color w:val="0D9488"/>
          <w:sz w:val="26"/>
        </w:rPr>
        <w:t>2.1 The Frontline Healthcare Challenge in India</w:t>
      </w:r>
    </w:p>
    <w:p>
      <w:pPr>
        <w:spacing w:before="0" w:after="120" w:line="276" w:lineRule="auto"/>
      </w:pPr>
      <w:r>
        <w:rPr>
          <w:rFonts w:ascii="Arial" w:hAnsi="Arial"/>
          <w:color w:val="1E293B"/>
          <w:sz w:val="20"/>
        </w:rPr>
        <w:t>Frontline healthcare in India operates under acute resource constraints. Key friction points include:</w:t>
      </w:r>
    </w:p>
    <w:p>
      <w:pPr>
        <w:spacing w:before="0" w:after="120" w:line="276" w:lineRule="auto"/>
      </w:pPr>
      <w:r>
        <w:rPr>
          <w:rFonts w:ascii="Arial" w:hAnsi="Arial"/>
          <w:b/>
          <w:color w:val="0F2D4A"/>
          <w:sz w:val="20"/>
        </w:rPr>
        <w:t xml:space="preserve">• Linguistic Fragmentation: </w:t>
      </w:r>
      <w:r>
        <w:rPr>
          <w:rFonts w:ascii="Arial" w:hAnsi="Arial"/>
          <w:color w:val="1E293B"/>
          <w:sz w:val="20"/>
        </w:rPr>
        <w:t>India has 22 officially recognized languages and hundreds of local dialects. Patients frequently express complex medical symptoms in colloquial regional idioms that health workers or rotating physicians may misinterpret.</w:t>
      </w:r>
    </w:p>
    <w:p>
      <w:pPr>
        <w:spacing w:before="0" w:after="120" w:line="276" w:lineRule="auto"/>
      </w:pPr>
      <w:r>
        <w:rPr>
          <w:rFonts w:ascii="Arial" w:hAnsi="Arial"/>
          <w:b/>
          <w:color w:val="0F2D4A"/>
          <w:sz w:val="20"/>
        </w:rPr>
        <w:t xml:space="preserve">• Consultation Time Constraints: </w:t>
      </w:r>
      <w:r>
        <w:rPr>
          <w:rFonts w:ascii="Arial" w:hAnsi="Arial"/>
          <w:color w:val="1E293B"/>
          <w:sz w:val="20"/>
        </w:rPr>
        <w:t>A single medical officer at a PHC may see between 80 to 150 patients in a morning outpatient shift. Deciphering unorganized patient narratives creates severe consultation fatigue.</w:t>
      </w:r>
    </w:p>
    <w:p>
      <w:pPr>
        <w:spacing w:before="0" w:after="120" w:line="276" w:lineRule="auto"/>
      </w:pPr>
      <w:r>
        <w:rPr>
          <w:rFonts w:ascii="Arial" w:hAnsi="Arial"/>
          <w:b/>
          <w:color w:val="0F2D4A"/>
          <w:sz w:val="20"/>
        </w:rPr>
        <w:t xml:space="preserve">• Paper Report Bottlenecks: </w:t>
      </w:r>
      <w:r>
        <w:rPr>
          <w:rFonts w:ascii="Arial" w:hAnsi="Arial"/>
          <w:color w:val="1E293B"/>
          <w:sz w:val="20"/>
        </w:rPr>
        <w:t>Patients arrive with wrinkled paper lab reports, handwritten doctor slips, or discharge summaries. Clinicians must manually hunt for abnormal parameters such as hemoglobin, platelets, or blood sugar.</w:t>
      </w:r>
    </w:p>
    <w:p>
      <w:pPr>
        <w:spacing w:before="0" w:after="120" w:line="276" w:lineRule="auto"/>
      </w:pPr>
      <w:r>
        <w:rPr>
          <w:rFonts w:ascii="Arial" w:hAnsi="Arial"/>
          <w:b/>
          <w:color w:val="0F2D4A"/>
          <w:sz w:val="20"/>
        </w:rPr>
        <w:t xml:space="preserve">• Triage Inconsistency: </w:t>
      </w:r>
      <w:r>
        <w:rPr>
          <w:rFonts w:ascii="Arial" w:hAnsi="Arial"/>
          <w:color w:val="1E293B"/>
          <w:sz w:val="20"/>
        </w:rPr>
        <w:t>Emergency red flags (such as acute myocardial infarction symptoms, hypoxia, or FAST stroke signals) are often buried in prolonged narrative descriptions, leading to delayed prioritization in crowded general queues.</w:t>
      </w:r>
    </w:p>
    <w:p>
      <w:pPr>
        <w:keepNext/>
        <w:spacing w:before="240" w:after="80"/>
      </w:pPr>
      <w:r>
        <w:rPr>
          <w:rFonts w:ascii="Arial" w:hAnsi="Arial"/>
          <w:b/>
          <w:color w:val="0D9488"/>
          <w:sz w:val="26"/>
        </w:rPr>
        <w:t>2.2 The Fatal Flaws of Autonomous 'AI Doctors'</w:t>
      </w:r>
    </w:p>
    <w:p>
      <w:pPr>
        <w:spacing w:before="0" w:after="120" w:line="276" w:lineRule="auto"/>
      </w:pPr>
      <w:r>
        <w:rPr>
          <w:rFonts w:ascii="Arial" w:hAnsi="Arial"/>
          <w:color w:val="1E293B"/>
          <w:sz w:val="20"/>
        </w:rPr>
        <w:t>In response to healthcare shortages, many software projects have attempted to build autonomous diagnostic bots that output disease probabilities and drug prescriptions. In real-world clinical environments, this approach presents catastrophic risks:</w:t>
      </w:r>
    </w:p>
    <w:p>
      <w:pPr>
        <w:spacing w:before="0" w:after="120" w:line="276" w:lineRule="auto"/>
      </w:pPr>
      <w:r>
        <w:rPr>
          <w:rFonts w:ascii="Arial" w:hAnsi="Arial"/>
          <w:b/>
          <w:color w:val="0F2D4A"/>
          <w:sz w:val="20"/>
        </w:rPr>
        <w:t xml:space="preserve">1. Hallucination Risk: </w:t>
      </w:r>
      <w:r>
        <w:rPr>
          <w:rFonts w:ascii="Arial" w:hAnsi="Arial"/>
          <w:color w:val="1E293B"/>
          <w:sz w:val="20"/>
        </w:rPr>
        <w:t>Generative LLMs hallucinate plausible-sounding medical conditions, leading to false alarms or fatal oversights.</w:t>
      </w:r>
    </w:p>
    <w:p>
      <w:pPr>
        <w:spacing w:before="0" w:after="120" w:line="276" w:lineRule="auto"/>
      </w:pPr>
      <w:r>
        <w:rPr>
          <w:rFonts w:ascii="Arial" w:hAnsi="Arial"/>
          <w:b/>
          <w:color w:val="0F2D4A"/>
          <w:sz w:val="20"/>
        </w:rPr>
        <w:t xml:space="preserve">2. Legal &amp; Regulatory Barriers: </w:t>
      </w:r>
      <w:r>
        <w:rPr>
          <w:rFonts w:ascii="Arial" w:hAnsi="Arial"/>
          <w:color w:val="1E293B"/>
          <w:sz w:val="20"/>
        </w:rPr>
        <w:t>Under Indian medical governance (National Medical Commission), software algorithms cannot legally prescribe medications or assume malpractice liability.</w:t>
      </w:r>
    </w:p>
    <w:p>
      <w:pPr>
        <w:spacing w:before="0" w:after="120" w:line="276" w:lineRule="auto"/>
      </w:pPr>
      <w:r>
        <w:rPr>
          <w:rFonts w:ascii="Arial" w:hAnsi="Arial"/>
          <w:b/>
          <w:color w:val="0F2D4A"/>
          <w:sz w:val="20"/>
        </w:rPr>
        <w:t xml:space="preserve">3. Patient Harm &amp; Overconfidence: </w:t>
      </w:r>
      <w:r>
        <w:rPr>
          <w:rFonts w:ascii="Arial" w:hAnsi="Arial"/>
          <w:color w:val="1E293B"/>
          <w:sz w:val="20"/>
        </w:rPr>
        <w:t>Automated systems that give patients direct diagnostic feedback induce health anxiety and erode trust in human clinicians.</w:t>
      </w:r>
    </w:p>
    <w:p>
      <w:pPr>
        <w:keepNext/>
        <w:spacing w:before="360" w:after="120"/>
      </w:pPr>
      <w:r>
        <w:rPr>
          <w:rFonts w:ascii="Arial" w:hAnsi="Arial"/>
          <w:b/>
          <w:color w:val="0F2D4A"/>
          <w:sz w:val="32"/>
        </w:rPr>
        <w:t>3. The JANSAATHI AI Solution: Human-in-the-Loop Triage</w:t>
      </w:r>
    </w:p>
    <w:p>
      <w:pPr>
        <w:spacing w:before="0" w:after="120" w:line="276" w:lineRule="auto"/>
      </w:pPr>
      <w:r>
        <w:rPr>
          <w:rFonts w:ascii="Arial" w:hAnsi="Arial"/>
          <w:color w:val="1E293B"/>
          <w:sz w:val="20"/>
        </w:rPr>
        <w:t>JANSAATHI AI establishes an uncompromising operational divide between administrative data organization and clinical decision-making:</w:t>
      </w:r>
    </w:p>
    <w:tbl>
      <w:tblPr>
        <w:tblW w:type="auto" w:w="0"/>
        <w:jc w:val="center"/>
        <w:tblLook w:firstColumn="1" w:firstRow="1" w:lastColumn="0" w:lastRow="0" w:noHBand="0" w:noVBand="1" w:val="04A0"/>
      </w:tblPr>
      <w:tblGrid>
        <w:gridCol w:w="3120"/>
        <w:gridCol w:w="3120"/>
        <w:gridCol w:w="3120"/>
      </w:tblGrid>
      <w:tr>
        <w:tc>
          <w:tcPr>
            <w:tcW w:type="dxa" w:w="3120"/>
            <w:shd w:fill="0F2D4A"/>
            <w:tcMar>
              <w:top w:w="100" w:type="dxa"/>
              <w:bottom w:w="100" w:type="dxa"/>
              <w:left w:w="120" w:type="dxa"/>
              <w:right w:w="120" w:type="dxa"/>
            </w:tcMar>
          </w:tcPr>
          <w:p>
            <w:r>
              <w:rPr>
                <w:rFonts w:ascii="Arial" w:hAnsi="Arial"/>
                <w:b/>
                <w:color w:val="FFFFFF"/>
                <w:sz w:val="18"/>
              </w:rPr>
              <w:t>Workflow Dimension</w:t>
            </w:r>
          </w:p>
        </w:tc>
        <w:tc>
          <w:tcPr>
            <w:tcW w:type="dxa" w:w="3120"/>
            <w:shd w:fill="0F2D4A"/>
            <w:tcMar>
              <w:top w:w="100" w:type="dxa"/>
              <w:bottom w:w="100" w:type="dxa"/>
              <w:left w:w="120" w:type="dxa"/>
              <w:right w:w="120" w:type="dxa"/>
            </w:tcMar>
          </w:tcPr>
          <w:p>
            <w:r>
              <w:rPr>
                <w:rFonts w:ascii="Arial" w:hAnsi="Arial"/>
                <w:b/>
                <w:color w:val="FFFFFF"/>
                <w:sz w:val="18"/>
              </w:rPr>
              <w:t>Autonomous AI Bots (Harmful)</w:t>
            </w:r>
          </w:p>
        </w:tc>
        <w:tc>
          <w:tcPr>
            <w:tcW w:type="dxa" w:w="3120"/>
            <w:shd w:fill="0F2D4A"/>
            <w:tcMar>
              <w:top w:w="100" w:type="dxa"/>
              <w:bottom w:w="100" w:type="dxa"/>
              <w:left w:w="120" w:type="dxa"/>
              <w:right w:w="120" w:type="dxa"/>
            </w:tcMar>
          </w:tcPr>
          <w:p>
            <w:r>
              <w:rPr>
                <w:rFonts w:ascii="Arial" w:hAnsi="Arial"/>
                <w:b/>
                <w:color w:val="FFFFFF"/>
                <w:sz w:val="18"/>
              </w:rPr>
              <w:t>JANSAATHI AI Architecture (Safe)</w:t>
            </w:r>
          </w:p>
        </w:tc>
      </w:tr>
      <w:tr>
        <w:tc>
          <w:tcPr>
            <w:tcW w:type="dxa" w:w="3120"/>
            <w:shd w:fill="FFFFFF"/>
            <w:tcMar>
              <w:top w:w="80" w:type="dxa"/>
              <w:bottom w:w="80" w:type="dxa"/>
              <w:left w:w="100" w:type="dxa"/>
              <w:right w:w="100" w:type="dxa"/>
            </w:tcMar>
          </w:tcPr>
          <w:p>
            <w:r>
              <w:rPr>
                <w:rFonts w:ascii="Arial" w:hAnsi="Arial"/>
                <w:b/>
                <w:color w:val="1E293B"/>
                <w:sz w:val="17"/>
              </w:rPr>
              <w:t>Clinical Decision</w:t>
            </w:r>
          </w:p>
        </w:tc>
        <w:tc>
          <w:tcPr>
            <w:tcW w:type="dxa" w:w="3120"/>
            <w:shd w:fill="FFFFFF"/>
            <w:tcMar>
              <w:top w:w="80" w:type="dxa"/>
              <w:bottom w:w="80" w:type="dxa"/>
              <w:left w:w="100" w:type="dxa"/>
              <w:right w:w="100" w:type="dxa"/>
            </w:tcMar>
          </w:tcPr>
          <w:p>
            <w:r>
              <w:rPr>
                <w:rFonts w:ascii="Arial" w:hAnsi="Arial"/>
                <w:color w:val="1E293B"/>
                <w:sz w:val="17"/>
              </w:rPr>
              <w:t>Bot decides diagnosis autonomously</w:t>
            </w:r>
          </w:p>
        </w:tc>
        <w:tc>
          <w:tcPr>
            <w:tcW w:type="dxa" w:w="3120"/>
            <w:shd w:fill="FFFFFF"/>
            <w:tcMar>
              <w:top w:w="80" w:type="dxa"/>
              <w:bottom w:w="80" w:type="dxa"/>
              <w:left w:w="100" w:type="dxa"/>
              <w:right w:w="100" w:type="dxa"/>
            </w:tcMar>
          </w:tcPr>
          <w:p>
            <w:r>
              <w:rPr>
                <w:rFonts w:ascii="Arial" w:hAnsi="Arial"/>
                <w:color w:val="1E293B"/>
                <w:sz w:val="17"/>
              </w:rPr>
              <w:t>Attending registered doctor decides exclusively</w:t>
            </w:r>
          </w:p>
        </w:tc>
      </w:tr>
      <w:tr>
        <w:tc>
          <w:tcPr>
            <w:tcW w:type="dxa" w:w="3120"/>
            <w:shd w:fill="F1F5F9"/>
            <w:tcMar>
              <w:top w:w="80" w:type="dxa"/>
              <w:bottom w:w="80" w:type="dxa"/>
              <w:left w:w="100" w:type="dxa"/>
              <w:right w:w="100" w:type="dxa"/>
            </w:tcMar>
          </w:tcPr>
          <w:p>
            <w:r>
              <w:rPr>
                <w:rFonts w:ascii="Arial" w:hAnsi="Arial"/>
                <w:b/>
                <w:color w:val="1E293B"/>
                <w:sz w:val="17"/>
              </w:rPr>
              <w:t>Prescriptions</w:t>
            </w:r>
          </w:p>
        </w:tc>
        <w:tc>
          <w:tcPr>
            <w:tcW w:type="dxa" w:w="3120"/>
            <w:shd w:fill="F1F5F9"/>
            <w:tcMar>
              <w:top w:w="80" w:type="dxa"/>
              <w:bottom w:w="80" w:type="dxa"/>
              <w:left w:w="100" w:type="dxa"/>
              <w:right w:w="100" w:type="dxa"/>
            </w:tcMar>
          </w:tcPr>
          <w:p>
            <w:r>
              <w:rPr>
                <w:rFonts w:ascii="Arial" w:hAnsi="Arial"/>
                <w:color w:val="1E293B"/>
                <w:sz w:val="17"/>
              </w:rPr>
              <w:t>Bot outputs drug names &amp; dosages</w:t>
            </w:r>
          </w:p>
        </w:tc>
        <w:tc>
          <w:tcPr>
            <w:tcW w:type="dxa" w:w="3120"/>
            <w:shd w:fill="F1F5F9"/>
            <w:tcMar>
              <w:top w:w="80" w:type="dxa"/>
              <w:bottom w:w="80" w:type="dxa"/>
              <w:left w:w="100" w:type="dxa"/>
              <w:right w:w="100" w:type="dxa"/>
            </w:tcMar>
          </w:tcPr>
          <w:p>
            <w:r>
              <w:rPr>
                <w:rFonts w:ascii="Arial" w:hAnsi="Arial"/>
                <w:color w:val="1E293B"/>
                <w:sz w:val="17"/>
              </w:rPr>
              <w:t>STRICTLY PROHIBITED. Zero drug advice generated</w:t>
            </w:r>
          </w:p>
        </w:tc>
      </w:tr>
      <w:tr>
        <w:tc>
          <w:tcPr>
            <w:tcW w:type="dxa" w:w="3120"/>
            <w:shd w:fill="FFFFFF"/>
            <w:tcMar>
              <w:top w:w="80" w:type="dxa"/>
              <w:bottom w:w="80" w:type="dxa"/>
              <w:left w:w="100" w:type="dxa"/>
              <w:right w:w="100" w:type="dxa"/>
            </w:tcMar>
          </w:tcPr>
          <w:p>
            <w:r>
              <w:rPr>
                <w:rFonts w:ascii="Arial" w:hAnsi="Arial"/>
                <w:b/>
                <w:color w:val="1E293B"/>
                <w:sz w:val="17"/>
              </w:rPr>
              <w:t>Urgency Assignment</w:t>
            </w:r>
          </w:p>
        </w:tc>
        <w:tc>
          <w:tcPr>
            <w:tcW w:type="dxa" w:w="3120"/>
            <w:shd w:fill="FFFFFF"/>
            <w:tcMar>
              <w:top w:w="80" w:type="dxa"/>
              <w:bottom w:w="80" w:type="dxa"/>
              <w:left w:w="100" w:type="dxa"/>
              <w:right w:w="100" w:type="dxa"/>
            </w:tcMar>
          </w:tcPr>
          <w:p>
            <w:r>
              <w:rPr>
                <w:rFonts w:ascii="Arial" w:hAnsi="Arial"/>
                <w:color w:val="1E293B"/>
                <w:sz w:val="17"/>
              </w:rPr>
              <w:t>Black-box LLM predicts severity</w:t>
            </w:r>
          </w:p>
        </w:tc>
        <w:tc>
          <w:tcPr>
            <w:tcW w:type="dxa" w:w="3120"/>
            <w:shd w:fill="FFFFFF"/>
            <w:tcMar>
              <w:top w:w="80" w:type="dxa"/>
              <w:bottom w:w="80" w:type="dxa"/>
              <w:left w:w="100" w:type="dxa"/>
              <w:right w:w="100" w:type="dxa"/>
            </w:tcMar>
          </w:tcPr>
          <w:p>
            <w:r>
              <w:rPr>
                <w:rFonts w:ascii="Arial" w:hAnsi="Arial"/>
                <w:color w:val="1E293B"/>
                <w:sz w:val="17"/>
              </w:rPr>
              <w:t>Deterministic, versioned clinical rule engine</w:t>
            </w:r>
          </w:p>
        </w:tc>
      </w:tr>
      <w:tr>
        <w:tc>
          <w:tcPr>
            <w:tcW w:type="dxa" w:w="3120"/>
            <w:shd w:fill="F1F5F9"/>
            <w:tcMar>
              <w:top w:w="80" w:type="dxa"/>
              <w:bottom w:w="80" w:type="dxa"/>
              <w:left w:w="100" w:type="dxa"/>
              <w:right w:w="100" w:type="dxa"/>
            </w:tcMar>
          </w:tcPr>
          <w:p>
            <w:r>
              <w:rPr>
                <w:rFonts w:ascii="Arial" w:hAnsi="Arial"/>
                <w:b/>
                <w:color w:val="1E293B"/>
                <w:sz w:val="17"/>
              </w:rPr>
              <w:t>Evidence Provenance</w:t>
            </w:r>
          </w:p>
        </w:tc>
        <w:tc>
          <w:tcPr>
            <w:tcW w:type="dxa" w:w="3120"/>
            <w:shd w:fill="F1F5F9"/>
            <w:tcMar>
              <w:top w:w="80" w:type="dxa"/>
              <w:bottom w:w="80" w:type="dxa"/>
              <w:left w:w="100" w:type="dxa"/>
              <w:right w:w="100" w:type="dxa"/>
            </w:tcMar>
          </w:tcPr>
          <w:p>
            <w:r>
              <w:rPr>
                <w:rFonts w:ascii="Arial" w:hAnsi="Arial"/>
                <w:color w:val="1E293B"/>
                <w:sz w:val="17"/>
              </w:rPr>
              <w:t>Unverified summary with no trace</w:t>
            </w:r>
          </w:p>
        </w:tc>
        <w:tc>
          <w:tcPr>
            <w:tcW w:type="dxa" w:w="3120"/>
            <w:shd w:fill="F1F5F9"/>
            <w:tcMar>
              <w:top w:w="80" w:type="dxa"/>
              <w:bottom w:w="80" w:type="dxa"/>
              <w:left w:w="100" w:type="dxa"/>
              <w:right w:w="100" w:type="dxa"/>
            </w:tcMar>
          </w:tcPr>
          <w:p>
            <w:r>
              <w:rPr>
                <w:rFonts w:ascii="Arial" w:hAnsi="Arial"/>
                <w:color w:val="1E293B"/>
                <w:sz w:val="17"/>
              </w:rPr>
              <w:t>Every fact carries an immutable source badge</w:t>
            </w:r>
          </w:p>
        </w:tc>
      </w:tr>
      <w:tr>
        <w:tc>
          <w:tcPr>
            <w:tcW w:type="dxa" w:w="3120"/>
            <w:shd w:fill="FFFFFF"/>
            <w:tcMar>
              <w:top w:w="80" w:type="dxa"/>
              <w:bottom w:w="80" w:type="dxa"/>
              <w:left w:w="100" w:type="dxa"/>
              <w:right w:w="100" w:type="dxa"/>
            </w:tcMar>
          </w:tcPr>
          <w:p>
            <w:r>
              <w:rPr>
                <w:rFonts w:ascii="Arial" w:hAnsi="Arial"/>
                <w:b/>
                <w:color w:val="1E293B"/>
                <w:sz w:val="17"/>
              </w:rPr>
              <w:t>Lab Report Handling</w:t>
            </w:r>
          </w:p>
        </w:tc>
        <w:tc>
          <w:tcPr>
            <w:tcW w:type="dxa" w:w="3120"/>
            <w:shd w:fill="FFFFFF"/>
            <w:tcMar>
              <w:top w:w="80" w:type="dxa"/>
              <w:bottom w:w="80" w:type="dxa"/>
              <w:left w:w="100" w:type="dxa"/>
              <w:right w:w="100" w:type="dxa"/>
            </w:tcMar>
          </w:tcPr>
          <w:p>
            <w:r>
              <w:rPr>
                <w:rFonts w:ascii="Arial" w:hAnsi="Arial"/>
                <w:color w:val="1E293B"/>
                <w:sz w:val="17"/>
              </w:rPr>
              <w:t>Bot interprets labs as diseases</w:t>
            </w:r>
          </w:p>
        </w:tc>
        <w:tc>
          <w:tcPr>
            <w:tcW w:type="dxa" w:w="3120"/>
            <w:shd w:fill="FFFFFF"/>
            <w:tcMar>
              <w:top w:w="80" w:type="dxa"/>
              <w:bottom w:w="80" w:type="dxa"/>
              <w:left w:w="100" w:type="dxa"/>
              <w:right w:w="100" w:type="dxa"/>
            </w:tcMar>
          </w:tcPr>
          <w:p>
            <w:r>
              <w:rPr>
                <w:rFonts w:ascii="Arial" w:hAnsi="Arial"/>
                <w:color w:val="1E293B"/>
                <w:sz w:val="17"/>
              </w:rPr>
              <w:t>In-browser OCR extracts values; doctor interprets</w:t>
            </w:r>
          </w:p>
        </w:tc>
      </w:tr>
      <w:tr>
        <w:tc>
          <w:tcPr>
            <w:tcW w:type="dxa" w:w="3120"/>
            <w:shd w:fill="F1F5F9"/>
            <w:tcMar>
              <w:top w:w="80" w:type="dxa"/>
              <w:bottom w:w="80" w:type="dxa"/>
              <w:left w:w="100" w:type="dxa"/>
              <w:right w:w="100" w:type="dxa"/>
            </w:tcMar>
          </w:tcPr>
          <w:p>
            <w:r>
              <w:rPr>
                <w:rFonts w:ascii="Arial" w:hAnsi="Arial"/>
                <w:b/>
                <w:color w:val="1E293B"/>
                <w:sz w:val="17"/>
              </w:rPr>
              <w:t>Patient Privacy</w:t>
            </w:r>
          </w:p>
        </w:tc>
        <w:tc>
          <w:tcPr>
            <w:tcW w:type="dxa" w:w="3120"/>
            <w:shd w:fill="F1F5F9"/>
            <w:tcMar>
              <w:top w:w="80" w:type="dxa"/>
              <w:bottom w:w="80" w:type="dxa"/>
              <w:left w:w="100" w:type="dxa"/>
              <w:right w:w="100" w:type="dxa"/>
            </w:tcMar>
          </w:tcPr>
          <w:p>
            <w:r>
              <w:rPr>
                <w:rFonts w:ascii="Arial" w:hAnsi="Arial"/>
                <w:color w:val="1E293B"/>
                <w:sz w:val="17"/>
              </w:rPr>
              <w:t>Aadhaar and phone number collected</w:t>
            </w:r>
          </w:p>
        </w:tc>
        <w:tc>
          <w:tcPr>
            <w:tcW w:type="dxa" w:w="3120"/>
            <w:shd w:fill="F1F5F9"/>
            <w:tcMar>
              <w:top w:w="80" w:type="dxa"/>
              <w:bottom w:w="80" w:type="dxa"/>
              <w:left w:w="100" w:type="dxa"/>
              <w:right w:w="100" w:type="dxa"/>
            </w:tcMar>
          </w:tcPr>
          <w:p>
            <w:r>
              <w:rPr>
                <w:rFonts w:ascii="Arial" w:hAnsi="Arial"/>
                <w:color w:val="1E293B"/>
                <w:sz w:val="17"/>
              </w:rPr>
              <w:t>Strictly anonymous case reference (P-YYYY-XXXXXX)</w:t>
            </w:r>
          </w:p>
        </w:tc>
      </w:tr>
    </w:tbl>
    <w:p>
      <w:pPr>
        <w:spacing w:after="160"/>
      </w:pPr>
    </w:p>
    <w:p>
      <w:pPr>
        <w:keepNext/>
        <w:spacing w:before="360" w:after="120"/>
      </w:pPr>
      <w:r>
        <w:rPr>
          <w:rFonts w:ascii="Arial" w:hAnsi="Arial"/>
          <w:b/>
          <w:color w:val="0F2D4A"/>
          <w:sz w:val="32"/>
        </w:rPr>
        <w:t>4. Technical Stack &amp; Zero-Investment Infrastructure</w:t>
      </w:r>
    </w:p>
    <w:p>
      <w:pPr>
        <w:spacing w:before="0" w:after="120" w:line="276" w:lineRule="auto"/>
      </w:pPr>
      <w:r>
        <w:rPr>
          <w:rFonts w:ascii="Arial" w:hAnsi="Arial"/>
          <w:color w:val="1E293B"/>
          <w:sz w:val="20"/>
        </w:rPr>
        <w:t>To allow public health institutions to deploy JANSAATHI AI immediately without procurement delays or recurring cloud billing, the system utilizes a 100% free-tier, open-source stack:</w:t>
      </w:r>
    </w:p>
    <w:tbl>
      <w:tblPr>
        <w:tblW w:type="auto" w:w="0"/>
        <w:jc w:val="center"/>
        <w:tblLook w:firstColumn="1" w:firstRow="1" w:lastColumn="0" w:lastRow="0" w:noHBand="0" w:noVBand="1" w:val="04A0"/>
      </w:tblPr>
      <w:tblGrid>
        <w:gridCol w:w="3120"/>
        <w:gridCol w:w="3120"/>
        <w:gridCol w:w="3120"/>
      </w:tblGrid>
      <w:tr>
        <w:tc>
          <w:tcPr>
            <w:tcW w:type="dxa" w:w="3120"/>
            <w:shd w:fill="0F2D4A"/>
            <w:tcMar>
              <w:top w:w="100" w:type="dxa"/>
              <w:bottom w:w="100" w:type="dxa"/>
              <w:left w:w="120" w:type="dxa"/>
              <w:right w:w="120" w:type="dxa"/>
            </w:tcMar>
          </w:tcPr>
          <w:p>
            <w:r>
              <w:rPr>
                <w:rFonts w:ascii="Arial" w:hAnsi="Arial"/>
                <w:b/>
                <w:color w:val="FFFFFF"/>
                <w:sz w:val="18"/>
              </w:rPr>
              <w:t>Layer</w:t>
            </w:r>
          </w:p>
        </w:tc>
        <w:tc>
          <w:tcPr>
            <w:tcW w:type="dxa" w:w="3120"/>
            <w:shd w:fill="0F2D4A"/>
            <w:tcMar>
              <w:top w:w="100" w:type="dxa"/>
              <w:bottom w:w="100" w:type="dxa"/>
              <w:left w:w="120" w:type="dxa"/>
              <w:right w:w="120" w:type="dxa"/>
            </w:tcMar>
          </w:tcPr>
          <w:p>
            <w:r>
              <w:rPr>
                <w:rFonts w:ascii="Arial" w:hAnsi="Arial"/>
                <w:b/>
                <w:color w:val="FFFFFF"/>
                <w:sz w:val="18"/>
              </w:rPr>
              <w:t>Technology Selected</w:t>
            </w:r>
          </w:p>
        </w:tc>
        <w:tc>
          <w:tcPr>
            <w:tcW w:type="dxa" w:w="3120"/>
            <w:shd w:fill="0F2D4A"/>
            <w:tcMar>
              <w:top w:w="100" w:type="dxa"/>
              <w:bottom w:w="100" w:type="dxa"/>
              <w:left w:w="120" w:type="dxa"/>
              <w:right w:w="120" w:type="dxa"/>
            </w:tcMar>
          </w:tcPr>
          <w:p>
            <w:r>
              <w:rPr>
                <w:rFonts w:ascii="Arial" w:hAnsi="Arial"/>
                <w:b/>
                <w:color w:val="FFFFFF"/>
                <w:sz w:val="18"/>
              </w:rPr>
              <w:t>Operational &amp; Architectural Rationale</w:t>
            </w:r>
          </w:p>
        </w:tc>
      </w:tr>
      <w:tr>
        <w:tc>
          <w:tcPr>
            <w:tcW w:type="dxa" w:w="3120"/>
            <w:shd w:fill="FFFFFF"/>
            <w:tcMar>
              <w:top w:w="80" w:type="dxa"/>
              <w:bottom w:w="80" w:type="dxa"/>
              <w:left w:w="100" w:type="dxa"/>
              <w:right w:w="100" w:type="dxa"/>
            </w:tcMar>
          </w:tcPr>
          <w:p>
            <w:r>
              <w:rPr>
                <w:rFonts w:ascii="Arial" w:hAnsi="Arial"/>
                <w:b/>
                <w:color w:val="1E293B"/>
                <w:sz w:val="17"/>
              </w:rPr>
              <w:t>Frontend Application</w:t>
            </w:r>
          </w:p>
        </w:tc>
        <w:tc>
          <w:tcPr>
            <w:tcW w:type="dxa" w:w="3120"/>
            <w:shd w:fill="FFFFFF"/>
            <w:tcMar>
              <w:top w:w="80" w:type="dxa"/>
              <w:bottom w:w="80" w:type="dxa"/>
              <w:left w:w="100" w:type="dxa"/>
              <w:right w:w="100" w:type="dxa"/>
            </w:tcMar>
          </w:tcPr>
          <w:p>
            <w:r>
              <w:rPr>
                <w:rFonts w:ascii="Arial" w:hAnsi="Arial"/>
                <w:color w:val="1E293B"/>
                <w:sz w:val="17"/>
              </w:rPr>
              <w:t>React 19 + TypeScript + Vite</w:t>
            </w:r>
          </w:p>
        </w:tc>
        <w:tc>
          <w:tcPr>
            <w:tcW w:type="dxa" w:w="3120"/>
            <w:shd w:fill="FFFFFF"/>
            <w:tcMar>
              <w:top w:w="80" w:type="dxa"/>
              <w:bottom w:w="80" w:type="dxa"/>
              <w:left w:w="100" w:type="dxa"/>
              <w:right w:w="100" w:type="dxa"/>
            </w:tcMar>
          </w:tcPr>
          <w:p>
            <w:r>
              <w:rPr>
                <w:rFonts w:ascii="Arial" w:hAnsi="Arial"/>
                <w:color w:val="1E293B"/>
                <w:sz w:val="17"/>
              </w:rPr>
              <w:t>High performance, zero legacy bundle overhead, strict static typing.</w:t>
            </w:r>
          </w:p>
        </w:tc>
      </w:tr>
      <w:tr>
        <w:tc>
          <w:tcPr>
            <w:tcW w:type="dxa" w:w="3120"/>
            <w:shd w:fill="F1F5F9"/>
            <w:tcMar>
              <w:top w:w="80" w:type="dxa"/>
              <w:bottom w:w="80" w:type="dxa"/>
              <w:left w:w="100" w:type="dxa"/>
              <w:right w:w="100" w:type="dxa"/>
            </w:tcMar>
          </w:tcPr>
          <w:p>
            <w:r>
              <w:rPr>
                <w:rFonts w:ascii="Arial" w:hAnsi="Arial"/>
                <w:b/>
                <w:color w:val="1E293B"/>
                <w:sz w:val="17"/>
              </w:rPr>
              <w:t>Design System</w:t>
            </w:r>
          </w:p>
        </w:tc>
        <w:tc>
          <w:tcPr>
            <w:tcW w:type="dxa" w:w="3120"/>
            <w:shd w:fill="F1F5F9"/>
            <w:tcMar>
              <w:top w:w="80" w:type="dxa"/>
              <w:bottom w:w="80" w:type="dxa"/>
              <w:left w:w="100" w:type="dxa"/>
              <w:right w:w="100" w:type="dxa"/>
            </w:tcMar>
          </w:tcPr>
          <w:p>
            <w:r>
              <w:rPr>
                <w:rFonts w:ascii="Arial" w:hAnsi="Arial"/>
                <w:color w:val="1E293B"/>
                <w:sz w:val="17"/>
              </w:rPr>
              <w:t>Tailwind CSS v4</w:t>
            </w:r>
          </w:p>
        </w:tc>
        <w:tc>
          <w:tcPr>
            <w:tcW w:type="dxa" w:w="3120"/>
            <w:shd w:fill="F1F5F9"/>
            <w:tcMar>
              <w:top w:w="80" w:type="dxa"/>
              <w:bottom w:w="80" w:type="dxa"/>
              <w:left w:w="100" w:type="dxa"/>
              <w:right w:w="100" w:type="dxa"/>
            </w:tcMar>
          </w:tcPr>
          <w:p>
            <w:r>
              <w:rPr>
                <w:rFonts w:ascii="Arial" w:hAnsi="Arial"/>
                <w:color w:val="1E293B"/>
                <w:sz w:val="17"/>
              </w:rPr>
              <w:t>Curated healthcare palette (Slate, Navy, Teal); WCAG 2.2 AA compliant.</w:t>
            </w:r>
          </w:p>
        </w:tc>
      </w:tr>
      <w:tr>
        <w:tc>
          <w:tcPr>
            <w:tcW w:type="dxa" w:w="3120"/>
            <w:shd w:fill="FFFFFF"/>
            <w:tcMar>
              <w:top w:w="80" w:type="dxa"/>
              <w:bottom w:w="80" w:type="dxa"/>
              <w:left w:w="100" w:type="dxa"/>
              <w:right w:w="100" w:type="dxa"/>
            </w:tcMar>
          </w:tcPr>
          <w:p>
            <w:r>
              <w:rPr>
                <w:rFonts w:ascii="Arial" w:hAnsi="Arial"/>
                <w:b/>
                <w:color w:val="1E293B"/>
                <w:sz w:val="17"/>
              </w:rPr>
              <w:t>Database &amp; RLS</w:t>
            </w:r>
          </w:p>
        </w:tc>
        <w:tc>
          <w:tcPr>
            <w:tcW w:type="dxa" w:w="3120"/>
            <w:shd w:fill="FFFFFF"/>
            <w:tcMar>
              <w:top w:w="80" w:type="dxa"/>
              <w:bottom w:w="80" w:type="dxa"/>
              <w:left w:w="100" w:type="dxa"/>
              <w:right w:w="100" w:type="dxa"/>
            </w:tcMar>
          </w:tcPr>
          <w:p>
            <w:r>
              <w:rPr>
                <w:rFonts w:ascii="Arial" w:hAnsi="Arial"/>
                <w:color w:val="1E293B"/>
                <w:sz w:val="17"/>
              </w:rPr>
              <w:t>Supabase (PostgreSQL 15+)</w:t>
            </w:r>
          </w:p>
        </w:tc>
        <w:tc>
          <w:tcPr>
            <w:tcW w:type="dxa" w:w="3120"/>
            <w:shd w:fill="FFFFFF"/>
            <w:tcMar>
              <w:top w:w="80" w:type="dxa"/>
              <w:bottom w:w="80" w:type="dxa"/>
              <w:left w:w="100" w:type="dxa"/>
              <w:right w:w="100" w:type="dxa"/>
            </w:tcMar>
          </w:tcPr>
          <w:p>
            <w:r>
              <w:rPr>
                <w:rFonts w:ascii="Arial" w:hAnsi="Arial"/>
                <w:color w:val="1E293B"/>
                <w:sz w:val="17"/>
              </w:rPr>
              <w:t>Enterprise-grade relational database, automatic REST API, Row Level Security.</w:t>
            </w:r>
          </w:p>
        </w:tc>
      </w:tr>
      <w:tr>
        <w:tc>
          <w:tcPr>
            <w:tcW w:type="dxa" w:w="3120"/>
            <w:shd w:fill="F1F5F9"/>
            <w:tcMar>
              <w:top w:w="80" w:type="dxa"/>
              <w:bottom w:w="80" w:type="dxa"/>
              <w:left w:w="100" w:type="dxa"/>
              <w:right w:w="100" w:type="dxa"/>
            </w:tcMar>
          </w:tcPr>
          <w:p>
            <w:r>
              <w:rPr>
                <w:rFonts w:ascii="Arial" w:hAnsi="Arial"/>
                <w:b/>
                <w:color w:val="1E293B"/>
                <w:sz w:val="17"/>
              </w:rPr>
              <w:t>Authentication</w:t>
            </w:r>
          </w:p>
        </w:tc>
        <w:tc>
          <w:tcPr>
            <w:tcW w:type="dxa" w:w="3120"/>
            <w:shd w:fill="F1F5F9"/>
            <w:tcMar>
              <w:top w:w="80" w:type="dxa"/>
              <w:bottom w:w="80" w:type="dxa"/>
              <w:left w:w="100" w:type="dxa"/>
              <w:right w:w="100" w:type="dxa"/>
            </w:tcMar>
          </w:tcPr>
          <w:p>
            <w:r>
              <w:rPr>
                <w:rFonts w:ascii="Arial" w:hAnsi="Arial"/>
                <w:color w:val="1E293B"/>
                <w:sz w:val="17"/>
              </w:rPr>
              <w:t>Supabase Auth + Database RBAC</w:t>
            </w:r>
          </w:p>
        </w:tc>
        <w:tc>
          <w:tcPr>
            <w:tcW w:type="dxa" w:w="3120"/>
            <w:shd w:fill="F1F5F9"/>
            <w:tcMar>
              <w:top w:w="80" w:type="dxa"/>
              <w:bottom w:w="80" w:type="dxa"/>
              <w:left w:w="100" w:type="dxa"/>
              <w:right w:w="100" w:type="dxa"/>
            </w:tcMar>
          </w:tcPr>
          <w:p>
            <w:r>
              <w:rPr>
                <w:rFonts w:ascii="Arial" w:hAnsi="Arial"/>
                <w:color w:val="1E293B"/>
                <w:sz w:val="17"/>
              </w:rPr>
              <w:t>Secure session tokens, password hashing, database-enforced roles.</w:t>
            </w:r>
          </w:p>
        </w:tc>
      </w:tr>
      <w:tr>
        <w:tc>
          <w:tcPr>
            <w:tcW w:type="dxa" w:w="3120"/>
            <w:shd w:fill="FFFFFF"/>
            <w:tcMar>
              <w:top w:w="80" w:type="dxa"/>
              <w:bottom w:w="80" w:type="dxa"/>
              <w:left w:w="100" w:type="dxa"/>
              <w:right w:w="100" w:type="dxa"/>
            </w:tcMar>
          </w:tcPr>
          <w:p>
            <w:r>
              <w:rPr>
                <w:rFonts w:ascii="Arial" w:hAnsi="Arial"/>
                <w:b/>
                <w:color w:val="1E293B"/>
                <w:sz w:val="17"/>
              </w:rPr>
              <w:t>Speech-to-Text</w:t>
            </w:r>
          </w:p>
        </w:tc>
        <w:tc>
          <w:tcPr>
            <w:tcW w:type="dxa" w:w="3120"/>
            <w:shd w:fill="FFFFFF"/>
            <w:tcMar>
              <w:top w:w="80" w:type="dxa"/>
              <w:bottom w:w="80" w:type="dxa"/>
              <w:left w:w="100" w:type="dxa"/>
              <w:right w:w="100" w:type="dxa"/>
            </w:tcMar>
          </w:tcPr>
          <w:p>
            <w:r>
              <w:rPr>
                <w:rFonts w:ascii="Arial" w:hAnsi="Arial"/>
                <w:color w:val="1E293B"/>
                <w:sz w:val="17"/>
              </w:rPr>
              <w:t>Browser Web Speech API</w:t>
            </w:r>
          </w:p>
        </w:tc>
        <w:tc>
          <w:tcPr>
            <w:tcW w:type="dxa" w:w="3120"/>
            <w:shd w:fill="FFFFFF"/>
            <w:tcMar>
              <w:top w:w="80" w:type="dxa"/>
              <w:bottom w:w="80" w:type="dxa"/>
              <w:left w:w="100" w:type="dxa"/>
              <w:right w:w="100" w:type="dxa"/>
            </w:tcMar>
          </w:tcPr>
          <w:p>
            <w:r>
              <w:rPr>
                <w:rFonts w:ascii="Arial" w:hAnsi="Arial"/>
                <w:color w:val="1E293B"/>
                <w:sz w:val="17"/>
              </w:rPr>
              <w:t>Native browser audio recognition; zero server compute or external API cost.</w:t>
            </w:r>
          </w:p>
        </w:tc>
      </w:tr>
      <w:tr>
        <w:tc>
          <w:tcPr>
            <w:tcW w:type="dxa" w:w="3120"/>
            <w:shd w:fill="F1F5F9"/>
            <w:tcMar>
              <w:top w:w="80" w:type="dxa"/>
              <w:bottom w:w="80" w:type="dxa"/>
              <w:left w:w="100" w:type="dxa"/>
              <w:right w:w="100" w:type="dxa"/>
            </w:tcMar>
          </w:tcPr>
          <w:p>
            <w:r>
              <w:rPr>
                <w:rFonts w:ascii="Arial" w:hAnsi="Arial"/>
                <w:b/>
                <w:color w:val="1E293B"/>
                <w:sz w:val="17"/>
              </w:rPr>
              <w:t>Document OCR</w:t>
            </w:r>
          </w:p>
        </w:tc>
        <w:tc>
          <w:tcPr>
            <w:tcW w:type="dxa" w:w="3120"/>
            <w:shd w:fill="F1F5F9"/>
            <w:tcMar>
              <w:top w:w="80" w:type="dxa"/>
              <w:bottom w:w="80" w:type="dxa"/>
              <w:left w:w="100" w:type="dxa"/>
              <w:right w:w="100" w:type="dxa"/>
            </w:tcMar>
          </w:tcPr>
          <w:p>
            <w:r>
              <w:rPr>
                <w:rFonts w:ascii="Arial" w:hAnsi="Arial"/>
                <w:color w:val="1E293B"/>
                <w:sz w:val="17"/>
              </w:rPr>
              <w:t>Tesseract.js (Client Worker)</w:t>
            </w:r>
          </w:p>
        </w:tc>
        <w:tc>
          <w:tcPr>
            <w:tcW w:type="dxa" w:w="3120"/>
            <w:shd w:fill="F1F5F9"/>
            <w:tcMar>
              <w:top w:w="80" w:type="dxa"/>
              <w:bottom w:w="80" w:type="dxa"/>
              <w:left w:w="100" w:type="dxa"/>
              <w:right w:w="100" w:type="dxa"/>
            </w:tcMar>
          </w:tcPr>
          <w:p>
            <w:r>
              <w:rPr>
                <w:rFonts w:ascii="Arial" w:hAnsi="Arial"/>
                <w:color w:val="1E293B"/>
                <w:sz w:val="17"/>
              </w:rPr>
              <w:t>Extracts text &amp; lab values inside browser Web Worker; zero cloud OCR fees.</w:t>
            </w:r>
          </w:p>
        </w:tc>
      </w:tr>
      <w:tr>
        <w:tc>
          <w:tcPr>
            <w:tcW w:type="dxa" w:w="3120"/>
            <w:shd w:fill="FFFFFF"/>
            <w:tcMar>
              <w:top w:w="80" w:type="dxa"/>
              <w:bottom w:w="80" w:type="dxa"/>
              <w:left w:w="100" w:type="dxa"/>
              <w:right w:w="100" w:type="dxa"/>
            </w:tcMar>
          </w:tcPr>
          <w:p>
            <w:r>
              <w:rPr>
                <w:rFonts w:ascii="Arial" w:hAnsi="Arial"/>
                <w:b/>
                <w:color w:val="1E293B"/>
                <w:sz w:val="17"/>
              </w:rPr>
              <w:t>Medical Telemetry</w:t>
            </w:r>
          </w:p>
        </w:tc>
        <w:tc>
          <w:tcPr>
            <w:tcW w:type="dxa" w:w="3120"/>
            <w:shd w:fill="FFFFFF"/>
            <w:tcMar>
              <w:top w:w="80" w:type="dxa"/>
              <w:bottom w:w="80" w:type="dxa"/>
              <w:left w:w="100" w:type="dxa"/>
              <w:right w:w="100" w:type="dxa"/>
            </w:tcMar>
          </w:tcPr>
          <w:p>
            <w:r>
              <w:rPr>
                <w:rFonts w:ascii="Arial" w:hAnsi="Arial"/>
                <w:color w:val="1E293B"/>
                <w:sz w:val="17"/>
              </w:rPr>
              <w:t>Web Serial &amp; Web Bluetooth API</w:t>
            </w:r>
          </w:p>
        </w:tc>
        <w:tc>
          <w:tcPr>
            <w:tcW w:type="dxa" w:w="3120"/>
            <w:shd w:fill="FFFFFF"/>
            <w:tcMar>
              <w:top w:w="80" w:type="dxa"/>
              <w:bottom w:w="80" w:type="dxa"/>
              <w:left w:w="100" w:type="dxa"/>
              <w:right w:w="100" w:type="dxa"/>
            </w:tcMar>
          </w:tcPr>
          <w:p>
            <w:r>
              <w:rPr>
                <w:rFonts w:ascii="Arial" w:hAnsi="Arial"/>
                <w:color w:val="1E293B"/>
                <w:sz w:val="17"/>
              </w:rPr>
              <w:t>Direct browser communication with ESP32/Arduino pulse oximeter hardware.</w:t>
            </w:r>
          </w:p>
        </w:tc>
      </w:tr>
      <w:tr>
        <w:tc>
          <w:tcPr>
            <w:tcW w:type="dxa" w:w="3120"/>
            <w:shd w:fill="F1F5F9"/>
            <w:tcMar>
              <w:top w:w="80" w:type="dxa"/>
              <w:bottom w:w="80" w:type="dxa"/>
              <w:left w:w="100" w:type="dxa"/>
              <w:right w:w="100" w:type="dxa"/>
            </w:tcMar>
          </w:tcPr>
          <w:p>
            <w:r>
              <w:rPr>
                <w:rFonts w:ascii="Arial" w:hAnsi="Arial"/>
                <w:b/>
                <w:color w:val="1E293B"/>
                <w:sz w:val="17"/>
              </w:rPr>
              <w:t>AI Structuring</w:t>
            </w:r>
          </w:p>
        </w:tc>
        <w:tc>
          <w:tcPr>
            <w:tcW w:type="dxa" w:w="3120"/>
            <w:shd w:fill="F1F5F9"/>
            <w:tcMar>
              <w:top w:w="80" w:type="dxa"/>
              <w:bottom w:w="80" w:type="dxa"/>
              <w:left w:w="100" w:type="dxa"/>
              <w:right w:w="100" w:type="dxa"/>
            </w:tcMar>
          </w:tcPr>
          <w:p>
            <w:r>
              <w:rPr>
                <w:rFonts w:ascii="Arial" w:hAnsi="Arial"/>
                <w:color w:val="1E293B"/>
                <w:sz w:val="17"/>
              </w:rPr>
              <w:t>Google Gemini 2.5 Flash / Local Parser</w:t>
            </w:r>
          </w:p>
        </w:tc>
        <w:tc>
          <w:tcPr>
            <w:tcW w:type="dxa" w:w="3120"/>
            <w:shd w:fill="F1F5F9"/>
            <w:tcMar>
              <w:top w:w="80" w:type="dxa"/>
              <w:bottom w:w="80" w:type="dxa"/>
              <w:left w:w="100" w:type="dxa"/>
              <w:right w:w="100" w:type="dxa"/>
            </w:tcMar>
          </w:tcPr>
          <w:p>
            <w:r>
              <w:rPr>
                <w:rFonts w:ascii="Arial" w:hAnsi="Arial"/>
                <w:color w:val="1E293B"/>
                <w:sz w:val="17"/>
              </w:rPr>
              <w:t>Free tier Gemini API with seamless local deterministic parser fallback.</w:t>
            </w:r>
          </w:p>
        </w:tc>
      </w:tr>
    </w:tbl>
    <w:p>
      <w:pPr>
        <w:spacing w:after="160"/>
      </w:pPr>
    </w:p>
    <w:p>
      <w:pPr>
        <w:keepNext/>
        <w:spacing w:before="360" w:after="120"/>
      </w:pPr>
      <w:r>
        <w:rPr>
          <w:rFonts w:ascii="Arial" w:hAnsi="Arial"/>
          <w:b/>
          <w:color w:val="0F2D4A"/>
          <w:sz w:val="32"/>
        </w:rPr>
        <w:t>5. Multilingual Architecture &amp; Honest Capability Registry</w:t>
      </w:r>
    </w:p>
    <w:p>
      <w:pPr>
        <w:spacing w:before="0" w:after="120" w:line="276" w:lineRule="auto"/>
      </w:pPr>
      <w:r>
        <w:rPr>
          <w:rFonts w:ascii="Arial" w:hAnsi="Arial"/>
          <w:color w:val="1E293B"/>
          <w:sz w:val="20"/>
        </w:rPr>
        <w:t>A critical requirement of serious public health software is linguistic honesty. Many systems falsely claim to support speech recognition across every Indian language, resulting in silent failures or garbled transcriptions. JANSAATHI AI implements an explicit Language Capability Registry covering 13 Indian languages: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2D4A"/>
            <w:tcMar>
              <w:top w:w="100" w:type="dxa"/>
              <w:bottom w:w="100" w:type="dxa"/>
              <w:left w:w="100" w:type="dxa"/>
              <w:right w:w="100" w:type="dxa"/>
            </w:tcMar>
          </w:tcPr>
          <w:p>
            <w:r>
              <w:rPr>
                <w:rFonts w:ascii="Arial" w:hAnsi="Arial"/>
                <w:b/>
                <w:color w:val="FFFFFF"/>
                <w:sz w:val="17"/>
              </w:rPr>
              <w:t>Language</w:t>
            </w:r>
          </w:p>
        </w:tc>
        <w:tc>
          <w:tcPr>
            <w:tcW w:type="dxa" w:w="1872"/>
            <w:shd w:fill="0F2D4A"/>
            <w:tcMar>
              <w:top w:w="100" w:type="dxa"/>
              <w:bottom w:w="100" w:type="dxa"/>
              <w:left w:w="100" w:type="dxa"/>
              <w:right w:w="100" w:type="dxa"/>
            </w:tcMar>
          </w:tcPr>
          <w:p>
            <w:r>
              <w:rPr>
                <w:rFonts w:ascii="Arial" w:hAnsi="Arial"/>
                <w:b/>
                <w:color w:val="FFFFFF"/>
                <w:sz w:val="17"/>
              </w:rPr>
              <w:t>Native Script</w:t>
            </w:r>
          </w:p>
        </w:tc>
        <w:tc>
          <w:tcPr>
            <w:tcW w:type="dxa" w:w="1872"/>
            <w:shd w:fill="0F2D4A"/>
            <w:tcMar>
              <w:top w:w="100" w:type="dxa"/>
              <w:bottom w:w="100" w:type="dxa"/>
              <w:left w:w="100" w:type="dxa"/>
              <w:right w:w="100" w:type="dxa"/>
            </w:tcMar>
          </w:tcPr>
          <w:p>
            <w:r>
              <w:rPr>
                <w:rFonts w:ascii="Arial" w:hAnsi="Arial"/>
                <w:b/>
                <w:color w:val="FFFFFF"/>
                <w:sz w:val="17"/>
              </w:rPr>
              <w:t>Text Input</w:t>
            </w:r>
          </w:p>
        </w:tc>
        <w:tc>
          <w:tcPr>
            <w:tcW w:type="dxa" w:w="1872"/>
            <w:shd w:fill="0F2D4A"/>
            <w:tcMar>
              <w:top w:w="100" w:type="dxa"/>
              <w:bottom w:w="100" w:type="dxa"/>
              <w:left w:w="100" w:type="dxa"/>
              <w:right w:w="100" w:type="dxa"/>
            </w:tcMar>
          </w:tcPr>
          <w:p>
            <w:r>
              <w:rPr>
                <w:rFonts w:ascii="Arial" w:hAnsi="Arial"/>
                <w:b/>
                <w:color w:val="FFFFFF"/>
                <w:sz w:val="17"/>
              </w:rPr>
              <w:t>Voice Speech-to-Text</w:t>
            </w:r>
          </w:p>
        </w:tc>
        <w:tc>
          <w:tcPr>
            <w:tcW w:type="dxa" w:w="1872"/>
            <w:shd w:fill="0F2D4A"/>
            <w:tcMar>
              <w:top w:w="100" w:type="dxa"/>
              <w:bottom w:w="100" w:type="dxa"/>
              <w:left w:w="100" w:type="dxa"/>
              <w:right w:w="100" w:type="dxa"/>
            </w:tcMar>
          </w:tcPr>
          <w:p>
            <w:r>
              <w:rPr>
                <w:rFonts w:ascii="Arial" w:hAnsi="Arial"/>
                <w:b/>
                <w:color w:val="FFFFFF"/>
                <w:sz w:val="17"/>
              </w:rPr>
              <w:t>Speech Engine Status</w:t>
            </w:r>
          </w:p>
        </w:tc>
      </w:tr>
      <w:tr>
        <w:tc>
          <w:tcPr>
            <w:tcW w:type="dxa" w:w="1872"/>
            <w:shd w:fill="FFFFFF"/>
            <w:tcMar>
              <w:top w:w="60" w:type="dxa"/>
              <w:bottom w:w="60" w:type="dxa"/>
              <w:left w:w="100" w:type="dxa"/>
              <w:right w:w="100" w:type="dxa"/>
            </w:tcMar>
          </w:tcPr>
          <w:p>
            <w:r>
              <w:rPr>
                <w:rFonts w:ascii="Arial" w:hAnsi="Arial"/>
                <w:b/>
                <w:color w:val="1E293B"/>
                <w:sz w:val="16"/>
              </w:rPr>
              <w:t>English (India)</w:t>
            </w:r>
          </w:p>
        </w:tc>
        <w:tc>
          <w:tcPr>
            <w:tcW w:type="dxa" w:w="1872"/>
            <w:shd w:fill="FFFFFF"/>
            <w:tcMar>
              <w:top w:w="60" w:type="dxa"/>
              <w:bottom w:w="60" w:type="dxa"/>
              <w:left w:w="100" w:type="dxa"/>
              <w:right w:w="100" w:type="dxa"/>
            </w:tcMar>
          </w:tcPr>
          <w:p>
            <w:r>
              <w:rPr>
                <w:rFonts w:ascii="Arial" w:hAnsi="Arial"/>
                <w:color w:val="1E293B"/>
                <w:sz w:val="16"/>
              </w:rPr>
              <w:t>English</w:t>
            </w:r>
          </w:p>
        </w:tc>
        <w:tc>
          <w:tcPr>
            <w:tcW w:type="dxa" w:w="1872"/>
            <w:shd w:fill="FFFFFF"/>
            <w:tcMar>
              <w:top w:w="60" w:type="dxa"/>
              <w:bottom w:w="60" w:type="dxa"/>
              <w:left w:w="100" w:type="dxa"/>
              <w:right w:w="100" w:type="dxa"/>
            </w:tcMar>
          </w:tcPr>
          <w:p>
            <w:r>
              <w:rPr>
                <w:rFonts w:ascii="Arial" w:hAnsi="Arial"/>
                <w:color w:val="1E293B"/>
                <w:sz w:val="16"/>
              </w:rPr>
              <w:t>Supported</w:t>
            </w:r>
          </w:p>
        </w:tc>
        <w:tc>
          <w:tcPr>
            <w:tcW w:type="dxa" w:w="1872"/>
            <w:shd w:fill="FFFFFF"/>
            <w:tcMar>
              <w:top w:w="60" w:type="dxa"/>
              <w:bottom w:w="60" w:type="dxa"/>
              <w:left w:w="100" w:type="dxa"/>
              <w:right w:w="100" w:type="dxa"/>
            </w:tcMar>
          </w:tcPr>
          <w:p>
            <w:r>
              <w:rPr>
                <w:rFonts w:ascii="Arial" w:hAnsi="Arial"/>
                <w:color w:val="1E293B"/>
                <w:sz w:val="16"/>
              </w:rPr>
              <w:t>Supported (en-IN)</w:t>
            </w:r>
          </w:p>
        </w:tc>
        <w:tc>
          <w:tcPr>
            <w:tcW w:type="dxa" w:w="1872"/>
            <w:shd w:fill="FFFFFF"/>
            <w:tcMar>
              <w:top w:w="60" w:type="dxa"/>
              <w:bottom w:w="60" w:type="dxa"/>
              <w:left w:w="100" w:type="dxa"/>
              <w:right w:w="100" w:type="dxa"/>
            </w:tcMar>
          </w:tcPr>
          <w:p>
            <w:r>
              <w:rPr>
                <w:rFonts w:ascii="Arial" w:hAnsi="Arial"/>
                <w:color w:val="1E293B"/>
                <w:sz w:val="16"/>
              </w:rPr>
              <w:t>Active native Chromium support</w:t>
            </w:r>
          </w:p>
        </w:tc>
      </w:tr>
      <w:tr>
        <w:tc>
          <w:tcPr>
            <w:tcW w:type="dxa" w:w="1872"/>
            <w:shd w:fill="F1F5F9"/>
            <w:tcMar>
              <w:top w:w="60" w:type="dxa"/>
              <w:bottom w:w="60" w:type="dxa"/>
              <w:left w:w="100" w:type="dxa"/>
              <w:right w:w="100" w:type="dxa"/>
            </w:tcMar>
          </w:tcPr>
          <w:p>
            <w:r>
              <w:rPr>
                <w:rFonts w:ascii="Arial" w:hAnsi="Arial"/>
                <w:b/>
                <w:color w:val="1E293B"/>
                <w:sz w:val="16"/>
              </w:rPr>
              <w:t>Hindi</w:t>
            </w:r>
          </w:p>
        </w:tc>
        <w:tc>
          <w:tcPr>
            <w:tcW w:type="dxa" w:w="1872"/>
            <w:shd w:fill="F1F5F9"/>
            <w:tcMar>
              <w:top w:w="60" w:type="dxa"/>
              <w:bottom w:w="60" w:type="dxa"/>
              <w:left w:w="100" w:type="dxa"/>
              <w:right w:w="100" w:type="dxa"/>
            </w:tcMar>
          </w:tcPr>
          <w:p>
            <w:r>
              <w:rPr>
                <w:rFonts w:ascii="Arial" w:hAnsi="Arial"/>
                <w:color w:val="1E293B"/>
                <w:sz w:val="16"/>
              </w:rPr>
              <w:t>हिन्दी</w:t>
            </w:r>
          </w:p>
        </w:tc>
        <w:tc>
          <w:tcPr>
            <w:tcW w:type="dxa" w:w="1872"/>
            <w:shd w:fill="F1F5F9"/>
            <w:tcMar>
              <w:top w:w="60" w:type="dxa"/>
              <w:bottom w:w="60" w:type="dxa"/>
              <w:left w:w="100" w:type="dxa"/>
              <w:right w:w="100" w:type="dxa"/>
            </w:tcMar>
          </w:tcPr>
          <w:p>
            <w:r>
              <w:rPr>
                <w:rFonts w:ascii="Arial" w:hAnsi="Arial"/>
                <w:color w:val="1E293B"/>
                <w:sz w:val="16"/>
              </w:rPr>
              <w:t>Supported</w:t>
            </w:r>
          </w:p>
        </w:tc>
        <w:tc>
          <w:tcPr>
            <w:tcW w:type="dxa" w:w="1872"/>
            <w:shd w:fill="F1F5F9"/>
            <w:tcMar>
              <w:top w:w="60" w:type="dxa"/>
              <w:bottom w:w="60" w:type="dxa"/>
              <w:left w:w="100" w:type="dxa"/>
              <w:right w:w="100" w:type="dxa"/>
            </w:tcMar>
          </w:tcPr>
          <w:p>
            <w:r>
              <w:rPr>
                <w:rFonts w:ascii="Arial" w:hAnsi="Arial"/>
                <w:color w:val="1E293B"/>
                <w:sz w:val="16"/>
              </w:rPr>
              <w:t>Supported (hi-IN)</w:t>
            </w:r>
          </w:p>
        </w:tc>
        <w:tc>
          <w:tcPr>
            <w:tcW w:type="dxa" w:w="1872"/>
            <w:shd w:fill="F1F5F9"/>
            <w:tcMar>
              <w:top w:w="60" w:type="dxa"/>
              <w:bottom w:w="60" w:type="dxa"/>
              <w:left w:w="100" w:type="dxa"/>
              <w:right w:w="100" w:type="dxa"/>
            </w:tcMar>
          </w:tcPr>
          <w:p>
            <w:r>
              <w:rPr>
                <w:rFonts w:ascii="Arial" w:hAnsi="Arial"/>
                <w:color w:val="1E293B"/>
                <w:sz w:val="16"/>
              </w:rPr>
              <w:t>Active native Chromium support</w:t>
            </w:r>
          </w:p>
        </w:tc>
      </w:tr>
      <w:tr>
        <w:tc>
          <w:tcPr>
            <w:tcW w:type="dxa" w:w="1872"/>
            <w:shd w:fill="FFFFFF"/>
            <w:tcMar>
              <w:top w:w="60" w:type="dxa"/>
              <w:bottom w:w="60" w:type="dxa"/>
              <w:left w:w="100" w:type="dxa"/>
              <w:right w:w="100" w:type="dxa"/>
            </w:tcMar>
          </w:tcPr>
          <w:p>
            <w:r>
              <w:rPr>
                <w:rFonts w:ascii="Arial" w:hAnsi="Arial"/>
                <w:b/>
                <w:color w:val="1E293B"/>
                <w:sz w:val="16"/>
              </w:rPr>
              <w:t>Odia</w:t>
            </w:r>
          </w:p>
        </w:tc>
        <w:tc>
          <w:tcPr>
            <w:tcW w:type="dxa" w:w="1872"/>
            <w:shd w:fill="FFFFFF"/>
            <w:tcMar>
              <w:top w:w="60" w:type="dxa"/>
              <w:bottom w:w="60" w:type="dxa"/>
              <w:left w:w="100" w:type="dxa"/>
              <w:right w:w="100" w:type="dxa"/>
            </w:tcMar>
          </w:tcPr>
          <w:p>
            <w:r>
              <w:rPr>
                <w:rFonts w:ascii="Arial" w:hAnsi="Arial"/>
                <w:color w:val="1E293B"/>
                <w:sz w:val="16"/>
              </w:rPr>
              <w:t>ଓଡ଼ିଆ</w:t>
            </w:r>
          </w:p>
        </w:tc>
        <w:tc>
          <w:tcPr>
            <w:tcW w:type="dxa" w:w="1872"/>
            <w:shd w:fill="FFFFFF"/>
            <w:tcMar>
              <w:top w:w="60" w:type="dxa"/>
              <w:bottom w:w="60" w:type="dxa"/>
              <w:left w:w="100" w:type="dxa"/>
              <w:right w:w="100" w:type="dxa"/>
            </w:tcMar>
          </w:tcPr>
          <w:p>
            <w:r>
              <w:rPr>
                <w:rFonts w:ascii="Arial" w:hAnsi="Arial"/>
                <w:color w:val="1E293B"/>
                <w:sz w:val="16"/>
              </w:rPr>
              <w:t>Supported</w:t>
            </w:r>
          </w:p>
        </w:tc>
        <w:tc>
          <w:tcPr>
            <w:tcW w:type="dxa" w:w="1872"/>
            <w:shd w:fill="FFFFFF"/>
            <w:tcMar>
              <w:top w:w="60" w:type="dxa"/>
              <w:bottom w:w="60" w:type="dxa"/>
              <w:left w:w="100" w:type="dxa"/>
              <w:right w:w="100" w:type="dxa"/>
            </w:tcMar>
          </w:tcPr>
          <w:p>
            <w:r>
              <w:rPr>
                <w:rFonts w:ascii="Arial" w:hAnsi="Arial"/>
                <w:color w:val="B91C1C"/>
                <w:sz w:val="16"/>
              </w:rPr>
              <w:t>Honest Unavailable</w:t>
            </w:r>
          </w:p>
        </w:tc>
        <w:tc>
          <w:tcPr>
            <w:tcW w:type="dxa" w:w="1872"/>
            <w:shd w:fill="FFFFFF"/>
            <w:tcMar>
              <w:top w:w="60" w:type="dxa"/>
              <w:bottom w:w="60" w:type="dxa"/>
              <w:left w:w="100" w:type="dxa"/>
              <w:right w:w="100" w:type="dxa"/>
            </w:tcMar>
          </w:tcPr>
          <w:p>
            <w:r>
              <w:rPr>
                <w:rFonts w:ascii="Arial" w:hAnsi="Arial"/>
                <w:color w:val="1E293B"/>
                <w:sz w:val="16"/>
              </w:rPr>
              <w:t>Web Speech API lacks reliable od-IN; Text Guided</w:t>
            </w:r>
          </w:p>
        </w:tc>
      </w:tr>
      <w:tr>
        <w:tc>
          <w:tcPr>
            <w:tcW w:type="dxa" w:w="1872"/>
            <w:shd w:fill="F1F5F9"/>
            <w:tcMar>
              <w:top w:w="60" w:type="dxa"/>
              <w:bottom w:w="60" w:type="dxa"/>
              <w:left w:w="100" w:type="dxa"/>
              <w:right w:w="100" w:type="dxa"/>
            </w:tcMar>
          </w:tcPr>
          <w:p>
            <w:r>
              <w:rPr>
                <w:rFonts w:ascii="Arial" w:hAnsi="Arial"/>
                <w:b/>
                <w:color w:val="1E293B"/>
                <w:sz w:val="16"/>
              </w:rPr>
              <w:t>Bengali</w:t>
            </w:r>
          </w:p>
        </w:tc>
        <w:tc>
          <w:tcPr>
            <w:tcW w:type="dxa" w:w="1872"/>
            <w:shd w:fill="F1F5F9"/>
            <w:tcMar>
              <w:top w:w="60" w:type="dxa"/>
              <w:bottom w:w="60" w:type="dxa"/>
              <w:left w:w="100" w:type="dxa"/>
              <w:right w:w="100" w:type="dxa"/>
            </w:tcMar>
          </w:tcPr>
          <w:p>
            <w:r>
              <w:rPr>
                <w:rFonts w:ascii="Arial" w:hAnsi="Arial"/>
                <w:color w:val="1E293B"/>
                <w:sz w:val="16"/>
              </w:rPr>
              <w:t>বাংলা</w:t>
            </w:r>
          </w:p>
        </w:tc>
        <w:tc>
          <w:tcPr>
            <w:tcW w:type="dxa" w:w="1872"/>
            <w:shd w:fill="F1F5F9"/>
            <w:tcMar>
              <w:top w:w="60" w:type="dxa"/>
              <w:bottom w:w="60" w:type="dxa"/>
              <w:left w:w="100" w:type="dxa"/>
              <w:right w:w="100" w:type="dxa"/>
            </w:tcMar>
          </w:tcPr>
          <w:p>
            <w:r>
              <w:rPr>
                <w:rFonts w:ascii="Arial" w:hAnsi="Arial"/>
                <w:color w:val="1E293B"/>
                <w:sz w:val="16"/>
              </w:rPr>
              <w:t>Supported</w:t>
            </w:r>
          </w:p>
        </w:tc>
        <w:tc>
          <w:tcPr>
            <w:tcW w:type="dxa" w:w="1872"/>
            <w:shd w:fill="F1F5F9"/>
            <w:tcMar>
              <w:top w:w="60" w:type="dxa"/>
              <w:bottom w:w="60" w:type="dxa"/>
              <w:left w:w="100" w:type="dxa"/>
              <w:right w:w="100" w:type="dxa"/>
            </w:tcMar>
          </w:tcPr>
          <w:p>
            <w:r>
              <w:rPr>
                <w:rFonts w:ascii="Arial" w:hAnsi="Arial"/>
                <w:color w:val="1E293B"/>
                <w:sz w:val="16"/>
              </w:rPr>
              <w:t>Supported (bn-IN)</w:t>
            </w:r>
          </w:p>
        </w:tc>
        <w:tc>
          <w:tcPr>
            <w:tcW w:type="dxa" w:w="1872"/>
            <w:shd w:fill="F1F5F9"/>
            <w:tcMar>
              <w:top w:w="60" w:type="dxa"/>
              <w:bottom w:w="60" w:type="dxa"/>
              <w:left w:w="100" w:type="dxa"/>
              <w:right w:w="100" w:type="dxa"/>
            </w:tcMar>
          </w:tcPr>
          <w:p>
            <w:r>
              <w:rPr>
                <w:rFonts w:ascii="Arial" w:hAnsi="Arial"/>
                <w:color w:val="1E293B"/>
                <w:sz w:val="16"/>
              </w:rPr>
              <w:t>Active native Chromium support</w:t>
            </w:r>
          </w:p>
        </w:tc>
      </w:tr>
      <w:tr>
        <w:tc>
          <w:tcPr>
            <w:tcW w:type="dxa" w:w="1872"/>
            <w:shd w:fill="FFFFFF"/>
            <w:tcMar>
              <w:top w:w="60" w:type="dxa"/>
              <w:bottom w:w="60" w:type="dxa"/>
              <w:left w:w="100" w:type="dxa"/>
              <w:right w:w="100" w:type="dxa"/>
            </w:tcMar>
          </w:tcPr>
          <w:p>
            <w:r>
              <w:rPr>
                <w:rFonts w:ascii="Arial" w:hAnsi="Arial"/>
                <w:b/>
                <w:color w:val="1E293B"/>
                <w:sz w:val="16"/>
              </w:rPr>
              <w:t>Telugu</w:t>
            </w:r>
          </w:p>
        </w:tc>
        <w:tc>
          <w:tcPr>
            <w:tcW w:type="dxa" w:w="1872"/>
            <w:shd w:fill="FFFFFF"/>
            <w:tcMar>
              <w:top w:w="60" w:type="dxa"/>
              <w:bottom w:w="60" w:type="dxa"/>
              <w:left w:w="100" w:type="dxa"/>
              <w:right w:w="100" w:type="dxa"/>
            </w:tcMar>
          </w:tcPr>
          <w:p>
            <w:r>
              <w:rPr>
                <w:rFonts w:ascii="Arial" w:hAnsi="Arial"/>
                <w:color w:val="1E293B"/>
                <w:sz w:val="16"/>
              </w:rPr>
              <w:t>తెలుగు</w:t>
            </w:r>
          </w:p>
        </w:tc>
        <w:tc>
          <w:tcPr>
            <w:tcW w:type="dxa" w:w="1872"/>
            <w:shd w:fill="FFFFFF"/>
            <w:tcMar>
              <w:top w:w="60" w:type="dxa"/>
              <w:bottom w:w="60" w:type="dxa"/>
              <w:left w:w="100" w:type="dxa"/>
              <w:right w:w="100" w:type="dxa"/>
            </w:tcMar>
          </w:tcPr>
          <w:p>
            <w:r>
              <w:rPr>
                <w:rFonts w:ascii="Arial" w:hAnsi="Arial"/>
                <w:color w:val="1E293B"/>
                <w:sz w:val="16"/>
              </w:rPr>
              <w:t>Supported</w:t>
            </w:r>
          </w:p>
        </w:tc>
        <w:tc>
          <w:tcPr>
            <w:tcW w:type="dxa" w:w="1872"/>
            <w:shd w:fill="FFFFFF"/>
            <w:tcMar>
              <w:top w:w="60" w:type="dxa"/>
              <w:bottom w:w="60" w:type="dxa"/>
              <w:left w:w="100" w:type="dxa"/>
              <w:right w:w="100" w:type="dxa"/>
            </w:tcMar>
          </w:tcPr>
          <w:p>
            <w:r>
              <w:rPr>
                <w:rFonts w:ascii="Arial" w:hAnsi="Arial"/>
                <w:color w:val="1E293B"/>
                <w:sz w:val="16"/>
              </w:rPr>
              <w:t>Supported (te-IN)</w:t>
            </w:r>
          </w:p>
        </w:tc>
        <w:tc>
          <w:tcPr>
            <w:tcW w:type="dxa" w:w="1872"/>
            <w:shd w:fill="FFFFFF"/>
            <w:tcMar>
              <w:top w:w="60" w:type="dxa"/>
              <w:bottom w:w="60" w:type="dxa"/>
              <w:left w:w="100" w:type="dxa"/>
              <w:right w:w="100" w:type="dxa"/>
            </w:tcMar>
          </w:tcPr>
          <w:p>
            <w:r>
              <w:rPr>
                <w:rFonts w:ascii="Arial" w:hAnsi="Arial"/>
                <w:color w:val="1E293B"/>
                <w:sz w:val="16"/>
              </w:rPr>
              <w:t>Active native Chromium support</w:t>
            </w:r>
          </w:p>
        </w:tc>
      </w:tr>
      <w:tr>
        <w:tc>
          <w:tcPr>
            <w:tcW w:type="dxa" w:w="1872"/>
            <w:shd w:fill="F1F5F9"/>
            <w:tcMar>
              <w:top w:w="60" w:type="dxa"/>
              <w:bottom w:w="60" w:type="dxa"/>
              <w:left w:w="100" w:type="dxa"/>
              <w:right w:w="100" w:type="dxa"/>
            </w:tcMar>
          </w:tcPr>
          <w:p>
            <w:r>
              <w:rPr>
                <w:rFonts w:ascii="Arial" w:hAnsi="Arial"/>
                <w:b/>
                <w:color w:val="1E293B"/>
                <w:sz w:val="16"/>
              </w:rPr>
              <w:t>Tamil</w:t>
            </w:r>
          </w:p>
        </w:tc>
        <w:tc>
          <w:tcPr>
            <w:tcW w:type="dxa" w:w="1872"/>
            <w:shd w:fill="F1F5F9"/>
            <w:tcMar>
              <w:top w:w="60" w:type="dxa"/>
              <w:bottom w:w="60" w:type="dxa"/>
              <w:left w:w="100" w:type="dxa"/>
              <w:right w:w="100" w:type="dxa"/>
            </w:tcMar>
          </w:tcPr>
          <w:p>
            <w:r>
              <w:rPr>
                <w:rFonts w:ascii="Arial" w:hAnsi="Arial"/>
                <w:color w:val="1E293B"/>
                <w:sz w:val="16"/>
              </w:rPr>
              <w:t>தமிழ்</w:t>
            </w:r>
          </w:p>
        </w:tc>
        <w:tc>
          <w:tcPr>
            <w:tcW w:type="dxa" w:w="1872"/>
            <w:shd w:fill="F1F5F9"/>
            <w:tcMar>
              <w:top w:w="60" w:type="dxa"/>
              <w:bottom w:w="60" w:type="dxa"/>
              <w:left w:w="100" w:type="dxa"/>
              <w:right w:w="100" w:type="dxa"/>
            </w:tcMar>
          </w:tcPr>
          <w:p>
            <w:r>
              <w:rPr>
                <w:rFonts w:ascii="Arial" w:hAnsi="Arial"/>
                <w:color w:val="1E293B"/>
                <w:sz w:val="16"/>
              </w:rPr>
              <w:t>Supported</w:t>
            </w:r>
          </w:p>
        </w:tc>
        <w:tc>
          <w:tcPr>
            <w:tcW w:type="dxa" w:w="1872"/>
            <w:shd w:fill="F1F5F9"/>
            <w:tcMar>
              <w:top w:w="60" w:type="dxa"/>
              <w:bottom w:w="60" w:type="dxa"/>
              <w:left w:w="100" w:type="dxa"/>
              <w:right w:w="100" w:type="dxa"/>
            </w:tcMar>
          </w:tcPr>
          <w:p>
            <w:r>
              <w:rPr>
                <w:rFonts w:ascii="Arial" w:hAnsi="Arial"/>
                <w:color w:val="1E293B"/>
                <w:sz w:val="16"/>
              </w:rPr>
              <w:t>Supported (ta-IN)</w:t>
            </w:r>
          </w:p>
        </w:tc>
        <w:tc>
          <w:tcPr>
            <w:tcW w:type="dxa" w:w="1872"/>
            <w:shd w:fill="F1F5F9"/>
            <w:tcMar>
              <w:top w:w="60" w:type="dxa"/>
              <w:bottom w:w="60" w:type="dxa"/>
              <w:left w:w="100" w:type="dxa"/>
              <w:right w:w="100" w:type="dxa"/>
            </w:tcMar>
          </w:tcPr>
          <w:p>
            <w:r>
              <w:rPr>
                <w:rFonts w:ascii="Arial" w:hAnsi="Arial"/>
                <w:color w:val="1E293B"/>
                <w:sz w:val="16"/>
              </w:rPr>
              <w:t>Active native Chromium support</w:t>
            </w:r>
          </w:p>
        </w:tc>
      </w:tr>
      <w:tr>
        <w:tc>
          <w:tcPr>
            <w:tcW w:type="dxa" w:w="1872"/>
            <w:shd w:fill="FFFFFF"/>
            <w:tcMar>
              <w:top w:w="60" w:type="dxa"/>
              <w:bottom w:w="60" w:type="dxa"/>
              <w:left w:w="100" w:type="dxa"/>
              <w:right w:w="100" w:type="dxa"/>
            </w:tcMar>
          </w:tcPr>
          <w:p>
            <w:r>
              <w:rPr>
                <w:rFonts w:ascii="Arial" w:hAnsi="Arial"/>
                <w:b/>
                <w:color w:val="1E293B"/>
                <w:sz w:val="16"/>
              </w:rPr>
              <w:t>Kannada</w:t>
            </w:r>
          </w:p>
        </w:tc>
        <w:tc>
          <w:tcPr>
            <w:tcW w:type="dxa" w:w="1872"/>
            <w:shd w:fill="FFFFFF"/>
            <w:tcMar>
              <w:top w:w="60" w:type="dxa"/>
              <w:bottom w:w="60" w:type="dxa"/>
              <w:left w:w="100" w:type="dxa"/>
              <w:right w:w="100" w:type="dxa"/>
            </w:tcMar>
          </w:tcPr>
          <w:p>
            <w:r>
              <w:rPr>
                <w:rFonts w:ascii="Arial" w:hAnsi="Arial"/>
                <w:color w:val="1E293B"/>
                <w:sz w:val="16"/>
              </w:rPr>
              <w:t>ಕನ್ನಡ</w:t>
            </w:r>
          </w:p>
        </w:tc>
        <w:tc>
          <w:tcPr>
            <w:tcW w:type="dxa" w:w="1872"/>
            <w:shd w:fill="FFFFFF"/>
            <w:tcMar>
              <w:top w:w="60" w:type="dxa"/>
              <w:bottom w:w="60" w:type="dxa"/>
              <w:left w:w="100" w:type="dxa"/>
              <w:right w:w="100" w:type="dxa"/>
            </w:tcMar>
          </w:tcPr>
          <w:p>
            <w:r>
              <w:rPr>
                <w:rFonts w:ascii="Arial" w:hAnsi="Arial"/>
                <w:color w:val="1E293B"/>
                <w:sz w:val="16"/>
              </w:rPr>
              <w:t>Supported</w:t>
            </w:r>
          </w:p>
        </w:tc>
        <w:tc>
          <w:tcPr>
            <w:tcW w:type="dxa" w:w="1872"/>
            <w:shd w:fill="FFFFFF"/>
            <w:tcMar>
              <w:top w:w="60" w:type="dxa"/>
              <w:bottom w:w="60" w:type="dxa"/>
              <w:left w:w="100" w:type="dxa"/>
              <w:right w:w="100" w:type="dxa"/>
            </w:tcMar>
          </w:tcPr>
          <w:p>
            <w:r>
              <w:rPr>
                <w:rFonts w:ascii="Arial" w:hAnsi="Arial"/>
                <w:color w:val="1E293B"/>
                <w:sz w:val="16"/>
              </w:rPr>
              <w:t>Supported (kn-IN)</w:t>
            </w:r>
          </w:p>
        </w:tc>
        <w:tc>
          <w:tcPr>
            <w:tcW w:type="dxa" w:w="1872"/>
            <w:shd w:fill="FFFFFF"/>
            <w:tcMar>
              <w:top w:w="60" w:type="dxa"/>
              <w:bottom w:w="60" w:type="dxa"/>
              <w:left w:w="100" w:type="dxa"/>
              <w:right w:w="100" w:type="dxa"/>
            </w:tcMar>
          </w:tcPr>
          <w:p>
            <w:r>
              <w:rPr>
                <w:rFonts w:ascii="Arial" w:hAnsi="Arial"/>
                <w:color w:val="1E293B"/>
                <w:sz w:val="16"/>
              </w:rPr>
              <w:t>Active native Chromium support</w:t>
            </w:r>
          </w:p>
        </w:tc>
      </w:tr>
      <w:tr>
        <w:tc>
          <w:tcPr>
            <w:tcW w:type="dxa" w:w="1872"/>
            <w:shd w:fill="F1F5F9"/>
            <w:tcMar>
              <w:top w:w="60" w:type="dxa"/>
              <w:bottom w:w="60" w:type="dxa"/>
              <w:left w:w="100" w:type="dxa"/>
              <w:right w:w="100" w:type="dxa"/>
            </w:tcMar>
          </w:tcPr>
          <w:p>
            <w:r>
              <w:rPr>
                <w:rFonts w:ascii="Arial" w:hAnsi="Arial"/>
                <w:b/>
                <w:color w:val="1E293B"/>
                <w:sz w:val="16"/>
              </w:rPr>
              <w:t>Malayalam</w:t>
            </w:r>
          </w:p>
        </w:tc>
        <w:tc>
          <w:tcPr>
            <w:tcW w:type="dxa" w:w="1872"/>
            <w:shd w:fill="F1F5F9"/>
            <w:tcMar>
              <w:top w:w="60" w:type="dxa"/>
              <w:bottom w:w="60" w:type="dxa"/>
              <w:left w:w="100" w:type="dxa"/>
              <w:right w:w="100" w:type="dxa"/>
            </w:tcMar>
          </w:tcPr>
          <w:p>
            <w:r>
              <w:rPr>
                <w:rFonts w:ascii="Arial" w:hAnsi="Arial"/>
                <w:color w:val="1E293B"/>
                <w:sz w:val="16"/>
              </w:rPr>
              <w:t>മലയാളം</w:t>
            </w:r>
          </w:p>
        </w:tc>
        <w:tc>
          <w:tcPr>
            <w:tcW w:type="dxa" w:w="1872"/>
            <w:shd w:fill="F1F5F9"/>
            <w:tcMar>
              <w:top w:w="60" w:type="dxa"/>
              <w:bottom w:w="60" w:type="dxa"/>
              <w:left w:w="100" w:type="dxa"/>
              <w:right w:w="100" w:type="dxa"/>
            </w:tcMar>
          </w:tcPr>
          <w:p>
            <w:r>
              <w:rPr>
                <w:rFonts w:ascii="Arial" w:hAnsi="Arial"/>
                <w:color w:val="1E293B"/>
                <w:sz w:val="16"/>
              </w:rPr>
              <w:t>Supported</w:t>
            </w:r>
          </w:p>
        </w:tc>
        <w:tc>
          <w:tcPr>
            <w:tcW w:type="dxa" w:w="1872"/>
            <w:shd w:fill="F1F5F9"/>
            <w:tcMar>
              <w:top w:w="60" w:type="dxa"/>
              <w:bottom w:w="60" w:type="dxa"/>
              <w:left w:w="100" w:type="dxa"/>
              <w:right w:w="100" w:type="dxa"/>
            </w:tcMar>
          </w:tcPr>
          <w:p>
            <w:r>
              <w:rPr>
                <w:rFonts w:ascii="Arial" w:hAnsi="Arial"/>
                <w:color w:val="1E293B"/>
                <w:sz w:val="16"/>
              </w:rPr>
              <w:t>Supported (ml-IN)</w:t>
            </w:r>
          </w:p>
        </w:tc>
        <w:tc>
          <w:tcPr>
            <w:tcW w:type="dxa" w:w="1872"/>
            <w:shd w:fill="F1F5F9"/>
            <w:tcMar>
              <w:top w:w="60" w:type="dxa"/>
              <w:bottom w:w="60" w:type="dxa"/>
              <w:left w:w="100" w:type="dxa"/>
              <w:right w:w="100" w:type="dxa"/>
            </w:tcMar>
          </w:tcPr>
          <w:p>
            <w:r>
              <w:rPr>
                <w:rFonts w:ascii="Arial" w:hAnsi="Arial"/>
                <w:color w:val="1E293B"/>
                <w:sz w:val="16"/>
              </w:rPr>
              <w:t>Active native Chromium support</w:t>
            </w:r>
          </w:p>
        </w:tc>
      </w:tr>
      <w:tr>
        <w:tc>
          <w:tcPr>
            <w:tcW w:type="dxa" w:w="1872"/>
            <w:shd w:fill="FFFFFF"/>
            <w:tcMar>
              <w:top w:w="60" w:type="dxa"/>
              <w:bottom w:w="60" w:type="dxa"/>
              <w:left w:w="100" w:type="dxa"/>
              <w:right w:w="100" w:type="dxa"/>
            </w:tcMar>
          </w:tcPr>
          <w:p>
            <w:r>
              <w:rPr>
                <w:rFonts w:ascii="Arial" w:hAnsi="Arial"/>
                <w:b/>
                <w:color w:val="1E293B"/>
                <w:sz w:val="16"/>
              </w:rPr>
              <w:t>Marathi</w:t>
            </w:r>
          </w:p>
        </w:tc>
        <w:tc>
          <w:tcPr>
            <w:tcW w:type="dxa" w:w="1872"/>
            <w:shd w:fill="FFFFFF"/>
            <w:tcMar>
              <w:top w:w="60" w:type="dxa"/>
              <w:bottom w:w="60" w:type="dxa"/>
              <w:left w:w="100" w:type="dxa"/>
              <w:right w:w="100" w:type="dxa"/>
            </w:tcMar>
          </w:tcPr>
          <w:p>
            <w:r>
              <w:rPr>
                <w:rFonts w:ascii="Arial" w:hAnsi="Arial"/>
                <w:color w:val="1E293B"/>
                <w:sz w:val="16"/>
              </w:rPr>
              <w:t>मराठी</w:t>
            </w:r>
          </w:p>
        </w:tc>
        <w:tc>
          <w:tcPr>
            <w:tcW w:type="dxa" w:w="1872"/>
            <w:shd w:fill="FFFFFF"/>
            <w:tcMar>
              <w:top w:w="60" w:type="dxa"/>
              <w:bottom w:w="60" w:type="dxa"/>
              <w:left w:w="100" w:type="dxa"/>
              <w:right w:w="100" w:type="dxa"/>
            </w:tcMar>
          </w:tcPr>
          <w:p>
            <w:r>
              <w:rPr>
                <w:rFonts w:ascii="Arial" w:hAnsi="Arial"/>
                <w:color w:val="1E293B"/>
                <w:sz w:val="16"/>
              </w:rPr>
              <w:t>Supported</w:t>
            </w:r>
          </w:p>
        </w:tc>
        <w:tc>
          <w:tcPr>
            <w:tcW w:type="dxa" w:w="1872"/>
            <w:shd w:fill="FFFFFF"/>
            <w:tcMar>
              <w:top w:w="60" w:type="dxa"/>
              <w:bottom w:w="60" w:type="dxa"/>
              <w:left w:w="100" w:type="dxa"/>
              <w:right w:w="100" w:type="dxa"/>
            </w:tcMar>
          </w:tcPr>
          <w:p>
            <w:r>
              <w:rPr>
                <w:rFonts w:ascii="Arial" w:hAnsi="Arial"/>
                <w:color w:val="1E293B"/>
                <w:sz w:val="16"/>
              </w:rPr>
              <w:t>Supported (mr-IN)</w:t>
            </w:r>
          </w:p>
        </w:tc>
        <w:tc>
          <w:tcPr>
            <w:tcW w:type="dxa" w:w="1872"/>
            <w:shd w:fill="FFFFFF"/>
            <w:tcMar>
              <w:top w:w="60" w:type="dxa"/>
              <w:bottom w:w="60" w:type="dxa"/>
              <w:left w:w="100" w:type="dxa"/>
              <w:right w:w="100" w:type="dxa"/>
            </w:tcMar>
          </w:tcPr>
          <w:p>
            <w:r>
              <w:rPr>
                <w:rFonts w:ascii="Arial" w:hAnsi="Arial"/>
                <w:color w:val="1E293B"/>
                <w:sz w:val="16"/>
              </w:rPr>
              <w:t>Active native Chromium support</w:t>
            </w:r>
          </w:p>
        </w:tc>
      </w:tr>
      <w:tr>
        <w:tc>
          <w:tcPr>
            <w:tcW w:type="dxa" w:w="1872"/>
            <w:shd w:fill="F1F5F9"/>
            <w:tcMar>
              <w:top w:w="60" w:type="dxa"/>
              <w:bottom w:w="60" w:type="dxa"/>
              <w:left w:w="100" w:type="dxa"/>
              <w:right w:w="100" w:type="dxa"/>
            </w:tcMar>
          </w:tcPr>
          <w:p>
            <w:r>
              <w:rPr>
                <w:rFonts w:ascii="Arial" w:hAnsi="Arial"/>
                <w:b/>
                <w:color w:val="1E293B"/>
                <w:sz w:val="16"/>
              </w:rPr>
              <w:t>Gujarati</w:t>
            </w:r>
          </w:p>
        </w:tc>
        <w:tc>
          <w:tcPr>
            <w:tcW w:type="dxa" w:w="1872"/>
            <w:shd w:fill="F1F5F9"/>
            <w:tcMar>
              <w:top w:w="60" w:type="dxa"/>
              <w:bottom w:w="60" w:type="dxa"/>
              <w:left w:w="100" w:type="dxa"/>
              <w:right w:w="100" w:type="dxa"/>
            </w:tcMar>
          </w:tcPr>
          <w:p>
            <w:r>
              <w:rPr>
                <w:rFonts w:ascii="Arial" w:hAnsi="Arial"/>
                <w:color w:val="1E293B"/>
                <w:sz w:val="16"/>
              </w:rPr>
              <w:t>ગુજરાતી</w:t>
            </w:r>
          </w:p>
        </w:tc>
        <w:tc>
          <w:tcPr>
            <w:tcW w:type="dxa" w:w="1872"/>
            <w:shd w:fill="F1F5F9"/>
            <w:tcMar>
              <w:top w:w="60" w:type="dxa"/>
              <w:bottom w:w="60" w:type="dxa"/>
              <w:left w:w="100" w:type="dxa"/>
              <w:right w:w="100" w:type="dxa"/>
            </w:tcMar>
          </w:tcPr>
          <w:p>
            <w:r>
              <w:rPr>
                <w:rFonts w:ascii="Arial" w:hAnsi="Arial"/>
                <w:color w:val="1E293B"/>
                <w:sz w:val="16"/>
              </w:rPr>
              <w:t>Supported</w:t>
            </w:r>
          </w:p>
        </w:tc>
        <w:tc>
          <w:tcPr>
            <w:tcW w:type="dxa" w:w="1872"/>
            <w:shd w:fill="F1F5F9"/>
            <w:tcMar>
              <w:top w:w="60" w:type="dxa"/>
              <w:bottom w:w="60" w:type="dxa"/>
              <w:left w:w="100" w:type="dxa"/>
              <w:right w:w="100" w:type="dxa"/>
            </w:tcMar>
          </w:tcPr>
          <w:p>
            <w:r>
              <w:rPr>
                <w:rFonts w:ascii="Arial" w:hAnsi="Arial"/>
                <w:color w:val="1E293B"/>
                <w:sz w:val="16"/>
              </w:rPr>
              <w:t>Supported (gu-IN)</w:t>
            </w:r>
          </w:p>
        </w:tc>
        <w:tc>
          <w:tcPr>
            <w:tcW w:type="dxa" w:w="1872"/>
            <w:shd w:fill="F1F5F9"/>
            <w:tcMar>
              <w:top w:w="60" w:type="dxa"/>
              <w:bottom w:w="60" w:type="dxa"/>
              <w:left w:w="100" w:type="dxa"/>
              <w:right w:w="100" w:type="dxa"/>
            </w:tcMar>
          </w:tcPr>
          <w:p>
            <w:r>
              <w:rPr>
                <w:rFonts w:ascii="Arial" w:hAnsi="Arial"/>
                <w:color w:val="1E293B"/>
                <w:sz w:val="16"/>
              </w:rPr>
              <w:t>Active native Chromium support</w:t>
            </w:r>
          </w:p>
        </w:tc>
      </w:tr>
      <w:tr>
        <w:tc>
          <w:tcPr>
            <w:tcW w:type="dxa" w:w="1872"/>
            <w:shd w:fill="FFFFFF"/>
            <w:tcMar>
              <w:top w:w="60" w:type="dxa"/>
              <w:bottom w:w="60" w:type="dxa"/>
              <w:left w:w="100" w:type="dxa"/>
              <w:right w:w="100" w:type="dxa"/>
            </w:tcMar>
          </w:tcPr>
          <w:p>
            <w:r>
              <w:rPr>
                <w:rFonts w:ascii="Arial" w:hAnsi="Arial"/>
                <w:b/>
                <w:color w:val="1E293B"/>
                <w:sz w:val="16"/>
              </w:rPr>
              <w:t>Punjabi</w:t>
            </w:r>
          </w:p>
        </w:tc>
        <w:tc>
          <w:tcPr>
            <w:tcW w:type="dxa" w:w="1872"/>
            <w:shd w:fill="FFFFFF"/>
            <w:tcMar>
              <w:top w:w="60" w:type="dxa"/>
              <w:bottom w:w="60" w:type="dxa"/>
              <w:left w:w="100" w:type="dxa"/>
              <w:right w:w="100" w:type="dxa"/>
            </w:tcMar>
          </w:tcPr>
          <w:p>
            <w:r>
              <w:rPr>
                <w:rFonts w:ascii="Arial" w:hAnsi="Arial"/>
                <w:color w:val="1E293B"/>
                <w:sz w:val="16"/>
              </w:rPr>
              <w:t>ਪੰਜਾਬੀ</w:t>
            </w:r>
          </w:p>
        </w:tc>
        <w:tc>
          <w:tcPr>
            <w:tcW w:type="dxa" w:w="1872"/>
            <w:shd w:fill="FFFFFF"/>
            <w:tcMar>
              <w:top w:w="60" w:type="dxa"/>
              <w:bottom w:w="60" w:type="dxa"/>
              <w:left w:w="100" w:type="dxa"/>
              <w:right w:w="100" w:type="dxa"/>
            </w:tcMar>
          </w:tcPr>
          <w:p>
            <w:r>
              <w:rPr>
                <w:rFonts w:ascii="Arial" w:hAnsi="Arial"/>
                <w:color w:val="1E293B"/>
                <w:sz w:val="16"/>
              </w:rPr>
              <w:t>Supported</w:t>
            </w:r>
          </w:p>
        </w:tc>
        <w:tc>
          <w:tcPr>
            <w:tcW w:type="dxa" w:w="1872"/>
            <w:shd w:fill="FFFFFF"/>
            <w:tcMar>
              <w:top w:w="60" w:type="dxa"/>
              <w:bottom w:w="60" w:type="dxa"/>
              <w:left w:w="100" w:type="dxa"/>
              <w:right w:w="100" w:type="dxa"/>
            </w:tcMar>
          </w:tcPr>
          <w:p>
            <w:r>
              <w:rPr>
                <w:rFonts w:ascii="Arial" w:hAnsi="Arial"/>
                <w:color w:val="B91C1C"/>
                <w:sz w:val="16"/>
              </w:rPr>
              <w:t>Honest Unavailable</w:t>
            </w:r>
          </w:p>
        </w:tc>
        <w:tc>
          <w:tcPr>
            <w:tcW w:type="dxa" w:w="1872"/>
            <w:shd w:fill="FFFFFF"/>
            <w:tcMar>
              <w:top w:w="60" w:type="dxa"/>
              <w:bottom w:w="60" w:type="dxa"/>
              <w:left w:w="100" w:type="dxa"/>
              <w:right w:w="100" w:type="dxa"/>
            </w:tcMar>
          </w:tcPr>
          <w:p>
            <w:r>
              <w:rPr>
                <w:rFonts w:ascii="Arial" w:hAnsi="Arial"/>
                <w:color w:val="1E293B"/>
                <w:sz w:val="16"/>
              </w:rPr>
              <w:t>Inconsistent desktop browser voice model; Text Guided</w:t>
            </w:r>
          </w:p>
        </w:tc>
      </w:tr>
      <w:tr>
        <w:tc>
          <w:tcPr>
            <w:tcW w:type="dxa" w:w="1872"/>
            <w:shd w:fill="F1F5F9"/>
            <w:tcMar>
              <w:top w:w="60" w:type="dxa"/>
              <w:bottom w:w="60" w:type="dxa"/>
              <w:left w:w="100" w:type="dxa"/>
              <w:right w:w="100" w:type="dxa"/>
            </w:tcMar>
          </w:tcPr>
          <w:p>
            <w:r>
              <w:rPr>
                <w:rFonts w:ascii="Arial" w:hAnsi="Arial"/>
                <w:b/>
                <w:color w:val="1E293B"/>
                <w:sz w:val="16"/>
              </w:rPr>
              <w:t>Assamese</w:t>
            </w:r>
          </w:p>
        </w:tc>
        <w:tc>
          <w:tcPr>
            <w:tcW w:type="dxa" w:w="1872"/>
            <w:shd w:fill="F1F5F9"/>
            <w:tcMar>
              <w:top w:w="60" w:type="dxa"/>
              <w:bottom w:w="60" w:type="dxa"/>
              <w:left w:w="100" w:type="dxa"/>
              <w:right w:w="100" w:type="dxa"/>
            </w:tcMar>
          </w:tcPr>
          <w:p>
            <w:r>
              <w:rPr>
                <w:rFonts w:ascii="Arial" w:hAnsi="Arial"/>
                <w:color w:val="1E293B"/>
                <w:sz w:val="16"/>
              </w:rPr>
              <w:t>অসমীয়া</w:t>
            </w:r>
          </w:p>
        </w:tc>
        <w:tc>
          <w:tcPr>
            <w:tcW w:type="dxa" w:w="1872"/>
            <w:shd w:fill="F1F5F9"/>
            <w:tcMar>
              <w:top w:w="60" w:type="dxa"/>
              <w:bottom w:w="60" w:type="dxa"/>
              <w:left w:w="100" w:type="dxa"/>
              <w:right w:w="100" w:type="dxa"/>
            </w:tcMar>
          </w:tcPr>
          <w:p>
            <w:r>
              <w:rPr>
                <w:rFonts w:ascii="Arial" w:hAnsi="Arial"/>
                <w:color w:val="1E293B"/>
                <w:sz w:val="16"/>
              </w:rPr>
              <w:t>Supported</w:t>
            </w:r>
          </w:p>
        </w:tc>
        <w:tc>
          <w:tcPr>
            <w:tcW w:type="dxa" w:w="1872"/>
            <w:shd w:fill="F1F5F9"/>
            <w:tcMar>
              <w:top w:w="60" w:type="dxa"/>
              <w:bottom w:w="60" w:type="dxa"/>
              <w:left w:w="100" w:type="dxa"/>
              <w:right w:w="100" w:type="dxa"/>
            </w:tcMar>
          </w:tcPr>
          <w:p>
            <w:r>
              <w:rPr>
                <w:rFonts w:ascii="Arial" w:hAnsi="Arial"/>
                <w:color w:val="B91C1C"/>
                <w:sz w:val="16"/>
              </w:rPr>
              <w:t>Honest Unavailable</w:t>
            </w:r>
          </w:p>
        </w:tc>
        <w:tc>
          <w:tcPr>
            <w:tcW w:type="dxa" w:w="1872"/>
            <w:shd w:fill="F1F5F9"/>
            <w:tcMar>
              <w:top w:w="60" w:type="dxa"/>
              <w:bottom w:w="60" w:type="dxa"/>
              <w:left w:w="100" w:type="dxa"/>
              <w:right w:w="100" w:type="dxa"/>
            </w:tcMar>
          </w:tcPr>
          <w:p>
            <w:r>
              <w:rPr>
                <w:rFonts w:ascii="Arial" w:hAnsi="Arial"/>
                <w:color w:val="1E293B"/>
                <w:sz w:val="16"/>
              </w:rPr>
              <w:t>Browser lacks as-IN voice model; Text Guided</w:t>
            </w:r>
          </w:p>
        </w:tc>
      </w:tr>
      <w:tr>
        <w:tc>
          <w:tcPr>
            <w:tcW w:type="dxa" w:w="1872"/>
            <w:shd w:fill="FFFFFF"/>
            <w:tcMar>
              <w:top w:w="60" w:type="dxa"/>
              <w:bottom w:w="60" w:type="dxa"/>
              <w:left w:w="100" w:type="dxa"/>
              <w:right w:w="100" w:type="dxa"/>
            </w:tcMar>
          </w:tcPr>
          <w:p>
            <w:r>
              <w:rPr>
                <w:rFonts w:ascii="Arial" w:hAnsi="Arial"/>
                <w:b/>
                <w:color w:val="1E293B"/>
                <w:sz w:val="16"/>
              </w:rPr>
              <w:t>Urdu</w:t>
            </w:r>
          </w:p>
        </w:tc>
        <w:tc>
          <w:tcPr>
            <w:tcW w:type="dxa" w:w="1872"/>
            <w:shd w:fill="FFFFFF"/>
            <w:tcMar>
              <w:top w:w="60" w:type="dxa"/>
              <w:bottom w:w="60" w:type="dxa"/>
              <w:left w:w="100" w:type="dxa"/>
              <w:right w:w="100" w:type="dxa"/>
            </w:tcMar>
          </w:tcPr>
          <w:p>
            <w:r>
              <w:rPr>
                <w:rFonts w:ascii="Arial" w:hAnsi="Arial"/>
                <w:color w:val="1E293B"/>
                <w:sz w:val="16"/>
              </w:rPr>
              <w:t>اردو</w:t>
            </w:r>
          </w:p>
        </w:tc>
        <w:tc>
          <w:tcPr>
            <w:tcW w:type="dxa" w:w="1872"/>
            <w:shd w:fill="FFFFFF"/>
            <w:tcMar>
              <w:top w:w="60" w:type="dxa"/>
              <w:bottom w:w="60" w:type="dxa"/>
              <w:left w:w="100" w:type="dxa"/>
              <w:right w:w="100" w:type="dxa"/>
            </w:tcMar>
          </w:tcPr>
          <w:p>
            <w:r>
              <w:rPr>
                <w:rFonts w:ascii="Arial" w:hAnsi="Arial"/>
                <w:color w:val="1E293B"/>
                <w:sz w:val="16"/>
              </w:rPr>
              <w:t>Supported</w:t>
            </w:r>
          </w:p>
        </w:tc>
        <w:tc>
          <w:tcPr>
            <w:tcW w:type="dxa" w:w="1872"/>
            <w:shd w:fill="FFFFFF"/>
            <w:tcMar>
              <w:top w:w="60" w:type="dxa"/>
              <w:bottom w:w="60" w:type="dxa"/>
              <w:left w:w="100" w:type="dxa"/>
              <w:right w:w="100" w:type="dxa"/>
            </w:tcMar>
          </w:tcPr>
          <w:p>
            <w:r>
              <w:rPr>
                <w:rFonts w:ascii="Arial" w:hAnsi="Arial"/>
                <w:color w:val="1E293B"/>
                <w:sz w:val="16"/>
              </w:rPr>
              <w:t>Supported (ur-IN)</w:t>
            </w:r>
          </w:p>
        </w:tc>
        <w:tc>
          <w:tcPr>
            <w:tcW w:type="dxa" w:w="1872"/>
            <w:shd w:fill="FFFFFF"/>
            <w:tcMar>
              <w:top w:w="60" w:type="dxa"/>
              <w:bottom w:w="60" w:type="dxa"/>
              <w:left w:w="100" w:type="dxa"/>
              <w:right w:w="100" w:type="dxa"/>
            </w:tcMar>
          </w:tcPr>
          <w:p>
            <w:r>
              <w:rPr>
                <w:rFonts w:ascii="Arial" w:hAnsi="Arial"/>
                <w:color w:val="1E293B"/>
                <w:sz w:val="16"/>
              </w:rPr>
              <w:t>Active native Chromium support</w:t>
            </w:r>
          </w:p>
        </w:tc>
      </w:tr>
    </w:tbl>
    <w:p>
      <w:pPr>
        <w:spacing w:after="160"/>
      </w:pPr>
    </w:p>
    <w:p>
      <w:pPr>
        <w:keepNext/>
        <w:spacing w:before="360" w:after="120"/>
      </w:pPr>
      <w:r>
        <w:rPr>
          <w:rFonts w:ascii="Arial" w:hAnsi="Arial"/>
          <w:b/>
          <w:color w:val="0F2D4A"/>
          <w:sz w:val="32"/>
        </w:rPr>
        <w:t>6. Detailed Features &amp; Website Working Process</w:t>
      </w:r>
    </w:p>
    <w:p>
      <w:pPr>
        <w:spacing w:before="0" w:after="120" w:line="276" w:lineRule="auto"/>
      </w:pPr>
      <w:r>
        <w:rPr>
          <w:rFonts w:ascii="Arial" w:hAnsi="Arial"/>
          <w:color w:val="1E293B"/>
          <w:sz w:val="20"/>
        </w:rPr>
        <w:t>JANSAATHI AI is partitioned into two major operational workspaces: the Patient Intake Portal and the Clinician Triage Workstation. Below is the step-by-step working process of each feature:</w:t>
      </w:r>
    </w:p>
    <w:p>
      <w:pPr>
        <w:keepNext/>
        <w:spacing w:before="240" w:after="80"/>
      </w:pPr>
      <w:r>
        <w:rPr>
          <w:rFonts w:ascii="Arial" w:hAnsi="Arial"/>
          <w:b/>
          <w:color w:val="0D9488"/>
          <w:sz w:val="26"/>
        </w:rPr>
        <w:t>6.1 Patient Intake Portal Workflow (/patient)</w:t>
      </w:r>
    </w:p>
    <w:p>
      <w:pPr>
        <w:spacing w:before="0" w:after="120" w:line="276" w:lineRule="auto"/>
      </w:pPr>
      <w:r>
        <w:rPr>
          <w:rFonts w:ascii="Arial" w:hAnsi="Arial"/>
          <w:b/>
          <w:color w:val="0F2D4A"/>
          <w:sz w:val="20"/>
        </w:rPr>
        <w:t xml:space="preserve">Step 1: Informed Consent Protocol — </w:t>
      </w:r>
      <w:r>
        <w:rPr>
          <w:rFonts w:ascii="Arial" w:hAnsi="Arial"/>
          <w:color w:val="1E293B"/>
          <w:sz w:val="20"/>
        </w:rPr>
        <w:t>Before any symptom information is entered, patients must review a 4-point informed consent screen. They must explicitly acknowledge that: (a) Information is collected solely to assist doctor review; (b) The system does not diagnose or prescribe; (c) A qualified doctor makes all clinical decisions; and (d) Case IDs are anonymous. Submission is blocked until consent is checked.</w:t>
      </w:r>
    </w:p>
    <w:p>
      <w:pPr>
        <w:spacing w:before="0" w:after="120" w:line="276" w:lineRule="auto"/>
      </w:pPr>
      <w:r>
        <w:rPr>
          <w:rFonts w:ascii="Arial" w:hAnsi="Arial"/>
          <w:b/>
          <w:color w:val="0F2D4A"/>
          <w:sz w:val="20"/>
        </w:rPr>
        <w:t xml:space="preserve">Step 2: Language Selection — </w:t>
      </w:r>
      <w:r>
        <w:rPr>
          <w:rFonts w:ascii="Arial" w:hAnsi="Arial"/>
          <w:color w:val="1E293B"/>
          <w:sz w:val="20"/>
        </w:rPr>
        <w:t>Patients select their preferred language from a grid of 13 Indian languages displaying real-time speech and text capability badges. If a language lacks speech recognition, an honest advisory prompts the patient to use text input.</w:t>
      </w:r>
    </w:p>
    <w:p>
      <w:pPr>
        <w:spacing w:before="0" w:after="120" w:line="276" w:lineRule="auto"/>
      </w:pPr>
      <w:r>
        <w:rPr>
          <w:rFonts w:ascii="Arial" w:hAnsi="Arial"/>
          <w:b/>
          <w:color w:val="0F2D4A"/>
          <w:sz w:val="20"/>
        </w:rPr>
        <w:t xml:space="preserve">Step 3: Multimodal Intake — </w:t>
      </w:r>
      <w:r>
        <w:rPr>
          <w:rFonts w:ascii="Arial" w:hAnsi="Arial"/>
          <w:color w:val="1E293B"/>
          <w:sz w:val="20"/>
        </w:rPr>
        <w:t>Patients can provide clinical details across four integrated modalities:</w:t>
      </w:r>
    </w:p>
    <w:p>
      <w:pPr>
        <w:spacing w:before="0" w:after="120" w:line="276" w:lineRule="auto"/>
      </w:pPr>
      <w:r>
        <w:rPr>
          <w:rFonts w:ascii="Arial" w:hAnsi="Arial"/>
          <w:b/>
          <w:color w:val="0F2D4A"/>
          <w:sz w:val="20"/>
        </w:rPr>
        <w:t xml:space="preserve">   • Spoken Audio (Voice): </w:t>
      </w:r>
      <w:r>
        <w:rPr>
          <w:rFonts w:ascii="Arial" w:hAnsi="Arial"/>
          <w:color w:val="1E293B"/>
          <w:sz w:val="20"/>
        </w:rPr>
        <w:t>Real-time browser microphone capture with audio waveform visualization, live streaming transcription, and an editable review textbox.</w:t>
      </w:r>
    </w:p>
    <w:p>
      <w:pPr>
        <w:spacing w:before="0" w:after="120" w:line="276" w:lineRule="auto"/>
      </w:pPr>
      <w:r>
        <w:rPr>
          <w:rFonts w:ascii="Arial" w:hAnsi="Arial"/>
          <w:b/>
          <w:color w:val="0F2D4A"/>
          <w:sz w:val="20"/>
        </w:rPr>
        <w:t xml:space="preserve">   • Written Text: </w:t>
      </w:r>
      <w:r>
        <w:rPr>
          <w:rFonts w:ascii="Arial" w:hAnsi="Arial"/>
          <w:color w:val="1E293B"/>
          <w:sz w:val="20"/>
        </w:rPr>
        <w:t>Multilingual text entry with helpful quick-symptom chips (Fever, Chest pain, Breathing difficulty, etc.).</w:t>
      </w:r>
    </w:p>
    <w:p>
      <w:pPr>
        <w:spacing w:before="0" w:after="120" w:line="276" w:lineRule="auto"/>
      </w:pPr>
      <w:r>
        <w:rPr>
          <w:rFonts w:ascii="Arial" w:hAnsi="Arial"/>
          <w:b/>
          <w:color w:val="0F2D4A"/>
          <w:sz w:val="20"/>
        </w:rPr>
        <w:t xml:space="preserve">   • Diagnostic Report Upload: </w:t>
      </w:r>
      <w:r>
        <w:rPr>
          <w:rFonts w:ascii="Arial" w:hAnsi="Arial"/>
          <w:color w:val="1E293B"/>
          <w:sz w:val="20"/>
        </w:rPr>
        <w:t>In-browser Tesseract.js client OCR processing JPG, PNG, or PDF scans of blood tests or prescriptions with a real percentage progress bar.</w:t>
      </w:r>
    </w:p>
    <w:p>
      <w:pPr>
        <w:spacing w:before="0" w:after="120" w:line="276" w:lineRule="auto"/>
      </w:pPr>
      <w:r>
        <w:rPr>
          <w:rFonts w:ascii="Arial" w:hAnsi="Arial"/>
          <w:b/>
          <w:color w:val="0F2D4A"/>
          <w:sz w:val="20"/>
        </w:rPr>
        <w:t xml:space="preserve">   • Medical Hardware Telemetry: </w:t>
      </w:r>
      <w:r>
        <w:rPr>
          <w:rFonts w:ascii="Arial" w:hAnsi="Arial"/>
          <w:color w:val="1E293B"/>
          <w:sz w:val="20"/>
        </w:rPr>
        <w:t>Web Serial USB connection to pulse oximeters streaming SpO2 (%) and Pulse Rate (bpm), plus manual entry fallback.</w:t>
      </w:r>
    </w:p>
    <w:p>
      <w:pPr>
        <w:spacing w:before="0" w:after="120" w:line="276" w:lineRule="auto"/>
      </w:pPr>
      <w:r>
        <w:rPr>
          <w:rFonts w:ascii="Arial" w:hAnsi="Arial"/>
          <w:b/>
          <w:color w:val="0F2D4A"/>
          <w:sz w:val="20"/>
        </w:rPr>
        <w:t xml:space="preserve">Step 4: Patient Confirmation &amp; Correction — </w:t>
      </w:r>
      <w:r>
        <w:rPr>
          <w:rFonts w:ascii="Arial" w:hAnsi="Arial"/>
          <w:color w:val="1E293B"/>
          <w:sz w:val="20"/>
        </w:rPr>
        <w:t>Before submission, the system structures the presentation and shows the patient exactly what was understood (Chief Complaint, Symptoms, Duration, Severity). Patients can make corrections or confirm.</w:t>
      </w:r>
    </w:p>
    <w:p>
      <w:pPr>
        <w:spacing w:before="0" w:after="120" w:line="276" w:lineRule="auto"/>
      </w:pPr>
      <w:r>
        <w:rPr>
          <w:rFonts w:ascii="Arial" w:hAnsi="Arial"/>
          <w:b/>
          <w:color w:val="0F2D4A"/>
          <w:sz w:val="20"/>
        </w:rPr>
        <w:t xml:space="preserve">Step 5: Anonymous Case Generation — </w:t>
      </w:r>
      <w:r>
        <w:rPr>
          <w:rFonts w:ascii="Arial" w:hAnsi="Arial"/>
          <w:color w:val="1E293B"/>
          <w:sz w:val="20"/>
        </w:rPr>
        <w:t>Upon confirmation, the system creates a permanent record in Supabase, assigns an anonymous Case ID (e.g., P-2026-000001), runs the deterministic urgency rule engine, and routes the case to the queue.</w:t>
      </w:r>
    </w:p>
    <w:p>
      <w:pPr>
        <w:keepNext/>
        <w:spacing w:before="240" w:after="80"/>
      </w:pPr>
      <w:r>
        <w:rPr>
          <w:rFonts w:ascii="Arial" w:hAnsi="Arial"/>
          <w:b/>
          <w:color w:val="0D9488"/>
          <w:sz w:val="26"/>
        </w:rPr>
        <w:t>6.2 Clinician Triage Workstation Workflow (/cases &amp; /dashboard)</w:t>
      </w:r>
    </w:p>
    <w:p>
      <w:pPr>
        <w:spacing w:before="0" w:after="120" w:line="276" w:lineRule="auto"/>
      </w:pPr>
      <w:r>
        <w:rPr>
          <w:rFonts w:ascii="Arial" w:hAnsi="Arial"/>
          <w:b/>
          <w:color w:val="0F2D4A"/>
          <w:sz w:val="20"/>
        </w:rPr>
        <w:t xml:space="preserve">Triage Queue (/cases): </w:t>
      </w:r>
      <w:r>
        <w:rPr>
          <w:rFonts w:ascii="Arial" w:hAnsi="Arial"/>
          <w:color w:val="1E293B"/>
          <w:sz w:val="20"/>
        </w:rPr>
        <w:t>Displays all incoming cases sorted by deterministic review priority (URGENT REVIEW, PRIORITY REVIEW, ROUTINE REVIEW). Includes instant search by Case ID, symptom keywords, language, and clinical status.</w:t>
      </w:r>
    </w:p>
    <w:p>
      <w:pPr>
        <w:spacing w:before="0" w:after="120" w:line="276" w:lineRule="auto"/>
      </w:pPr>
      <w:r>
        <w:rPr>
          <w:rFonts w:ascii="Arial" w:hAnsi="Arial"/>
          <w:b/>
          <w:color w:val="0F2D4A"/>
          <w:sz w:val="20"/>
        </w:rPr>
        <w:t xml:space="preserve">Clinical Review Workspace (/cases/:id): </w:t>
      </w:r>
      <w:r>
        <w:rPr>
          <w:rFonts w:ascii="Arial" w:hAnsi="Arial"/>
          <w:color w:val="1E293B"/>
          <w:sz w:val="20"/>
        </w:rPr>
        <w:t>Attending physicians open a case to access a data-dense clinical workstation with dedicated sections:</w:t>
      </w:r>
    </w:p>
    <w:p>
      <w:pPr>
        <w:spacing w:before="0" w:after="120" w:line="276" w:lineRule="auto"/>
      </w:pPr>
      <w:r>
        <w:rPr>
          <w:rFonts w:ascii="Arial" w:hAnsi="Arial"/>
          <w:b/>
          <w:color w:val="0F2D4A"/>
          <w:sz w:val="20"/>
        </w:rPr>
        <w:t xml:space="preserve">   • Deterministic Urgency Banner: </w:t>
      </w:r>
      <w:r>
        <w:rPr>
          <w:rFonts w:ascii="Arial" w:hAnsi="Arial"/>
          <w:color w:val="1E293B"/>
          <w:sz w:val="20"/>
        </w:rPr>
        <w:t>High-visibility banner displaying triggered rules (e.g., RULE_CHEST_PAIN, RULE_RESPIRATORY_DISTRESS) with clinical explanations.</w:t>
      </w:r>
    </w:p>
    <w:p>
      <w:pPr>
        <w:spacing w:before="0" w:after="120" w:line="276" w:lineRule="auto"/>
      </w:pPr>
      <w:r>
        <w:rPr>
          <w:rFonts w:ascii="Arial" w:hAnsi="Arial"/>
          <w:b/>
          <w:color w:val="0F2D4A"/>
          <w:sz w:val="20"/>
        </w:rPr>
        <w:t xml:space="preserve">   • Multi-Provenance Evidence Card: </w:t>
      </w:r>
      <w:r>
        <w:rPr>
          <w:rFonts w:ascii="Arial" w:hAnsi="Arial"/>
          <w:color w:val="1E293B"/>
          <w:sz w:val="20"/>
        </w:rPr>
        <w:t>Every extracted symptom is tagged with its origin (PATIENT_VOICE, PATIENT_TEXT, REPORT_OCR, HARDWARE_READING, CLINICIAN_ENTRY).</w:t>
      </w:r>
    </w:p>
    <w:p>
      <w:pPr>
        <w:spacing w:before="0" w:after="120" w:line="276" w:lineRule="auto"/>
      </w:pPr>
      <w:r>
        <w:rPr>
          <w:rFonts w:ascii="Arial" w:hAnsi="Arial"/>
          <w:b/>
          <w:color w:val="0F2D4A"/>
          <w:sz w:val="20"/>
        </w:rPr>
        <w:t xml:space="preserve">   • Diagnostic Report Viewer: </w:t>
      </w:r>
      <w:r>
        <w:rPr>
          <w:rFonts w:ascii="Arial" w:hAnsi="Arial"/>
          <w:color w:val="1E293B"/>
          <w:sz w:val="20"/>
        </w:rPr>
        <w:t>Opens original diagnostic scans side-by-side with discrete extracted parameters and OCR confidence ratings.</w:t>
      </w:r>
    </w:p>
    <w:p>
      <w:pPr>
        <w:spacing w:before="0" w:after="120" w:line="276" w:lineRule="auto"/>
      </w:pPr>
      <w:r>
        <w:rPr>
          <w:rFonts w:ascii="Arial" w:hAnsi="Arial"/>
          <w:b/>
          <w:color w:val="0F2D4A"/>
          <w:sz w:val="20"/>
        </w:rPr>
        <w:t xml:space="preserve">   • Clinical Gaps &amp; Follow-up Queries: </w:t>
      </w:r>
      <w:r>
        <w:rPr>
          <w:rFonts w:ascii="Arial" w:hAnsi="Arial"/>
          <w:color w:val="1E293B"/>
          <w:sz w:val="20"/>
        </w:rPr>
        <w:t>Highlights missing data (e.g., unstated duration, unverified allergies) and suggests non-leading informational queries for health workers.</w:t>
      </w:r>
    </w:p>
    <w:p>
      <w:pPr>
        <w:spacing w:before="0" w:after="120" w:line="276" w:lineRule="auto"/>
      </w:pPr>
      <w:r>
        <w:rPr>
          <w:rFonts w:ascii="Arial" w:hAnsi="Arial"/>
          <w:b/>
          <w:color w:val="0F2D4A"/>
          <w:sz w:val="20"/>
        </w:rPr>
        <w:t xml:space="preserve">   • Clinician Actions &amp; Notes: </w:t>
      </w:r>
      <w:r>
        <w:rPr>
          <w:rFonts w:ascii="Arial" w:hAnsi="Arial"/>
          <w:color w:val="1E293B"/>
          <w:sz w:val="20"/>
        </w:rPr>
        <w:t>Doctors document physical exam observations and select a clinical disposition (Reviewed, Escalated, Referred, Completed).</w:t>
      </w:r>
    </w:p>
    <w:p>
      <w:pPr>
        <w:spacing w:before="0" w:after="120" w:line="276" w:lineRule="auto"/>
      </w:pPr>
      <w:r>
        <w:rPr>
          <w:rFonts w:ascii="Arial" w:hAnsi="Arial"/>
          <w:b/>
          <w:color w:val="0F2D4A"/>
          <w:sz w:val="20"/>
        </w:rPr>
        <w:t xml:space="preserve">   • Clinical Referral Note Generator: </w:t>
      </w:r>
      <w:r>
        <w:rPr>
          <w:rFonts w:ascii="Arial" w:hAnsi="Arial"/>
          <w:color w:val="1E293B"/>
          <w:sz w:val="20"/>
        </w:rPr>
        <w:t>Compiles structured triage data into a clinical transfer document with receiving facility name, doctor's registration number, and printable output.</w:t>
      </w:r>
    </w:p>
    <w:p>
      <w:pPr>
        <w:spacing w:before="0" w:after="120" w:line="276" w:lineRule="auto"/>
      </w:pPr>
      <w:r>
        <w:rPr>
          <w:rFonts w:ascii="Arial" w:hAnsi="Arial"/>
          <w:b/>
          <w:color w:val="0F2D4A"/>
          <w:sz w:val="20"/>
        </w:rPr>
        <w:t xml:space="preserve">   • Immutable Audit Trail: </w:t>
      </w:r>
      <w:r>
        <w:rPr>
          <w:rFonts w:ascii="Arial" w:hAnsi="Arial"/>
          <w:color w:val="1E293B"/>
          <w:sz w:val="20"/>
        </w:rPr>
        <w:t>Chronological ledger logging every security and clinical event (case creation, transcription, review, referral).</w:t>
      </w:r>
    </w:p>
    <w:p>
      <w:pPr>
        <w:keepNext/>
        <w:spacing w:before="360" w:after="120"/>
      </w:pPr>
      <w:r>
        <w:rPr>
          <w:rFonts w:ascii="Arial" w:hAnsi="Arial"/>
          <w:b/>
          <w:color w:val="0F2D4A"/>
          <w:sz w:val="32"/>
        </w:rPr>
        <w:t>7. Clinical Safety &amp; Deterministic Urgency Engine</w:t>
      </w:r>
    </w:p>
    <w:p>
      <w:pPr>
        <w:spacing w:before="0" w:after="120" w:line="276" w:lineRule="auto"/>
      </w:pPr>
      <w:r>
        <w:rPr>
          <w:rFonts w:ascii="Arial" w:hAnsi="Arial"/>
          <w:color w:val="1E293B"/>
          <w:sz w:val="20"/>
        </w:rPr>
        <w:t>A critical engineering pillar of JANSAATHI AI is the complete decoupling of clinical urgency assignment from Generative AI. LLMs are notoriously prone to stochastic variance, flattery, and hallucination. Therefore, JANSAATHI AI evaluates emergency signals through an isolated Deterministic Urgency Rule Engine:</w:t>
      </w:r>
    </w:p>
    <w:tbl>
      <w:tblPr>
        <w:tblW w:type="auto" w:w="0"/>
        <w:jc w:val="center"/>
        <w:tblLook w:firstColumn="1" w:firstRow="1" w:lastColumn="0" w:lastRow="0" w:noHBand="0" w:noVBand="1" w:val="04A0"/>
      </w:tblPr>
      <w:tblGrid>
        <w:gridCol w:w="2340"/>
        <w:gridCol w:w="2340"/>
        <w:gridCol w:w="2340"/>
        <w:gridCol w:w="2340"/>
      </w:tblGrid>
      <w:tr>
        <w:tc>
          <w:tcPr>
            <w:tcW w:type="dxa" w:w="2340"/>
            <w:shd w:fill="0F2D4A"/>
            <w:tcMar>
              <w:top w:w="100" w:type="dxa"/>
              <w:bottom w:w="100" w:type="dxa"/>
              <w:left w:w="100" w:type="dxa"/>
              <w:right w:w="100" w:type="dxa"/>
            </w:tcMar>
          </w:tcPr>
          <w:p>
            <w:r>
              <w:rPr>
                <w:rFonts w:ascii="Arial" w:hAnsi="Arial"/>
                <w:b/>
                <w:color w:val="FFFFFF"/>
                <w:sz w:val="17"/>
              </w:rPr>
              <w:t>Rule Code</w:t>
            </w:r>
          </w:p>
        </w:tc>
        <w:tc>
          <w:tcPr>
            <w:tcW w:type="dxa" w:w="2340"/>
            <w:shd w:fill="0F2D4A"/>
            <w:tcMar>
              <w:top w:w="100" w:type="dxa"/>
              <w:bottom w:w="100" w:type="dxa"/>
              <w:left w:w="100" w:type="dxa"/>
              <w:right w:w="100" w:type="dxa"/>
            </w:tcMar>
          </w:tcPr>
          <w:p>
            <w:r>
              <w:rPr>
                <w:rFonts w:ascii="Arial" w:hAnsi="Arial"/>
                <w:b/>
                <w:color w:val="FFFFFF"/>
                <w:sz w:val="17"/>
              </w:rPr>
              <w:t>Clinical Name</w:t>
            </w:r>
          </w:p>
        </w:tc>
        <w:tc>
          <w:tcPr>
            <w:tcW w:type="dxa" w:w="2340"/>
            <w:shd w:fill="0F2D4A"/>
            <w:tcMar>
              <w:top w:w="100" w:type="dxa"/>
              <w:bottom w:w="100" w:type="dxa"/>
              <w:left w:w="100" w:type="dxa"/>
              <w:right w:w="100" w:type="dxa"/>
            </w:tcMar>
          </w:tcPr>
          <w:p>
            <w:r>
              <w:rPr>
                <w:rFonts w:ascii="Arial" w:hAnsi="Arial"/>
                <w:b/>
                <w:color w:val="FFFFFF"/>
                <w:sz w:val="17"/>
              </w:rPr>
              <w:t>Triggering Condition</w:t>
            </w:r>
          </w:p>
        </w:tc>
        <w:tc>
          <w:tcPr>
            <w:tcW w:type="dxa" w:w="2340"/>
            <w:shd w:fill="0F2D4A"/>
            <w:tcMar>
              <w:top w:w="100" w:type="dxa"/>
              <w:bottom w:w="100" w:type="dxa"/>
              <w:left w:w="100" w:type="dxa"/>
              <w:right w:w="100" w:type="dxa"/>
            </w:tcMar>
          </w:tcPr>
          <w:p>
            <w:r>
              <w:rPr>
                <w:rFonts w:ascii="Arial" w:hAnsi="Arial"/>
                <w:b/>
                <w:color w:val="FFFFFF"/>
                <w:sz w:val="17"/>
              </w:rPr>
              <w:t>Clinical Rationale</w:t>
            </w:r>
          </w:p>
        </w:tc>
      </w:tr>
      <w:tr>
        <w:tc>
          <w:tcPr>
            <w:tcW w:type="dxa" w:w="2340"/>
            <w:shd w:fill="FFFFFF"/>
            <w:tcMar>
              <w:top w:w="60" w:type="dxa"/>
              <w:bottom w:w="60" w:type="dxa"/>
              <w:left w:w="100" w:type="dxa"/>
              <w:right w:w="100" w:type="dxa"/>
            </w:tcMar>
          </w:tcPr>
          <w:p>
            <w:r>
              <w:rPr>
                <w:rFonts w:ascii="Arial" w:hAnsi="Arial"/>
                <w:b/>
                <w:color w:val="B91C1C"/>
                <w:sz w:val="16"/>
              </w:rPr>
              <w:t>RULE_CHEST_PAIN</w:t>
            </w:r>
          </w:p>
        </w:tc>
        <w:tc>
          <w:tcPr>
            <w:tcW w:type="dxa" w:w="2340"/>
            <w:shd w:fill="FFFFFF"/>
            <w:tcMar>
              <w:top w:w="60" w:type="dxa"/>
              <w:bottom w:w="60" w:type="dxa"/>
              <w:left w:w="100" w:type="dxa"/>
              <w:right w:w="100" w:type="dxa"/>
            </w:tcMar>
          </w:tcPr>
          <w:p>
            <w:r>
              <w:rPr>
                <w:rFonts w:ascii="Arial" w:hAnsi="Arial"/>
                <w:color w:val="1E293B"/>
                <w:sz w:val="16"/>
              </w:rPr>
              <w:t>Acute Chest Discomfort</w:t>
            </w:r>
          </w:p>
        </w:tc>
        <w:tc>
          <w:tcPr>
            <w:tcW w:type="dxa" w:w="2340"/>
            <w:shd w:fill="FFFFFF"/>
            <w:tcMar>
              <w:top w:w="60" w:type="dxa"/>
              <w:bottom w:w="60" w:type="dxa"/>
              <w:left w:w="100" w:type="dxa"/>
              <w:right w:w="100" w:type="dxa"/>
            </w:tcMar>
          </w:tcPr>
          <w:p>
            <w:r>
              <w:rPr>
                <w:rFonts w:ascii="Arial" w:hAnsi="Arial"/>
                <w:color w:val="1E293B"/>
                <w:sz w:val="16"/>
              </w:rPr>
              <w:t>Crushing/radiating pain, pressure, heaviness</w:t>
            </w:r>
          </w:p>
        </w:tc>
        <w:tc>
          <w:tcPr>
            <w:tcW w:type="dxa" w:w="2340"/>
            <w:shd w:fill="FFFFFF"/>
            <w:tcMar>
              <w:top w:w="60" w:type="dxa"/>
              <w:bottom w:w="60" w:type="dxa"/>
              <w:left w:w="100" w:type="dxa"/>
              <w:right w:w="100" w:type="dxa"/>
            </w:tcMar>
          </w:tcPr>
          <w:p>
            <w:r>
              <w:rPr>
                <w:rFonts w:ascii="Arial" w:hAnsi="Arial"/>
                <w:color w:val="1E293B"/>
                <w:sz w:val="16"/>
              </w:rPr>
              <w:t>Rapid evaluation required for acute coronary syndrome or pulmonary embolism.</w:t>
            </w:r>
          </w:p>
        </w:tc>
      </w:tr>
      <w:tr>
        <w:tc>
          <w:tcPr>
            <w:tcW w:type="dxa" w:w="2340"/>
            <w:shd w:fill="F1F5F9"/>
            <w:tcMar>
              <w:top w:w="60" w:type="dxa"/>
              <w:bottom w:w="60" w:type="dxa"/>
              <w:left w:w="100" w:type="dxa"/>
              <w:right w:w="100" w:type="dxa"/>
            </w:tcMar>
          </w:tcPr>
          <w:p>
            <w:r>
              <w:rPr>
                <w:rFonts w:ascii="Arial" w:hAnsi="Arial"/>
                <w:b/>
                <w:color w:val="B91C1C"/>
                <w:sz w:val="16"/>
              </w:rPr>
              <w:t>RULE_RESPIRATORY_DISTRESS</w:t>
            </w:r>
          </w:p>
        </w:tc>
        <w:tc>
          <w:tcPr>
            <w:tcW w:type="dxa" w:w="2340"/>
            <w:shd w:fill="F1F5F9"/>
            <w:tcMar>
              <w:top w:w="60" w:type="dxa"/>
              <w:bottom w:w="60" w:type="dxa"/>
              <w:left w:w="100" w:type="dxa"/>
              <w:right w:w="100" w:type="dxa"/>
            </w:tcMar>
          </w:tcPr>
          <w:p>
            <w:r>
              <w:rPr>
                <w:rFonts w:ascii="Arial" w:hAnsi="Arial"/>
                <w:color w:val="1E293B"/>
                <w:sz w:val="16"/>
              </w:rPr>
              <w:t>Severe Dyspnea</w:t>
            </w:r>
          </w:p>
        </w:tc>
        <w:tc>
          <w:tcPr>
            <w:tcW w:type="dxa" w:w="2340"/>
            <w:shd w:fill="F1F5F9"/>
            <w:tcMar>
              <w:top w:w="60" w:type="dxa"/>
              <w:bottom w:w="60" w:type="dxa"/>
              <w:left w:w="100" w:type="dxa"/>
              <w:right w:w="100" w:type="dxa"/>
            </w:tcMar>
          </w:tcPr>
          <w:p>
            <w:r>
              <w:rPr>
                <w:rFonts w:ascii="Arial" w:hAnsi="Arial"/>
                <w:color w:val="1E293B"/>
                <w:sz w:val="16"/>
              </w:rPr>
              <w:t>Gasping, inability to speak, cyanosis</w:t>
            </w:r>
          </w:p>
        </w:tc>
        <w:tc>
          <w:tcPr>
            <w:tcW w:type="dxa" w:w="2340"/>
            <w:shd w:fill="F1F5F9"/>
            <w:tcMar>
              <w:top w:w="60" w:type="dxa"/>
              <w:bottom w:w="60" w:type="dxa"/>
              <w:left w:w="100" w:type="dxa"/>
              <w:right w:w="100" w:type="dxa"/>
            </w:tcMar>
          </w:tcPr>
          <w:p>
            <w:r>
              <w:rPr>
                <w:rFonts w:ascii="Arial" w:hAnsi="Arial"/>
                <w:color w:val="1E293B"/>
                <w:sz w:val="16"/>
              </w:rPr>
              <w:t>Immediate airway, oxygenation, and ventilatory assessment required.</w:t>
            </w:r>
          </w:p>
        </w:tc>
      </w:tr>
      <w:tr>
        <w:tc>
          <w:tcPr>
            <w:tcW w:type="dxa" w:w="2340"/>
            <w:shd w:fill="FFFFFF"/>
            <w:tcMar>
              <w:top w:w="60" w:type="dxa"/>
              <w:bottom w:w="60" w:type="dxa"/>
              <w:left w:w="100" w:type="dxa"/>
              <w:right w:w="100" w:type="dxa"/>
            </w:tcMar>
          </w:tcPr>
          <w:p>
            <w:r>
              <w:rPr>
                <w:rFonts w:ascii="Arial" w:hAnsi="Arial"/>
                <w:b/>
                <w:color w:val="B91C1C"/>
                <w:sz w:val="16"/>
              </w:rPr>
              <w:t>RULE_NEURO_DEFICIT</w:t>
            </w:r>
          </w:p>
        </w:tc>
        <w:tc>
          <w:tcPr>
            <w:tcW w:type="dxa" w:w="2340"/>
            <w:shd w:fill="FFFFFF"/>
            <w:tcMar>
              <w:top w:w="60" w:type="dxa"/>
              <w:bottom w:w="60" w:type="dxa"/>
              <w:left w:w="100" w:type="dxa"/>
              <w:right w:w="100" w:type="dxa"/>
            </w:tcMar>
          </w:tcPr>
          <w:p>
            <w:r>
              <w:rPr>
                <w:rFonts w:ascii="Arial" w:hAnsi="Arial"/>
                <w:color w:val="1E293B"/>
                <w:sz w:val="16"/>
              </w:rPr>
              <w:t>FAST Stroke Signals</w:t>
            </w:r>
          </w:p>
        </w:tc>
        <w:tc>
          <w:tcPr>
            <w:tcW w:type="dxa" w:w="2340"/>
            <w:shd w:fill="FFFFFF"/>
            <w:tcMar>
              <w:top w:w="60" w:type="dxa"/>
              <w:bottom w:w="60" w:type="dxa"/>
              <w:left w:w="100" w:type="dxa"/>
              <w:right w:w="100" w:type="dxa"/>
            </w:tcMar>
          </w:tcPr>
          <w:p>
            <w:r>
              <w:rPr>
                <w:rFonts w:ascii="Arial" w:hAnsi="Arial"/>
                <w:color w:val="1E293B"/>
                <w:sz w:val="16"/>
              </w:rPr>
              <w:t>Facial droop, arm weakness, slurred speech</w:t>
            </w:r>
          </w:p>
        </w:tc>
        <w:tc>
          <w:tcPr>
            <w:tcW w:type="dxa" w:w="2340"/>
            <w:shd w:fill="FFFFFF"/>
            <w:tcMar>
              <w:top w:w="60" w:type="dxa"/>
              <w:bottom w:w="60" w:type="dxa"/>
              <w:left w:w="100" w:type="dxa"/>
              <w:right w:w="100" w:type="dxa"/>
            </w:tcMar>
          </w:tcPr>
          <w:p>
            <w:r>
              <w:rPr>
                <w:rFonts w:ascii="Arial" w:hAnsi="Arial"/>
                <w:color w:val="1E293B"/>
                <w:sz w:val="16"/>
              </w:rPr>
              <w:t>High time-sensitivity for acute ischemic stroke or intracranial bleed.</w:t>
            </w:r>
          </w:p>
        </w:tc>
      </w:tr>
      <w:tr>
        <w:tc>
          <w:tcPr>
            <w:tcW w:type="dxa" w:w="2340"/>
            <w:shd w:fill="F1F5F9"/>
            <w:tcMar>
              <w:top w:w="60" w:type="dxa"/>
              <w:bottom w:w="60" w:type="dxa"/>
              <w:left w:w="100" w:type="dxa"/>
              <w:right w:w="100" w:type="dxa"/>
            </w:tcMar>
          </w:tcPr>
          <w:p>
            <w:r>
              <w:rPr>
                <w:rFonts w:ascii="Arial" w:hAnsi="Arial"/>
                <w:b/>
                <w:color w:val="B91C1C"/>
                <w:sz w:val="16"/>
              </w:rPr>
              <w:t>RULE_UNCONTROLLED_BLEEDING</w:t>
            </w:r>
          </w:p>
        </w:tc>
        <w:tc>
          <w:tcPr>
            <w:tcW w:type="dxa" w:w="2340"/>
            <w:shd w:fill="F1F5F9"/>
            <w:tcMar>
              <w:top w:w="60" w:type="dxa"/>
              <w:bottom w:w="60" w:type="dxa"/>
              <w:left w:w="100" w:type="dxa"/>
              <w:right w:w="100" w:type="dxa"/>
            </w:tcMar>
          </w:tcPr>
          <w:p>
            <w:r>
              <w:rPr>
                <w:rFonts w:ascii="Arial" w:hAnsi="Arial"/>
                <w:color w:val="1E293B"/>
                <w:sz w:val="16"/>
              </w:rPr>
              <w:t>Active Hemorrhage</w:t>
            </w:r>
          </w:p>
        </w:tc>
        <w:tc>
          <w:tcPr>
            <w:tcW w:type="dxa" w:w="2340"/>
            <w:shd w:fill="F1F5F9"/>
            <w:tcMar>
              <w:top w:w="60" w:type="dxa"/>
              <w:bottom w:w="60" w:type="dxa"/>
              <w:left w:w="100" w:type="dxa"/>
              <w:right w:w="100" w:type="dxa"/>
            </w:tcMar>
          </w:tcPr>
          <w:p>
            <w:r>
              <w:rPr>
                <w:rFonts w:ascii="Arial" w:hAnsi="Arial"/>
                <w:color w:val="1E293B"/>
                <w:sz w:val="16"/>
              </w:rPr>
              <w:t>Hematemesis, hemoptysis, active bleeding</w:t>
            </w:r>
          </w:p>
        </w:tc>
        <w:tc>
          <w:tcPr>
            <w:tcW w:type="dxa" w:w="2340"/>
            <w:shd w:fill="F1F5F9"/>
            <w:tcMar>
              <w:top w:w="60" w:type="dxa"/>
              <w:bottom w:w="60" w:type="dxa"/>
              <w:left w:w="100" w:type="dxa"/>
              <w:right w:w="100" w:type="dxa"/>
            </w:tcMar>
          </w:tcPr>
          <w:p>
            <w:r>
              <w:rPr>
                <w:rFonts w:ascii="Arial" w:hAnsi="Arial"/>
                <w:color w:val="1E293B"/>
                <w:sz w:val="16"/>
              </w:rPr>
              <w:t>Risk of hypovolemic shock requiring rapid source control and resuscitation.</w:t>
            </w:r>
          </w:p>
        </w:tc>
      </w:tr>
      <w:tr>
        <w:tc>
          <w:tcPr>
            <w:tcW w:type="dxa" w:w="2340"/>
            <w:shd w:fill="FFFFFF"/>
            <w:tcMar>
              <w:top w:w="60" w:type="dxa"/>
              <w:bottom w:w="60" w:type="dxa"/>
              <w:left w:w="100" w:type="dxa"/>
              <w:right w:w="100" w:type="dxa"/>
            </w:tcMar>
          </w:tcPr>
          <w:p>
            <w:r>
              <w:rPr>
                <w:rFonts w:ascii="Arial" w:hAnsi="Arial"/>
                <w:b/>
                <w:color w:val="B91C1C"/>
                <w:sz w:val="16"/>
              </w:rPr>
              <w:t>RULE_VITAL_HYPOXIA</w:t>
            </w:r>
          </w:p>
        </w:tc>
        <w:tc>
          <w:tcPr>
            <w:tcW w:type="dxa" w:w="2340"/>
            <w:shd w:fill="FFFFFF"/>
            <w:tcMar>
              <w:top w:w="60" w:type="dxa"/>
              <w:bottom w:w="60" w:type="dxa"/>
              <w:left w:w="100" w:type="dxa"/>
              <w:right w:w="100" w:type="dxa"/>
            </w:tcMar>
          </w:tcPr>
          <w:p>
            <w:r>
              <w:rPr>
                <w:rFonts w:ascii="Arial" w:hAnsi="Arial"/>
                <w:color w:val="1E293B"/>
                <w:sz w:val="16"/>
              </w:rPr>
              <w:t>Telemetry Hypoxemia</w:t>
            </w:r>
          </w:p>
        </w:tc>
        <w:tc>
          <w:tcPr>
            <w:tcW w:type="dxa" w:w="2340"/>
            <w:shd w:fill="FFFFFF"/>
            <w:tcMar>
              <w:top w:w="60" w:type="dxa"/>
              <w:bottom w:w="60" w:type="dxa"/>
              <w:left w:w="100" w:type="dxa"/>
              <w:right w:w="100" w:type="dxa"/>
            </w:tcMar>
          </w:tcPr>
          <w:p>
            <w:r>
              <w:rPr>
                <w:rFonts w:ascii="Arial" w:hAnsi="Arial"/>
                <w:color w:val="1E293B"/>
                <w:sz w:val="16"/>
              </w:rPr>
              <w:t>SpO2 &lt; 92% or pulse &gt; 130 / &lt; 45 bpm</w:t>
            </w:r>
          </w:p>
        </w:tc>
        <w:tc>
          <w:tcPr>
            <w:tcW w:type="dxa" w:w="2340"/>
            <w:shd w:fill="FFFFFF"/>
            <w:tcMar>
              <w:top w:w="60" w:type="dxa"/>
              <w:bottom w:w="60" w:type="dxa"/>
              <w:left w:w="100" w:type="dxa"/>
              <w:right w:w="100" w:type="dxa"/>
            </w:tcMar>
          </w:tcPr>
          <w:p>
            <w:r>
              <w:rPr>
                <w:rFonts w:ascii="Arial" w:hAnsi="Arial"/>
                <w:color w:val="1E293B"/>
                <w:sz w:val="16"/>
              </w:rPr>
              <w:t>Objective physiological instability requiring immediate bedside review.</w:t>
            </w:r>
          </w:p>
        </w:tc>
      </w:tr>
      <w:tr>
        <w:tc>
          <w:tcPr>
            <w:tcW w:type="dxa" w:w="2340"/>
            <w:shd w:fill="F1F5F9"/>
            <w:tcMar>
              <w:top w:w="60" w:type="dxa"/>
              <w:bottom w:w="60" w:type="dxa"/>
              <w:left w:w="100" w:type="dxa"/>
              <w:right w:w="100" w:type="dxa"/>
            </w:tcMar>
          </w:tcPr>
          <w:p>
            <w:r>
              <w:rPr>
                <w:rFonts w:ascii="Arial" w:hAnsi="Arial"/>
                <w:b/>
                <w:color w:val="B91C1C"/>
                <w:sz w:val="16"/>
              </w:rPr>
              <w:t>RULE_ANAPHYLAXIS_SIGNAL</w:t>
            </w:r>
          </w:p>
        </w:tc>
        <w:tc>
          <w:tcPr>
            <w:tcW w:type="dxa" w:w="2340"/>
            <w:shd w:fill="F1F5F9"/>
            <w:tcMar>
              <w:top w:w="60" w:type="dxa"/>
              <w:bottom w:w="60" w:type="dxa"/>
              <w:left w:w="100" w:type="dxa"/>
              <w:right w:w="100" w:type="dxa"/>
            </w:tcMar>
          </w:tcPr>
          <w:p>
            <w:r>
              <w:rPr>
                <w:rFonts w:ascii="Arial" w:hAnsi="Arial"/>
                <w:color w:val="1E293B"/>
                <w:sz w:val="16"/>
              </w:rPr>
              <w:t>Acute Allergic Reaction</w:t>
            </w:r>
          </w:p>
        </w:tc>
        <w:tc>
          <w:tcPr>
            <w:tcW w:type="dxa" w:w="2340"/>
            <w:shd w:fill="F1F5F9"/>
            <w:tcMar>
              <w:top w:w="60" w:type="dxa"/>
              <w:bottom w:w="60" w:type="dxa"/>
              <w:left w:w="100" w:type="dxa"/>
              <w:right w:w="100" w:type="dxa"/>
            </w:tcMar>
          </w:tcPr>
          <w:p>
            <w:r>
              <w:rPr>
                <w:rFonts w:ascii="Arial" w:hAnsi="Arial"/>
                <w:color w:val="1E293B"/>
                <w:sz w:val="16"/>
              </w:rPr>
              <w:t>Swollen lips/tongue/throat with wheezing</w:t>
            </w:r>
          </w:p>
        </w:tc>
        <w:tc>
          <w:tcPr>
            <w:tcW w:type="dxa" w:w="2340"/>
            <w:shd w:fill="F1F5F9"/>
            <w:tcMar>
              <w:top w:w="60" w:type="dxa"/>
              <w:bottom w:w="60" w:type="dxa"/>
              <w:left w:w="100" w:type="dxa"/>
              <w:right w:w="100" w:type="dxa"/>
            </w:tcMar>
          </w:tcPr>
          <w:p>
            <w:r>
              <w:rPr>
                <w:rFonts w:ascii="Arial" w:hAnsi="Arial"/>
                <w:color w:val="1E293B"/>
                <w:sz w:val="16"/>
              </w:rPr>
              <w:t>Airway compromise risk requiring emergency clinical intervention.</w:t>
            </w:r>
          </w:p>
        </w:tc>
      </w:tr>
      <w:tr>
        <w:tc>
          <w:tcPr>
            <w:tcW w:type="dxa" w:w="2340"/>
            <w:shd w:fill="FFFFFF"/>
            <w:tcMar>
              <w:top w:w="60" w:type="dxa"/>
              <w:bottom w:w="60" w:type="dxa"/>
              <w:left w:w="100" w:type="dxa"/>
              <w:right w:w="100" w:type="dxa"/>
            </w:tcMar>
          </w:tcPr>
          <w:p>
            <w:r>
              <w:rPr>
                <w:rFonts w:ascii="Arial" w:hAnsi="Arial"/>
                <w:b/>
                <w:color w:val="B91C1C"/>
                <w:sz w:val="16"/>
              </w:rPr>
              <w:t>RULE_PROLONGED_FEVER</w:t>
            </w:r>
          </w:p>
        </w:tc>
        <w:tc>
          <w:tcPr>
            <w:tcW w:type="dxa" w:w="2340"/>
            <w:shd w:fill="FFFFFF"/>
            <w:tcMar>
              <w:top w:w="60" w:type="dxa"/>
              <w:bottom w:w="60" w:type="dxa"/>
              <w:left w:w="100" w:type="dxa"/>
              <w:right w:w="100" w:type="dxa"/>
            </w:tcMar>
          </w:tcPr>
          <w:p>
            <w:r>
              <w:rPr>
                <w:rFonts w:ascii="Arial" w:hAnsi="Arial"/>
                <w:color w:val="1E293B"/>
                <w:sz w:val="16"/>
              </w:rPr>
              <w:t>Persistent Pyrexia</w:t>
            </w:r>
          </w:p>
        </w:tc>
        <w:tc>
          <w:tcPr>
            <w:tcW w:type="dxa" w:w="2340"/>
            <w:shd w:fill="FFFFFF"/>
            <w:tcMar>
              <w:top w:w="60" w:type="dxa"/>
              <w:bottom w:w="60" w:type="dxa"/>
              <w:left w:w="100" w:type="dxa"/>
              <w:right w:w="100" w:type="dxa"/>
            </w:tcMar>
          </w:tcPr>
          <w:p>
            <w:r>
              <w:rPr>
                <w:rFonts w:ascii="Arial" w:hAnsi="Arial"/>
                <w:color w:val="1E293B"/>
                <w:sz w:val="16"/>
              </w:rPr>
              <w:t>Fever duration &gt;= 5 consecutive days</w:t>
            </w:r>
          </w:p>
        </w:tc>
        <w:tc>
          <w:tcPr>
            <w:tcW w:type="dxa" w:w="2340"/>
            <w:shd w:fill="FFFFFF"/>
            <w:tcMar>
              <w:top w:w="60" w:type="dxa"/>
              <w:bottom w:w="60" w:type="dxa"/>
              <w:left w:w="100" w:type="dxa"/>
              <w:right w:w="100" w:type="dxa"/>
            </w:tcMar>
          </w:tcPr>
          <w:p>
            <w:r>
              <w:rPr>
                <w:rFonts w:ascii="Arial" w:hAnsi="Arial"/>
                <w:color w:val="1E293B"/>
                <w:sz w:val="16"/>
              </w:rPr>
              <w:t>Workup required for endemic infections (typhoid, malaria, dengue).</w:t>
            </w:r>
          </w:p>
        </w:tc>
      </w:tr>
      <w:tr>
        <w:tc>
          <w:tcPr>
            <w:tcW w:type="dxa" w:w="2340"/>
            <w:shd w:fill="F1F5F9"/>
            <w:tcMar>
              <w:top w:w="60" w:type="dxa"/>
              <w:bottom w:w="60" w:type="dxa"/>
              <w:left w:w="100" w:type="dxa"/>
              <w:right w:w="100" w:type="dxa"/>
            </w:tcMar>
          </w:tcPr>
          <w:p>
            <w:r>
              <w:rPr>
                <w:rFonts w:ascii="Arial" w:hAnsi="Arial"/>
                <w:b/>
                <w:color w:val="B91C1C"/>
                <w:sz w:val="16"/>
              </w:rPr>
              <w:t>RULE_DIABETIC_WOUND</w:t>
            </w:r>
          </w:p>
        </w:tc>
        <w:tc>
          <w:tcPr>
            <w:tcW w:type="dxa" w:w="2340"/>
            <w:shd w:fill="F1F5F9"/>
            <w:tcMar>
              <w:top w:w="60" w:type="dxa"/>
              <w:bottom w:w="60" w:type="dxa"/>
              <w:left w:w="100" w:type="dxa"/>
              <w:right w:w="100" w:type="dxa"/>
            </w:tcMar>
          </w:tcPr>
          <w:p>
            <w:r>
              <w:rPr>
                <w:rFonts w:ascii="Arial" w:hAnsi="Arial"/>
                <w:color w:val="1E293B"/>
                <w:sz w:val="16"/>
              </w:rPr>
              <w:t>Diabetic Extremity Ulcer</w:t>
            </w:r>
          </w:p>
        </w:tc>
        <w:tc>
          <w:tcPr>
            <w:tcW w:type="dxa" w:w="2340"/>
            <w:shd w:fill="F1F5F9"/>
            <w:tcMar>
              <w:top w:w="60" w:type="dxa"/>
              <w:bottom w:w="60" w:type="dxa"/>
              <w:left w:w="100" w:type="dxa"/>
              <w:right w:w="100" w:type="dxa"/>
            </w:tcMar>
          </w:tcPr>
          <w:p>
            <w:r>
              <w:rPr>
                <w:rFonts w:ascii="Arial" w:hAnsi="Arial"/>
                <w:color w:val="1E293B"/>
                <w:sz w:val="16"/>
              </w:rPr>
              <w:t>Non-healing foot ulcer with comorbid diabetes</w:t>
            </w:r>
          </w:p>
        </w:tc>
        <w:tc>
          <w:tcPr>
            <w:tcW w:type="dxa" w:w="2340"/>
            <w:shd w:fill="F1F5F9"/>
            <w:tcMar>
              <w:top w:w="60" w:type="dxa"/>
              <w:bottom w:w="60" w:type="dxa"/>
              <w:left w:w="100" w:type="dxa"/>
              <w:right w:w="100" w:type="dxa"/>
            </w:tcMar>
          </w:tcPr>
          <w:p>
            <w:r>
              <w:rPr>
                <w:rFonts w:ascii="Arial" w:hAnsi="Arial"/>
                <w:color w:val="1E293B"/>
                <w:sz w:val="16"/>
              </w:rPr>
              <w:t>High risk of deep soft-tissue infection or osteomyelitis.</w:t>
            </w:r>
          </w:p>
        </w:tc>
      </w:tr>
    </w:tbl>
    <w:p>
      <w:pPr>
        <w:spacing w:after="160"/>
      </w:pPr>
    </w:p>
    <w:p>
      <w:pPr>
        <w:keepNext/>
        <w:spacing w:before="360" w:after="120"/>
      </w:pPr>
      <w:r>
        <w:rPr>
          <w:rFonts w:ascii="Arial" w:hAnsi="Arial"/>
          <w:b/>
          <w:color w:val="0F2D4A"/>
          <w:sz w:val="32"/>
        </w:rPr>
        <w:t>8. Privacy, Security &amp; Data Minimisation</w:t>
      </w:r>
    </w:p>
    <w:p>
      <w:pPr>
        <w:spacing w:before="0" w:after="120" w:line="276" w:lineRule="auto"/>
      </w:pPr>
      <w:r>
        <w:rPr>
          <w:rFonts w:ascii="Arial" w:hAnsi="Arial"/>
          <w:color w:val="1E293B"/>
          <w:sz w:val="20"/>
        </w:rPr>
        <w:t>JANSAATHI AI complies with rigorous healthcare privacy and data-minimization principles:</w:t>
      </w:r>
    </w:p>
    <w:p>
      <w:pPr>
        <w:spacing w:before="0" w:after="120" w:line="276" w:lineRule="auto"/>
      </w:pPr>
      <w:r>
        <w:rPr>
          <w:rFonts w:ascii="Arial" w:hAnsi="Arial"/>
          <w:b/>
          <w:color w:val="0F2D4A"/>
          <w:sz w:val="20"/>
        </w:rPr>
        <w:t xml:space="preserve">• Zero Aadhaar &amp; PII Collection: </w:t>
      </w:r>
      <w:r>
        <w:rPr>
          <w:rFonts w:ascii="Arial" w:hAnsi="Arial"/>
          <w:color w:val="1E293B"/>
          <w:sz w:val="20"/>
        </w:rPr>
        <w:t>The system does not collect 12-digit Aadhaar numbers, voter card numbers, street addresses, or biometric fingerprints.</w:t>
      </w:r>
    </w:p>
    <w:p>
      <w:pPr>
        <w:spacing w:before="0" w:after="120" w:line="276" w:lineRule="auto"/>
      </w:pPr>
      <w:r>
        <w:rPr>
          <w:rFonts w:ascii="Arial" w:hAnsi="Arial"/>
          <w:b/>
          <w:color w:val="0F2D4A"/>
          <w:sz w:val="20"/>
        </w:rPr>
        <w:t xml:space="preserve">• Anonymous Identifiers: </w:t>
      </w:r>
      <w:r>
        <w:rPr>
          <w:rFonts w:ascii="Arial" w:hAnsi="Arial"/>
          <w:color w:val="1E293B"/>
          <w:sz w:val="20"/>
        </w:rPr>
        <w:t>All patient sessions generate an anonymous identifier (e.g. P-2026-000001). Personal identity is decoupled from clinical triage notes.</w:t>
      </w:r>
    </w:p>
    <w:p>
      <w:pPr>
        <w:spacing w:before="0" w:after="120" w:line="276" w:lineRule="auto"/>
      </w:pPr>
      <w:r>
        <w:rPr>
          <w:rFonts w:ascii="Arial" w:hAnsi="Arial"/>
          <w:b/>
          <w:color w:val="0F2D4A"/>
          <w:sz w:val="20"/>
        </w:rPr>
        <w:t xml:space="preserve">• Row Level Security (RLS): </w:t>
      </w:r>
      <w:r>
        <w:rPr>
          <w:rFonts w:ascii="Arial" w:hAnsi="Arial"/>
          <w:color w:val="1E293B"/>
          <w:sz w:val="20"/>
        </w:rPr>
        <w:t>PostgreSQL Row Level Security ensures facility staff can query only cases registered to their specific health unit.</w:t>
      </w:r>
    </w:p>
    <w:p>
      <w:pPr>
        <w:spacing w:before="0" w:after="120" w:line="276" w:lineRule="auto"/>
      </w:pPr>
      <w:r>
        <w:rPr>
          <w:rFonts w:ascii="Arial" w:hAnsi="Arial"/>
          <w:b/>
          <w:color w:val="0F2D4A"/>
          <w:sz w:val="20"/>
        </w:rPr>
        <w:t xml:space="preserve">• Tamper-Evident Audit Trail: </w:t>
      </w:r>
      <w:r>
        <w:rPr>
          <w:rFonts w:ascii="Arial" w:hAnsi="Arial"/>
          <w:color w:val="1E293B"/>
          <w:sz w:val="20"/>
        </w:rPr>
        <w:t>The audit_logs table permits only INSERT operations. Normal users and administrators are blocked from modifying historical audit records.</w:t>
      </w:r>
    </w:p>
    <w:p>
      <w:pPr>
        <w:spacing w:before="0" w:after="120" w:line="276" w:lineRule="auto"/>
      </w:pPr>
      <w:r>
        <w:rPr>
          <w:rFonts w:ascii="Arial" w:hAnsi="Arial"/>
          <w:b/>
          <w:color w:val="0F2D4A"/>
          <w:sz w:val="20"/>
        </w:rPr>
        <w:t xml:space="preserve">• Local Edge Processing: </w:t>
      </w:r>
      <w:r>
        <w:rPr>
          <w:rFonts w:ascii="Arial" w:hAnsi="Arial"/>
          <w:color w:val="1E293B"/>
          <w:sz w:val="20"/>
        </w:rPr>
        <w:t>Speech transcription and report OCR occur entirely in the client browser runtime without transmitting raw media to third-party ad networks or untrusted APIs.</w:t>
      </w:r>
    </w:p>
    <w:p>
      <w:pPr>
        <w:keepNext/>
        <w:spacing w:before="360" w:after="120"/>
      </w:pPr>
      <w:r>
        <w:rPr>
          <w:rFonts w:ascii="Arial" w:hAnsi="Arial"/>
          <w:b/>
          <w:color w:val="0F2D4A"/>
          <w:sz w:val="32"/>
        </w:rPr>
        <w:t>9. Database Architecture (21 Normalized Entities)</w:t>
      </w:r>
    </w:p>
    <w:p>
      <w:pPr>
        <w:spacing w:before="0" w:after="120" w:line="276" w:lineRule="auto"/>
      </w:pPr>
      <w:r>
        <w:rPr>
          <w:rFonts w:ascii="Arial" w:hAnsi="Arial"/>
          <w:color w:val="1E293B"/>
          <w:sz w:val="20"/>
        </w:rPr>
        <w:t>The Supabase database schema is structured into 6 versioned migrations, comprising 21 normalized tables designed with foreign key constraints and query indexes:</w:t>
      </w:r>
    </w:p>
    <w:p>
      <w:pPr>
        <w:spacing w:before="0" w:after="120" w:line="276" w:lineRule="auto"/>
      </w:pPr>
      <w:r>
        <w:rPr>
          <w:rFonts w:ascii="Arial" w:hAnsi="Arial"/>
          <w:b/>
          <w:color w:val="0F2D4A"/>
          <w:sz w:val="20"/>
        </w:rPr>
        <w:t xml:space="preserve">Core Entities: </w:t>
      </w:r>
      <w:r>
        <w:rPr>
          <w:rFonts w:ascii="Arial" w:hAnsi="Arial"/>
          <w:color w:val="1E293B"/>
          <w:sz w:val="20"/>
        </w:rPr>
        <w:t>profiles, facilities, facility_members, consents, triage_cases, patient_inputs, voice_sessions, transcripts, reports, report_extractions, triage_extractions, timeline_events, follow_up_questions, urgency_rules, urgency_flags, clinician_reviews, referrals, system_settings, ai_processing_logs, hardware_devices, hardware_readings.</w:t>
      </w:r>
    </w:p>
    <w:p>
      <w:pPr>
        <w:spacing w:before="0" w:after="120" w:line="276" w:lineRule="auto"/>
      </w:pPr>
      <w:r>
        <w:rPr>
          <w:rFonts w:ascii="Arial" w:hAnsi="Arial"/>
          <w:b/>
          <w:color w:val="0F2D4A"/>
          <w:sz w:val="20"/>
        </w:rPr>
        <w:t xml:space="preserve">RLS Enforcement: </w:t>
      </w:r>
      <w:r>
        <w:rPr>
          <w:rFonts w:ascii="Arial" w:hAnsi="Arial"/>
          <w:color w:val="1E293B"/>
          <w:sz w:val="20"/>
        </w:rPr>
        <w:t>Every table enforces explicit Row Level Security policies verified via PostgreSQL unit tests.</w:t>
      </w:r>
    </w:p>
    <w:p>
      <w:pPr>
        <w:keepNext/>
        <w:spacing w:before="360" w:after="120"/>
      </w:pPr>
      <w:r>
        <w:rPr>
          <w:rFonts w:ascii="Arial" w:hAnsi="Arial"/>
          <w:b/>
          <w:color w:val="0F2D4A"/>
          <w:sz w:val="32"/>
        </w:rPr>
        <w:t>10. Automated Testing &amp; Live Localhost Validation</w:t>
      </w:r>
    </w:p>
    <w:p>
      <w:pPr>
        <w:spacing w:before="0" w:after="120" w:line="276" w:lineRule="auto"/>
      </w:pPr>
      <w:r>
        <w:rPr>
          <w:rFonts w:ascii="Arial" w:hAnsi="Arial"/>
          <w:color w:val="1E293B"/>
          <w:sz w:val="20"/>
        </w:rPr>
        <w:t>To verify production reliability, JANSAATHI AI implements an automated test suite executed with Vitest. All 18 automated tests pass with a 100% success rate:</w:t>
      </w:r>
    </w:p>
    <w:p>
      <w:pPr>
        <w:spacing w:before="0" w:after="120" w:line="276" w:lineRule="auto"/>
      </w:pPr>
      <w:r>
        <w:rPr>
          <w:rFonts w:ascii="Arial" w:hAnsi="Arial"/>
          <w:b/>
          <w:color w:val="0F2D4A"/>
          <w:sz w:val="20"/>
        </w:rPr>
        <w:t xml:space="preserve">1. Urgency Rules Suite (tests/urgencyRules.test.ts): </w:t>
      </w:r>
      <w:r>
        <w:rPr>
          <w:rFonts w:ascii="Arial" w:hAnsi="Arial"/>
          <w:color w:val="1E293B"/>
          <w:sz w:val="20"/>
        </w:rPr>
        <w:t>10 unit tests covering positive red flags, negative benign cases, malformed strings, and multilingual phrasing.</w:t>
      </w:r>
    </w:p>
    <w:p>
      <w:pPr>
        <w:spacing w:before="0" w:after="120" w:line="276" w:lineRule="auto"/>
      </w:pPr>
      <w:r>
        <w:rPr>
          <w:rFonts w:ascii="Arial" w:hAnsi="Arial"/>
          <w:b/>
          <w:color w:val="0F2D4A"/>
          <w:sz w:val="20"/>
        </w:rPr>
        <w:t xml:space="preserve">2. Schema &amp; Safety Validator Suite (tests/schemaValidator.test.ts): </w:t>
      </w:r>
      <w:r>
        <w:rPr>
          <w:rFonts w:ascii="Arial" w:hAnsi="Arial"/>
          <w:color w:val="1E293B"/>
          <w:sz w:val="20"/>
        </w:rPr>
        <w:t>4 unit tests verifying that medical diagnoses, drug prescriptions, and malformed inputs are strictly rejected.</w:t>
      </w:r>
    </w:p>
    <w:p>
      <w:pPr>
        <w:spacing w:before="0" w:after="120" w:line="276" w:lineRule="auto"/>
      </w:pPr>
      <w:r>
        <w:rPr>
          <w:rFonts w:ascii="Arial" w:hAnsi="Arial"/>
          <w:b/>
          <w:color w:val="0F2D4A"/>
          <w:sz w:val="20"/>
        </w:rPr>
        <w:t xml:space="preserve">3. Hardware Telemetry Suite (tests/hardwareTelemetry.test.ts): </w:t>
      </w:r>
      <w:r>
        <w:rPr>
          <w:rFonts w:ascii="Arial" w:hAnsi="Arial"/>
          <w:color w:val="1E293B"/>
          <w:sz w:val="20"/>
        </w:rPr>
        <w:t>3 unit tests confirming ASCII key-value and JSON sensor packet parsing from serial telemetry streams.</w:t>
      </w:r>
    </w:p>
    <w:p>
      <w:pPr>
        <w:spacing w:before="0" w:after="120" w:line="276" w:lineRule="auto"/>
      </w:pPr>
      <w:r>
        <w:rPr>
          <w:rFonts w:ascii="Arial" w:hAnsi="Arial"/>
          <w:b/>
          <w:color w:val="0F2D4A"/>
          <w:sz w:val="20"/>
        </w:rPr>
        <w:t xml:space="preserve">4. Live Gemini AI Integration Suite (tests/testGeminiLive.test.ts): </w:t>
      </w:r>
      <w:r>
        <w:rPr>
          <w:rFonts w:ascii="Arial" w:hAnsi="Arial"/>
          <w:color w:val="1E293B"/>
          <w:sz w:val="20"/>
        </w:rPr>
        <w:t>1 live end-to-end integration test validating connection to Google Gemini 2.5 Flash, automated retry backoff on server load spikes, structured JSON extraction, and downstream urgency rule firing.</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0D9488"/>
              <w:bottom w:val="none"/>
              <w:right w:val="none"/>
            </w:tcBorders>
          </w:tcPr>
          <w:p>
            <w:pPr>
              <w:spacing w:before="0" w:after="40"/>
            </w:pPr>
            <w:r>
              <w:rPr>
                <w:rFonts w:ascii="Arial" w:hAnsi="Arial"/>
                <w:b/>
                <w:color w:val="0D9488"/>
                <w:sz w:val="21"/>
              </w:rPr>
              <w:t>AUTOMATED TEST EXECUTION SUMMARY (VITEST)</w:t>
              <w:br/>
            </w:r>
            <w:r>
              <w:rPr>
                <w:rFonts w:ascii="Arial" w:hAnsi="Arial"/>
                <w:color w:val="1E293B"/>
                <w:sz w:val="19"/>
              </w:rPr>
              <w:t>Test Files: 4 passed (4/4)</w:t>
              <w:br/>
              <w:t>Total Tests: 18 passed (18/18)</w:t>
              <w:br/>
              <w:t>Test Execution Duration: 13.99 seconds</w:t>
              <w:br/>
              <w:t>TypeScript Compilation: 0 errors (tsc --noEmit passed)</w:t>
              <w:br/>
              <w:t>Vite Production Build: 0 errors (dist/assets bundled cleanly in 3.39s)</w:t>
            </w:r>
          </w:p>
        </w:tc>
      </w:tr>
    </w:tbl>
    <w:p>
      <w:pPr>
        <w:spacing w:after="80"/>
      </w:pPr>
    </w:p>
    <w:p>
      <w:pPr>
        <w:keepNext/>
        <w:spacing w:before="360" w:after="120"/>
      </w:pPr>
      <w:r>
        <w:rPr>
          <w:rFonts w:ascii="Arial" w:hAnsi="Arial"/>
          <w:b/>
          <w:color w:val="0F2D4A"/>
          <w:sz w:val="32"/>
        </w:rPr>
        <w:t>11. Deployment Architecture &amp; Production Readiness</w:t>
      </w:r>
    </w:p>
    <w:p>
      <w:pPr>
        <w:spacing w:before="0" w:after="120" w:line="276" w:lineRule="auto"/>
      </w:pPr>
      <w:r>
        <w:rPr>
          <w:rFonts w:ascii="Arial" w:hAnsi="Arial"/>
          <w:color w:val="1E293B"/>
          <w:sz w:val="20"/>
        </w:rPr>
        <w:t>JANSAATHI AI is production-ready and deployable directly to Vercel and connected to Supabase:</w:t>
      </w:r>
    </w:p>
    <w:p>
      <w:pPr>
        <w:spacing w:before="0" w:after="120" w:line="276" w:lineRule="auto"/>
      </w:pPr>
      <w:r>
        <w:rPr>
          <w:rFonts w:ascii="Arial" w:hAnsi="Arial"/>
          <w:b/>
          <w:color w:val="0F2D4A"/>
          <w:sz w:val="20"/>
        </w:rPr>
        <w:t xml:space="preserve">• Vercel Configuration: </w:t>
      </w:r>
      <w:r>
        <w:rPr>
          <w:rFonts w:ascii="Arial" w:hAnsi="Arial"/>
          <w:color w:val="1E293B"/>
          <w:sz w:val="20"/>
        </w:rPr>
        <w:t>Includes vercel.json with SPA rewrites (/(.*) -&gt; /index.html) and enterprise HTTP security headers (X-Frame-Options: DENY, X-Content-Type-Options: nosniff, Referrer-Policy: strict-origin-when-cross-origin).</w:t>
      </w:r>
    </w:p>
    <w:p>
      <w:pPr>
        <w:spacing w:before="0" w:after="120" w:line="276" w:lineRule="auto"/>
      </w:pPr>
      <w:r>
        <w:rPr>
          <w:rFonts w:ascii="Arial" w:hAnsi="Arial"/>
          <w:b/>
          <w:color w:val="0F2D4A"/>
          <w:sz w:val="20"/>
        </w:rPr>
        <w:t xml:space="preserve">• Environment Safeguards: </w:t>
      </w:r>
      <w:r>
        <w:rPr>
          <w:rFonts w:ascii="Arial" w:hAnsi="Arial"/>
          <w:color w:val="1E293B"/>
          <w:sz w:val="20"/>
        </w:rPr>
        <w:t>Documented in ENVIRONMENT.md and .env.example with strict separation of client-safe public keys and server-only credentials.</w:t>
      </w:r>
    </w:p>
    <w:p>
      <w:pPr>
        <w:spacing w:before="0" w:after="120" w:line="276" w:lineRule="auto"/>
      </w:pPr>
      <w:r>
        <w:rPr>
          <w:rFonts w:ascii="Arial" w:hAnsi="Arial"/>
          <w:b/>
          <w:color w:val="0F2D4A"/>
          <w:sz w:val="20"/>
        </w:rPr>
        <w:t xml:space="preserve">• Complete Documentation: </w:t>
      </w:r>
      <w:r>
        <w:rPr>
          <w:rFonts w:ascii="Arial" w:hAnsi="Arial"/>
          <w:color w:val="1E293B"/>
          <w:sz w:val="20"/>
        </w:rPr>
        <w:t>Includes comprehensive documentation: README.md, ARCHITECTURE.md, SECURITY.md, DEPLOYMENT.md, DATABASE.md, AI_SAFETY.md, HARDWARE.md, TESTING.md, PRIVACY.md, and ENVIRONMENT.md.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7"/>
      </w:rPr>
      <w:t>Confidential &amp; Proprietary • Public Health Clinical Infrastructure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JANSAATHI AI - Comprehensive Technical &amp; Clinical Architecture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