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before="0"/>
        <w:jc w:val="center"/>
      </w:pPr>
      <w:r>
        <w:rPr>
          <w:rFonts w:ascii="Arial" w:cs="Arial" w:eastAsia="Arial" w:hAnsi="Arial"/>
          <w:b/>
          <w:bCs/>
          <w:color w:val="1F3864"/>
          <w:sz w:val="56"/>
          <w:szCs w:val="56"/>
        </w:rPr>
        <w:t xml:space="preserve">REPORTE EJECUTIVO DE ARQUITECTURA</w:t>
      </w:r>
    </w:p>
    <w:p>
      <w:pPr>
        <w:spacing w:after="200" w:before="0"/>
        <w:jc w:val="center"/>
      </w:pPr>
      <w:r>
        <w:rPr>
          <w:rFonts w:ascii="Arial" w:cs="Arial" w:eastAsia="Arial" w:hAnsi="Arial"/>
          <w:color w:val="2E75B6"/>
          <w:sz w:val="36"/>
          <w:szCs w:val="36"/>
        </w:rPr>
        <w:t xml:space="preserve">Sistema de Gestión de Documentos</w:t>
      </w:r>
    </w:p>
    <w:p>
      <w:pPr>
        <w:pBdr>
          <w:bottom w:val="single" w:color="2E75B6" w:sz="8" w:space="1"/>
        </w:pBdr>
        <w:spacing w:after="0" w:before="0"/>
      </w:pPr>
    </w:p>
    <w:p>
      <w:pPr>
        <w:spacing w:after="0" w:before="400"/>
      </w:pPr>
    </w:p>
    <w:p>
      <w:pPr>
        <w:spacing w:after="60" w:before="0"/>
        <w:jc w:val="center"/>
      </w:pPr>
      <w:r>
        <w:rPr>
          <w:rFonts w:ascii="Arial" w:cs="Arial" w:eastAsia="Arial" w:hAnsi="Arial"/>
          <w:b/>
          <w:bCs/>
          <w:color w:val="595959"/>
          <w:sz w:val="26"/>
          <w:szCs w:val="26"/>
        </w:rPr>
        <w:t xml:space="preserve">Ingram Micro Argentina</w:t>
      </w:r>
    </w:p>
    <w:p>
      <w:pPr>
        <w:spacing w:after="60" w:before="0"/>
        <w:jc w:val="center"/>
      </w:pPr>
      <w:r>
        <w:rPr>
          <w:rFonts w:ascii="Arial" w:cs="Arial" w:eastAsia="Arial" w:hAnsi="Arial"/>
          <w:color w:val="595959"/>
          <w:sz w:val="24"/>
          <w:szCs w:val="24"/>
        </w:rPr>
        <w:t xml:space="preserve">Abril 2026</w:t>
      </w:r>
    </w:p>
    <w:p>
      <w:pPr>
        <w:spacing w:after="60" w:before="0"/>
        <w:jc w:val="center"/>
      </w:pPr>
      <w:r>
        <w:rPr>
          <w:rFonts w:ascii="Arial" w:cs="Arial" w:eastAsia="Arial" w:hAnsi="Arial"/>
          <w:color w:val="70AD47"/>
          <w:sz w:val="24"/>
          <w:szCs w:val="24"/>
        </w:rPr>
        <w:t xml:space="preserve">Estado del proyecto: En desarrollo</w:t>
      </w:r>
    </w:p>
    <w:p>
      <w:pPr>
        <w:spacing w:after="60" w:before="0"/>
        <w:jc w:val="center"/>
      </w:pPr>
      <w:r>
        <w:rPr>
          <w:rFonts w:ascii="Arial" w:cs="Arial" w:eastAsia="Arial" w:hAnsi="Arial"/>
          <w:b/>
          <w:bCs/>
          <w:color w:val="595959"/>
          <w:sz w:val="22"/>
          <w:szCs w:val="22"/>
        </w:rPr>
        <w:t xml:space="preserve">Confidencial</w:t>
      </w:r>
    </w:p>
    <w:p>
      <w:r>
        <w:br w:type="page"/>
      </w:r>
    </w:p>
    <w:p>
      <w:pPr>
        <w:pStyle w:val="Heading1"/>
      </w:pPr>
      <w:r>
        <w:rPr>
          <w:rFonts w:ascii="Arial" w:cs="Arial" w:eastAsia="Arial" w:hAnsi="Arial"/>
          <w:color w:val="1F3864"/>
        </w:rPr>
        <w:t xml:space="preserve">Índice de Contenidos</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color w:val="1F3864"/>
        </w:rPr>
        <w:t xml:space="preserve">1. Resumen Ejecutivo</w:t>
      </w:r>
    </w:p>
    <w:p>
      <w:pPr>
        <w:pBdr>
          <w:bottom w:val="single" w:color="2E75B6" w:sz="8" w:space="1"/>
        </w:pBdr>
        <w:spacing w:after="0" w:before="0"/>
      </w:pPr>
    </w:p>
    <w:p>
      <w:pPr>
        <w:spacing w:after="0" w:before="120"/>
      </w:pPr>
    </w:p>
    <w:p>
      <w:pPr>
        <w:spacing w:after="80" w:before="80"/>
        <w:jc w:val="both"/>
      </w:pPr>
      <w:r>
        <w:rPr>
          <w:rFonts w:ascii="Arial" w:cs="Arial" w:eastAsia="Arial" w:hAnsi="Arial"/>
          <w:color w:val="595959"/>
          <w:sz w:val="22"/>
          <w:szCs w:val="22"/>
        </w:rPr>
        <w:t xml:space="preserve">El Sistema de Gestión de Documentos es un servicio de Windows desarrollado en .NET 8 que automatiza el procesamiento y la integración de dos tipos de documentos electrónicos críticos para la operación de la empresa: Guías de Remisión Electrónica (GRE) en formato PDF e IDOCs en formato XML generados por el sistema Tibco.</w:t>
      </w:r>
    </w:p>
    <w:p>
      <w:pPr>
        <w:spacing w:after="0" w:before="80"/>
      </w:pPr>
    </w:p>
    <w:p>
      <w:pPr>
        <w:spacing w:after="80" w:before="80"/>
        <w:jc w:val="both"/>
      </w:pPr>
      <w:r>
        <w:rPr>
          <w:rFonts w:ascii="Arial" w:cs="Arial" w:eastAsia="Arial" w:hAnsi="Arial"/>
          <w:color w:val="595959"/>
          <w:sz w:val="22"/>
          <w:szCs w:val="22"/>
        </w:rPr>
        <w:t xml:space="preserve">El sistema reemplaza procesos manuales de carga y distribución de documentos, garantizando trazabilidad completa, resiliencia ante errores y disponibilidad continua como servicio del sistema operativo. Al momento de este reporte, el sistema se encuentra en etapa de desarrollo activo, con su arquitectura core definida y los módulos principales implementados.</w:t>
      </w:r>
    </w:p>
    <w:p>
      <w:pPr>
        <w:spacing w:after="0" w:before="120"/>
      </w:pPr>
    </w:p>
    <w:p>
      <w:pPr>
        <w:pStyle w:val="Heading2"/>
      </w:pPr>
      <w:r>
        <w:rPr>
          <w:rFonts w:ascii="Arial" w:cs="Arial" w:eastAsia="Arial" w:hAnsi="Arial"/>
          <w:color w:val="2E75B6"/>
        </w:rPr>
        <w:t xml:space="preserve">Beneficios clave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Automatización total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Elimina la carga manual de documentos en base de datos, reduciendo errores humanos.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Alta disponibilidad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Servicio Windows con inicio automático; se recupera solo ante caídas del sistema.</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Procesamiento resiliente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Cola interna con reintentos y zona de cuarentena para documentos fallidos.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Reconciliación diaria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Proceso programado nocturno que detecta y reprocesa documentos no procesados.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Observabilidad completa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Integración con Event Viewer de Windows, logs rotativos y notificaciones por email.</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Operaciones idempotentes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Previene duplicados en base de datos aunque un documento sea procesado más de una vez.</w:t>
            </w:r>
          </w:p>
        </w:tc>
      </w:tr>
    </w:tbl>
    <w:p>
      <w:pPr>
        <w:pStyle w:val="Heading1"/>
        <w:pageBreakBefore/>
      </w:pPr>
      <w:r>
        <w:rPr>
          <w:rFonts w:ascii="Arial" w:cs="Arial" w:eastAsia="Arial" w:hAnsi="Arial"/>
          <w:color w:val="1F3864"/>
        </w:rPr>
        <w:t xml:space="preserve">2. Descripción General del Sistema</w:t>
      </w:r>
    </w:p>
    <w:p>
      <w:pPr>
        <w:pBdr>
          <w:bottom w:val="single" w:color="2E75B6" w:sz="8" w:space="1"/>
        </w:pBdr>
        <w:spacing w:after="0" w:before="0"/>
      </w:pPr>
    </w:p>
    <w:p>
      <w:pPr>
        <w:spacing w:after="0" w:before="120"/>
      </w:pPr>
    </w:p>
    <w:p>
      <w:pPr>
        <w:spacing w:after="80" w:before="80"/>
        <w:jc w:val="both"/>
      </w:pPr>
      <w:r>
        <w:rPr>
          <w:rFonts w:ascii="Arial" w:cs="Arial" w:eastAsia="Arial" w:hAnsi="Arial"/>
          <w:color w:val="595959"/>
          <w:sz w:val="22"/>
          <w:szCs w:val="22"/>
        </w:rPr>
        <w:t xml:space="preserve">El sistema monitorea carpetas compartidas de red en tiempo real. Cuando detecta un archivo nuevo (PDF para GRE o XML para IDOC), lo encola automáticamente y lo procesa de forma concurrente. El resultado es la inserción del documento en la base de datos corporativa y, en el caso de las GRE, la distribución del PDF a los destinos configurados.</w:t>
      </w:r>
    </w:p>
    <w:p>
      <w:pPr>
        <w:spacing w:after="0" w:before="120"/>
      </w:pPr>
    </w:p>
    <w:p>
      <w:pPr>
        <w:pStyle w:val="Heading2"/>
      </w:pPr>
      <w:r>
        <w:rPr>
          <w:rFonts w:ascii="Arial" w:cs="Arial" w:eastAsia="Arial" w:hAnsi="Arial"/>
          <w:color w:val="2E75B6"/>
        </w:rPr>
        <w:t xml:space="preserve">Modos de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Modo</w:t>
            </w:r>
          </w:p>
        </w:tc>
        <w:tc>
          <w:tcPr>
            <w:tcW w:type="dxa" w:w="6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Servicio Windows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Modo de producción. Se registra en el sistema operativo, inicia con Windows y opera en segundo plano sin intervención del usuario.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Consola (--console)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Modo de desarrollo y testing. Muestra logs en pantalla para depuración y validación.</w:t>
            </w:r>
          </w:p>
        </w:tc>
      </w:tr>
    </w:tbl>
    <w:p>
      <w:pPr>
        <w:spacing w:after="0" w:before="120"/>
      </w:pPr>
    </w:p>
    <w:p>
      <w:pPr>
        <w:pStyle w:val="Heading2"/>
      </w:pPr>
      <w:r>
        <w:rPr>
          <w:rFonts w:ascii="Arial" w:cs="Arial" w:eastAsia="Arial" w:hAnsi="Arial"/>
          <w:color w:val="2E75B6"/>
        </w:rPr>
        <w:t xml:space="preserve">Documentos procesados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Tipo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Formato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Origen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Destino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GRE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Carpeta de red (PDF)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Base de datos + distribución a carpetas de destino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IDOC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XML (Tibco)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Carpeta de red (XML)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Base de datos SQL Server</w:t>
            </w:r>
          </w:p>
        </w:tc>
      </w:tr>
    </w:tbl>
    <w:p>
      <w:pPr>
        <w:pStyle w:val="Heading1"/>
        <w:pageBreakBefore/>
      </w:pPr>
      <w:r>
        <w:rPr>
          <w:rFonts w:ascii="Arial" w:cs="Arial" w:eastAsia="Arial" w:hAnsi="Arial"/>
          <w:color w:val="1F3864"/>
        </w:rPr>
        <w:t xml:space="preserve">3. Stack Tecnológico</w:t>
      </w:r>
    </w:p>
    <w:p>
      <w:pPr>
        <w:pBdr>
          <w:bottom w:val="single" w:color="2E75B6" w:sz="8" w:space="1"/>
        </w:pBdr>
        <w:spacing w:after="0" w:before="0"/>
      </w:pPr>
    </w:p>
    <w:p>
      <w:pPr>
        <w:spacing w:after="0" w:before="120"/>
      </w:pPr>
    </w:p>
    <w:p>
      <w:pPr>
        <w:spacing w:after="80" w:before="80"/>
        <w:jc w:val="both"/>
      </w:pPr>
      <w:r>
        <w:rPr>
          <w:rFonts w:ascii="Arial" w:cs="Arial" w:eastAsia="Arial" w:hAnsi="Arial"/>
          <w:color w:val="595959"/>
          <w:sz w:val="22"/>
          <w:szCs w:val="22"/>
        </w:rPr>
        <w:t xml:space="preserve">El sistema está construido sobre tecnologías Microsoft de última generación, lo que garantiza soporte a largo plazo, integración nativa con el ecosistema Windows Server y el ecosistema SQL Server.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Componente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Tecnología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Versión / Detalle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Lenguaje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 12</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Plataforma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.NET Worker Service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.NET 8.0 LTS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ORM (GRE)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Entity Framework Core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v8.0.8 — SQL Server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Acceso datos IDOC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ADO.NET directo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Microsoft.Data.SqlClient 5.2</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MailKit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v4.16 — SMTP / TLS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Base de datos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SQL Server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Integración Windows Auth</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Testing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xUnit + Coverlet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v2.9.3 — cobertura de código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Configuración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Parametros.json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Hot-reload con IOptionsMonitor</w:t>
            </w:r>
          </w:p>
        </w:tc>
      </w:tr>
    </w:tbl>
    <w:p>
      <w:pPr>
        <w:spacing w:after="0" w:before="120"/>
      </w:pPr>
    </w:p>
    <w:p>
      <w:pPr>
        <w:spacing w:after="80" w:before="80"/>
        <w:jc w:val="both"/>
      </w:pPr>
      <w:r>
        <w:rPr>
          <w:rFonts w:ascii="Arial" w:cs="Arial" w:eastAsia="Arial" w:hAnsi="Arial"/>
          <w:color w:val="595959"/>
          <w:sz w:val="22"/>
          <w:szCs w:val="22"/>
        </w:rPr>
        <w:t xml:space="preserve">La elección de .NET 8 LTS garantiza soporte oficial de Microsoft hasta noviembre de 2026, con actualizaciones de seguridad incluidas. El uso del patrón Worker Service de .NET permite una integración nativa con el Service Control Manager de Windows.</w:t>
      </w:r>
    </w:p>
    <w:p>
      <w:pPr>
        <w:pStyle w:val="Heading1"/>
        <w:pageBreakBefore/>
      </w:pPr>
      <w:r>
        <w:rPr>
          <w:rFonts w:ascii="Arial" w:cs="Arial" w:eastAsia="Arial" w:hAnsi="Arial"/>
          <w:color w:val="1F3864"/>
        </w:rPr>
        <w:t xml:space="preserve">4. Arquitectura del Sistema</w:t>
      </w:r>
    </w:p>
    <w:p>
      <w:pPr>
        <w:pBdr>
          <w:bottom w:val="single" w:color="2E75B6" w:sz="8" w:space="1"/>
        </w:pBdr>
        <w:spacing w:after="0" w:before="0"/>
      </w:pPr>
    </w:p>
    <w:p>
      <w:pPr>
        <w:spacing w:after="0" w:before="120"/>
      </w:pPr>
    </w:p>
    <w:p>
      <w:pPr>
        <w:spacing w:after="80" w:before="80"/>
        <w:jc w:val="both"/>
      </w:pPr>
      <w:r>
        <w:rPr>
          <w:rFonts w:ascii="Arial" w:cs="Arial" w:eastAsia="Arial" w:hAnsi="Arial"/>
          <w:color w:val="595959"/>
          <w:sz w:val="22"/>
          <w:szCs w:val="22"/>
        </w:rPr>
        <w:t xml:space="preserve">El sistema sigue una arquitectura modular en capas, organizada en cuatro proyectos independientes dentro de la misma solución .NET. Cada proyecto tiene una responsabilidad bien definida, lo que facilita el mantenimiento y la evolución del sistema.</w:t>
      </w:r>
    </w:p>
    <w:p>
      <w:pPr>
        <w:spacing w:after="0" w:before="120"/>
      </w:pPr>
    </w:p>
    <w:p>
      <w:pPr>
        <w:pStyle w:val="Heading2"/>
      </w:pPr>
      <w:r>
        <w:rPr>
          <w:rFonts w:ascii="Arial" w:cs="Arial" w:eastAsia="Arial" w:hAnsi="Arial"/>
          <w:color w:val="2E75B6"/>
        </w:rPr>
        <w:t xml:space="preserve">4.1 Estructura de proyectos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Proyecto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Responsabilidad</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GestionDocumentos.Core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Infraestructura compartida: motor de monitoreo de carpetas, manejo de errores, logging y email.</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GestionDocumentos.Gre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Pipeline completo para documentos GRE: extracción de texto PDF, parsing, validación, base de datos y distribución.</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GestionDocumentos.Idoc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Pipeline completo para documentos IDOC: parsing XML, normalización, consulta de parámetros y base de datos.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GestionDocumentos.Host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Punto de entrada: orquesta todos los servicios, inicializa el host de Windows y gestiona el ciclo de vida.</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GestionDocumentos.Tests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Suite de pruebas unitarias e integración con xUnit.</w:t>
            </w:r>
          </w:p>
        </w:tc>
      </w:tr>
    </w:tbl>
    <w:p>
      <w:pPr>
        <w:spacing w:after="0" w:before="120"/>
      </w:pPr>
    </w:p>
    <w:p>
      <w:pPr>
        <w:pStyle w:val="Heading2"/>
      </w:pPr>
      <w:r>
        <w:rPr>
          <w:rFonts w:ascii="Arial" w:cs="Arial" w:eastAsia="Arial" w:hAnsi="Arial"/>
          <w:color w:val="2E75B6"/>
        </w:rPr>
        <w:t xml:space="preserve">4.2 Flujo de procesamiento</w:t>
      </w:r>
    </w:p>
    <w:p>
      <w:pPr>
        <w:spacing w:after="80" w:before="80"/>
        <w:jc w:val="left"/>
      </w:pPr>
      <w:r>
        <w:rPr>
          <w:rFonts w:ascii="Arial" w:cs="Arial" w:eastAsia="Arial" w:hAnsi="Arial"/>
          <w:color w:val="595959"/>
          <w:sz w:val="22"/>
          <w:szCs w:val="22"/>
        </w:rPr>
        <w:t xml:space="preserve">Ambos pipelines (GRE e IDOC) siguen el mismo patrón de procesamiento asíncrono basado en colas: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
        <w:gridCol w:w="1600"/>
        <w:gridCol w:w="200"/>
        <w:gridCol w:w="1600"/>
        <w:gridCol w:w="200"/>
        <w:gridCol w:w="1600"/>
        <w:gridCol w:w="200"/>
        <w:gridCol w:w="2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1. Carpeta de red
(PDF / XML)</w:t>
            </w:r>
          </w:p>
        </w:tc>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E75B6"/>
                <w:sz w:val="20"/>
                <w:szCs w:val="20"/>
              </w:rPr>
              <w:t xml:space="preserv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2. FileSystem
Watcher + Cola</w:t>
            </w:r>
          </w:p>
        </w:tc>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E75B6"/>
                <w:sz w:val="20"/>
                <w:szCs w:val="20"/>
              </w:rPr>
              <w:t xml:space="preserv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3. Workers
concurrentes</w:t>
            </w:r>
          </w:p>
        </w:tc>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E75B6"/>
                <w:sz w:val="20"/>
                <w:szCs w:val="20"/>
              </w:rPr>
              <w:t xml:space="preserv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4. Procesador
de documento</w:t>
            </w:r>
          </w:p>
        </w:tc>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E75B6"/>
                <w:sz w:val="20"/>
                <w:szCs w:val="20"/>
              </w:rPr>
              <w:t xml:space="preserve">→</w:t>
            </w:r>
          </w:p>
        </w:tc>
        <w:tc>
          <w:tcPr>
            <w:tcW w:type="dxa" w:w="2160"/>
            <w:tcBorders>
              <w:top w:val="single" w:color="CCCCCC" w:sz="1"/>
              <w:left w:val="single" w:color="CCCCCC" w:sz="1"/>
              <w:bottom w:val="single" w:color="CCCCCC" w:sz="1"/>
              <w:right w:val="single" w:color="CCCCCC" w:sz="1"/>
            </w:tcBorders>
            <w:shd w:fill="70AD47"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5. Base de datos
+ Distribución</w:t>
            </w:r>
          </w:p>
        </w:tc>
      </w:tr>
    </w:tbl>
    <w:p>
      <w:pPr>
        <w:spacing w:after="0" w:before="120"/>
      </w:pPr>
    </w:p>
    <w:p>
      <w:pPr>
        <w:spacing w:after="80" w:before="80"/>
        <w:jc w:val="both"/>
      </w:pPr>
      <w:r>
        <w:rPr>
          <w:rFonts w:ascii="Arial" w:cs="Arial" w:eastAsia="Arial" w:hAnsi="Arial"/>
          <w:color w:val="595959"/>
          <w:sz w:val="22"/>
          <w:szCs w:val="22"/>
        </w:rPr>
        <w:t xml:space="preserve">El motor de cola (FolderWatcherEngine) actúa como buffer entre la detección de archivos y su procesamiento. Esto desacopla la velocidad de llegada de archivos de la capacidad de procesamiento, garantizando que ningún documento se pierda incluso en picos de carga.</w:t>
      </w:r>
    </w:p>
    <w:p>
      <w:pPr>
        <w:spacing w:after="0" w:before="120"/>
      </w:pPr>
    </w:p>
    <w:p>
      <w:pPr>
        <w:pStyle w:val="Heading2"/>
      </w:pPr>
      <w:r>
        <w:rPr>
          <w:rFonts w:ascii="Arial" w:cs="Arial" w:eastAsia="Arial" w:hAnsi="Arial"/>
          <w:color w:val="2E75B6"/>
        </w:rPr>
        <w:t xml:space="preserve">4.3 Parámetros de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Workers concurrentes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6 (configurable)</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Capacidad de la cola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2.000 documentos (configurable)</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Reintentos por archivo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3 intentos antes de enviar a cuarentena</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Retardo entre reintentos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1.000 ms (configurable)</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Checks de archivo listo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30 verificaciones de lectura antes de procesar</w:t>
            </w:r>
          </w:p>
        </w:tc>
      </w:tr>
    </w:tbl>
    <w:p>
      <w:pPr>
        <w:pStyle w:val="Heading1"/>
        <w:pageBreakBefore/>
      </w:pPr>
      <w:r>
        <w:rPr>
          <w:rFonts w:ascii="Arial" w:cs="Arial" w:eastAsia="Arial" w:hAnsi="Arial"/>
          <w:color w:val="1F3864"/>
        </w:rPr>
        <w:t xml:space="preserve">5. Módulos Principales</w:t>
      </w:r>
    </w:p>
    <w:p>
      <w:pPr>
        <w:pBdr>
          <w:bottom w:val="single" w:color="2E75B6" w:sz="8" w:space="1"/>
        </w:pBdr>
        <w:spacing w:after="0" w:before="0"/>
      </w:pPr>
    </w:p>
    <w:p>
      <w:pPr>
        <w:spacing w:after="0" w:before="120"/>
      </w:pPr>
    </w:p>
    <w:p>
      <w:pPr>
        <w:pStyle w:val="Heading2"/>
      </w:pPr>
      <w:r>
        <w:rPr>
          <w:rFonts w:ascii="Arial" w:cs="Arial" w:eastAsia="Arial" w:hAnsi="Arial"/>
          <w:color w:val="2E75B6"/>
        </w:rPr>
        <w:t xml:space="preserve">5.1 Motor de Monitoreo de Carpetas (Core)</w:t>
      </w:r>
    </w:p>
    <w:p>
      <w:pPr>
        <w:spacing w:after="80" w:before="80"/>
        <w:jc w:val="left"/>
      </w:pPr>
      <w:r>
        <w:rPr>
          <w:rFonts w:ascii="Arial" w:cs="Arial" w:eastAsia="Arial" w:hAnsi="Arial"/>
          <w:color w:val="595959"/>
          <w:sz w:val="22"/>
          <w:szCs w:val="22"/>
        </w:rPr>
        <w:t xml:space="preserve">El FolderWatcherEngine es el componente central que envuelve la API nativa FileSystemWatcher de .NET agregando resiliencia, colas y concurrencia. Sus capacidades principales son:</w:t>
      </w:r>
    </w:p>
    <w:p>
      <w:pPr>
        <w:pStyle w:val="ListParagraph"/>
        <w:numPr>
          <w:ilvl w:val="0"/>
          <w:numId w:val="2"/>
        </w:numPr>
        <w:spacing w:after="40" w:before="40"/>
      </w:pPr>
      <w:r>
        <w:rPr>
          <w:rFonts w:ascii="Arial" w:cs="Arial" w:eastAsia="Arial" w:hAnsi="Arial"/>
          <w:color w:val="595959"/>
          <w:sz w:val="22"/>
          <w:szCs w:val="22"/>
        </w:rPr>
        <w:t xml:space="preserve">Detección de archivos nuevos en tiempo real mediante eventos del sistema operativo.</w:t>
      </w:r>
    </w:p>
    <w:p>
      <w:pPr>
        <w:pStyle w:val="ListParagraph"/>
        <w:numPr>
          <w:ilvl w:val="0"/>
          <w:numId w:val="2"/>
        </w:numPr>
        <w:spacing w:after="40" w:before="40"/>
      </w:pPr>
      <w:r>
        <w:rPr>
          <w:rFonts w:ascii="Arial" w:cs="Arial" w:eastAsia="Arial" w:hAnsi="Arial"/>
          <w:color w:val="595959"/>
          <w:sz w:val="22"/>
          <w:szCs w:val="22"/>
        </w:rPr>
        <w:t xml:space="preserve">Cola interna de alta capacidad (System.Threading.Channels) para absorber picos de carga.</w:t>
      </w:r>
    </w:p>
    <w:p>
      <w:pPr>
        <w:pStyle w:val="ListParagraph"/>
        <w:numPr>
          <w:ilvl w:val="0"/>
          <w:numId w:val="2"/>
        </w:numPr>
        <w:spacing w:after="40" w:before="40"/>
      </w:pPr>
      <w:r>
        <w:rPr>
          <w:rFonts w:ascii="Arial" w:cs="Arial" w:eastAsia="Arial" w:hAnsi="Arial"/>
          <w:color w:val="595959"/>
          <w:sz w:val="22"/>
          <w:szCs w:val="22"/>
        </w:rPr>
        <w:t xml:space="preserve">N workers en paralelo que procesan documentos de forma independiente.</w:t>
      </w:r>
    </w:p>
    <w:p>
      <w:pPr>
        <w:pStyle w:val="ListParagraph"/>
        <w:numPr>
          <w:ilvl w:val="0"/>
          <w:numId w:val="2"/>
        </w:numPr>
        <w:spacing w:after="40" w:before="40"/>
      </w:pPr>
      <w:r>
        <w:rPr>
          <w:rFonts w:ascii="Arial" w:cs="Arial" w:eastAsia="Arial" w:hAnsi="Arial"/>
          <w:color w:val="595959"/>
          <w:sz w:val="22"/>
          <w:szCs w:val="22"/>
        </w:rPr>
        <w:t xml:space="preserve">Recuperación automática ante errores internos del FileSystemWatcher.</w:t>
      </w:r>
    </w:p>
    <w:p>
      <w:pPr>
        <w:pStyle w:val="ListParagraph"/>
        <w:numPr>
          <w:ilvl w:val="0"/>
          <w:numId w:val="2"/>
        </w:numPr>
        <w:spacing w:after="40" w:before="40"/>
      </w:pPr>
      <w:r>
        <w:rPr>
          <w:rFonts w:ascii="Arial" w:cs="Arial" w:eastAsia="Arial" w:hAnsi="Arial"/>
          <w:color w:val="595959"/>
          <w:sz w:val="22"/>
          <w:szCs w:val="22"/>
        </w:rPr>
        <w:t xml:space="preserve">Lógica de dead-letter queue (DLQ): archivos fallidos se mueven a carpeta de cuarentena con log de error.</w:t>
      </w:r>
    </w:p>
    <w:p>
      <w:pPr>
        <w:spacing w:after="0" w:before="100"/>
      </w:pPr>
    </w:p>
    <w:p>
      <w:pPr>
        <w:pStyle w:val="Heading2"/>
      </w:pPr>
      <w:r>
        <w:rPr>
          <w:rFonts w:ascii="Arial" w:cs="Arial" w:eastAsia="Arial" w:hAnsi="Arial"/>
          <w:color w:val="2E75B6"/>
        </w:rPr>
        <w:t xml:space="preserve">5.2 Pipeline GRE — Guía de Remisión Electrónica</w:t>
      </w:r>
    </w:p>
    <w:p>
      <w:pPr>
        <w:spacing w:after="80" w:before="80"/>
        <w:jc w:val="left"/>
      </w:pPr>
      <w:r>
        <w:rPr>
          <w:rFonts w:ascii="Arial" w:cs="Arial" w:eastAsia="Arial" w:hAnsi="Arial"/>
          <w:color w:val="595959"/>
          <w:sz w:val="22"/>
          <w:szCs w:val="22"/>
        </w:rPr>
        <w:t xml:space="preserve">Procesa PDFs de guías de remisión electrónicas realizando las siguientes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66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Paso</w:t>
            </w:r>
          </w:p>
        </w:tc>
        <w:tc>
          <w:tcPr>
            <w:tcW w:type="dxa" w:w="66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Detalle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1</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Extracción de texto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Extrae contenido textual del PDF.</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2</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Parsing estructurado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Interpreta los campos clave-valor con validaciones de formato.</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3</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Validación de campos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Verifica que todos los campos requeridos estén presentes y bien formateados.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4</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Inserción en 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Inserta registro en tabla GreInfos (SQL Server via EF Core). Operación idempotente.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5</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Distribución del PDF</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Copia el PDF a hasta 3 destinos: PDFs generales, e-commerce o HPMPS según el cliente.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6</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Proceso .txt asociado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Procesa archivo de trigger .txt si está presente para metadata adicional.</w:t>
            </w:r>
          </w:p>
        </w:tc>
      </w:tr>
    </w:tbl>
    <w:p>
      <w:pPr>
        <w:spacing w:after="0" w:before="120"/>
      </w:pPr>
    </w:p>
    <w:p>
      <w:pPr>
        <w:pStyle w:val="Heading2"/>
      </w:pPr>
      <w:r>
        <w:rPr>
          <w:rFonts w:ascii="Arial" w:cs="Arial" w:eastAsia="Arial" w:hAnsi="Arial"/>
          <w:color w:val="2E75B6"/>
        </w:rPr>
        <w:t xml:space="preserve">5.3 Pipeline IDOC — Documentos Tibco</w:t>
      </w:r>
    </w:p>
    <w:p>
      <w:pPr>
        <w:spacing w:after="80" w:before="80"/>
        <w:jc w:val="left"/>
      </w:pPr>
      <w:r>
        <w:rPr>
          <w:rFonts w:ascii="Arial" w:cs="Arial" w:eastAsia="Arial" w:hAnsi="Arial"/>
          <w:color w:val="595959"/>
          <w:sz w:val="22"/>
          <w:szCs w:val="22"/>
        </w:rPr>
        <w:t xml:space="preserve">Procesa archivos XML generados por la plataforma Tibco: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66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Paso</w:t>
            </w:r>
          </w:p>
        </w:tc>
        <w:tc>
          <w:tcPr>
            <w:tcW w:type="dxa" w:w="66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Detalle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1</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Parsing XML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Deserializa la estructura XML del documento IDOC.</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2</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Normalización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Estandariza tipos de datos, elimina espacios y aplica conversiones de formato.</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3</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Resolución de rutas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Consulta la base de datos back office para determinar la ruta de archivo correcta.</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4</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Inserción en 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Inserta registro en tabla Documentos con retry exponencial ante errores transitorios.</w:t>
            </w:r>
          </w:p>
        </w:tc>
      </w:tr>
    </w:tbl>
    <w:p>
      <w:pPr>
        <w:spacing w:after="0" w:before="80"/>
      </w:pPr>
    </w:p>
    <w:p>
      <w:pPr>
        <w:spacing w:after="80" w:before="80"/>
        <w:jc w:val="both"/>
      </w:pPr>
      <w:r>
        <w:rPr>
          <w:rFonts w:ascii="Arial" w:cs="Arial" w:eastAsia="Arial" w:hAnsi="Arial"/>
          <w:color w:val="595959"/>
          <w:sz w:val="22"/>
          <w:szCs w:val="22"/>
        </w:rPr>
        <w:t xml:space="preserve">El pipeline IDOC implementa reintentos con backoff exponencial y jitter para errores transitorios de SQL Server (timeouts, conexiones caídas), garantizando robustez ante inestabilidades temporales de red o base de datos.</w:t>
      </w:r>
    </w:p>
    <w:p>
      <w:pPr>
        <w:spacing w:after="0" w:before="120"/>
      </w:pPr>
    </w:p>
    <w:p>
      <w:pPr>
        <w:pStyle w:val="Heading2"/>
      </w:pPr>
      <w:r>
        <w:rPr>
          <w:rFonts w:ascii="Arial" w:cs="Arial" w:eastAsia="Arial" w:hAnsi="Arial"/>
          <w:color w:val="2E75B6"/>
        </w:rPr>
        <w:t xml:space="preserve">5.4 Reconciliación Diaria</w:t>
      </w:r>
    </w:p>
    <w:p>
      <w:pPr>
        <w:spacing w:after="80" w:before="80"/>
        <w:jc w:val="both"/>
      </w:pPr>
      <w:r>
        <w:rPr>
          <w:rFonts w:ascii="Arial" w:cs="Arial" w:eastAsia="Arial" w:hAnsi="Arial"/>
          <w:color w:val="595959"/>
          <w:sz w:val="22"/>
          <w:szCs w:val="22"/>
        </w:rPr>
        <w:t xml:space="preserve">Todos los días a las 20:00 (configurable), el sistema ejecuta un proceso de reconciliación que actúa como red de seguridad. Recorre las carpetas de origen y reprocesa cualquier archivo que no haya sido procesado correctamente. Dado que las operaciones de base de datos son idempotentes, no hay riesgo de duplicación.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Hora de ejecución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20:00 (hora local, configurable)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Alcance temporal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Archivos del día o todos los archivos (configurable)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Pipelines incluidos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GRE e IDOC (cada uno puede habilitarse individualmente)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Concurrencia máxima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2 archivos simultáneos (configurable)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Máximo de archivos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10.000 por fuente (configurable)</w:t>
            </w:r>
          </w:p>
        </w:tc>
      </w:tr>
    </w:tbl>
    <w:p>
      <w:pPr>
        <w:pStyle w:val="Heading1"/>
        <w:pageBreakBefore/>
      </w:pPr>
      <w:r>
        <w:rPr>
          <w:rFonts w:ascii="Arial" w:cs="Arial" w:eastAsia="Arial" w:hAnsi="Arial"/>
          <w:color w:val="1F3864"/>
        </w:rPr>
        <w:t xml:space="preserve">6. Manejo de Errores y Observabilidad</w:t>
      </w:r>
    </w:p>
    <w:p>
      <w:pPr>
        <w:pBdr>
          <w:bottom w:val="single" w:color="2E75B6" w:sz="8" w:space="1"/>
        </w:pBdr>
        <w:spacing w:after="0" w:before="0"/>
      </w:pPr>
    </w:p>
    <w:p>
      <w:pPr>
        <w:spacing w:after="0" w:before="120"/>
      </w:pPr>
    </w:p>
    <w:p>
      <w:pPr>
        <w:spacing w:after="80" w:before="80"/>
        <w:jc w:val="both"/>
      </w:pPr>
      <w:r>
        <w:rPr>
          <w:rFonts w:ascii="Arial" w:cs="Arial" w:eastAsia="Arial" w:hAnsi="Arial"/>
          <w:color w:val="595959"/>
          <w:sz w:val="22"/>
          <w:szCs w:val="22"/>
        </w:rPr>
        <w:t xml:space="preserve">El sistema implementa múltiples canales de observabilidad complementarios, permitiendo al equipo de operaciones monitorear el sistema en producción sin necesidad de acceder al servidor directamente.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Canal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Estado</w:t>
            </w:r>
          </w:p>
        </w:tc>
        <w:tc>
          <w:tcPr>
            <w:tcW w:type="dxa" w:w="4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Windows Event Viewer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Activo siempre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Canal primario de producción. Registra Warning, Error y Critical con fuente identificable 'GestionDocumentos'.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Log de archivo diario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Configurable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Archivos de log con rotación diaria automática y limpieza por retención (30 días por defecto).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Notificaciones SMTP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Opcional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Emails agrupados por ventana de 60 segundos, throttling de 120 segundos entre envíos. Hasta 50 errores por email.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Dead-Letter Queue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Configurable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Archivos fallidos se mueven a carpeta de cuarentena con log de stack trace. Subcarpetas por fecha.</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Heartbeat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Activo por defecto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Señal de vida cada 15 minutos para confirmar que el servicio está operativo.</w:t>
            </w:r>
          </w:p>
        </w:tc>
      </w:tr>
    </w:tbl>
    <w:p>
      <w:pPr>
        <w:spacing w:after="0" w:before="120"/>
      </w:pPr>
    </w:p>
    <w:p>
      <w:pPr>
        <w:pStyle w:val="Heading2"/>
      </w:pPr>
      <w:r>
        <w:rPr>
          <w:rFonts w:ascii="Arial" w:cs="Arial" w:eastAsia="Arial" w:hAnsi="Arial"/>
          <w:color w:val="2E75B6"/>
        </w:rPr>
        <w:t xml:space="preserve">Idempotencia y prevención de duplicados</w:t>
      </w:r>
    </w:p>
    <w:p>
      <w:pPr>
        <w:spacing w:after="80" w:before="80"/>
        <w:jc w:val="both"/>
      </w:pPr>
      <w:r>
        <w:rPr>
          <w:rFonts w:ascii="Arial" w:cs="Arial" w:eastAsia="Arial" w:hAnsi="Arial"/>
          <w:color w:val="595959"/>
          <w:sz w:val="22"/>
          <w:szCs w:val="22"/>
        </w:rPr>
        <w:t xml:space="preserve">Ambas bases de datos cuentan con índices únicos que garantizan que un mismo documento nunca se inserte dos veces, independientemente de cuántas veces sea procesado. El sistema detecta los errores de clave duplicada de SQL Server (códigos 2601 y 2627) y los trata como operaciones exitosas, no como fallos.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Índice GRE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UX_GreInfos_greName  (donde Auditoria_Deleted = 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Índice IDOC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UX_Documentos_NameFile</w:t>
            </w:r>
          </w:p>
        </w:tc>
      </w:tr>
    </w:tbl>
    <w:p>
      <w:pPr>
        <w:pStyle w:val="Heading1"/>
        <w:pageBreakBefore/>
      </w:pPr>
      <w:r>
        <w:rPr>
          <w:rFonts w:ascii="Arial" w:cs="Arial" w:eastAsia="Arial" w:hAnsi="Arial"/>
          <w:color w:val="1F3864"/>
        </w:rPr>
        <w:t xml:space="preserve">7. Configuración y Despliegue</w:t>
      </w:r>
    </w:p>
    <w:p>
      <w:pPr>
        <w:pBdr>
          <w:bottom w:val="single" w:color="2E75B6" w:sz="8" w:space="1"/>
        </w:pBdr>
        <w:spacing w:after="0" w:before="0"/>
      </w:pPr>
    </w:p>
    <w:p>
      <w:pPr>
        <w:spacing w:after="0" w:before="120"/>
      </w:pPr>
    </w:p>
    <w:p>
      <w:pPr>
        <w:spacing w:after="80" w:before="80"/>
        <w:jc w:val="both"/>
      </w:pPr>
      <w:r>
        <w:rPr>
          <w:rFonts w:ascii="Arial" w:cs="Arial" w:eastAsia="Arial" w:hAnsi="Arial"/>
          <w:color w:val="595959"/>
          <w:sz w:val="22"/>
          <w:szCs w:val="22"/>
        </w:rPr>
        <w:t xml:space="preserve">Toda la configuración del sistema se centraliza en un único archivo Parametros.json ubicado junto al ejecutable. Este archivo contiene rutas de carpetas, cadenas de conexión a bases de datos, configuración de email y parámetros operativos. El archivo no se versiona en el repositorio de código para proteger credenciales sensibles.</w:t>
      </w:r>
    </w:p>
    <w:p>
      <w:pPr>
        <w:spacing w:after="0" w:before="120"/>
      </w:pPr>
    </w:p>
    <w:p>
      <w:pPr>
        <w:pStyle w:val="Heading2"/>
      </w:pPr>
      <w:r>
        <w:rPr>
          <w:rFonts w:ascii="Arial" w:cs="Arial" w:eastAsia="Arial" w:hAnsi="Arial"/>
          <w:color w:val="2E75B6"/>
        </w:rPr>
        <w:t xml:space="preserve">7.1 Secciones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Sección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Rutas GRE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Carpeta de entrada (PDF), carpeta de triggers (.txt) y tres carpetas de salida (General, E-commerce, HPMPS).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Rutas IDOC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Carpeta de entrada (XML) y ruta de back office.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Conexiones de BD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Strings de conexión para base de datos GRE, IDOC y back office. Soporte para Windows Auth y SQL Auth.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Concurrencia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Workers simultáneos, capacidad de cola, intentos de reintento, buffer del watcher.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Reconciliación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Hora de ejecución, habilitación por pipeline, concurrencia y umbral de archivos.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Heartbeat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Intervalo de señal de vida (minutos).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Email (SMTP)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Host, puerto, credenciales, TLS, throttling y agrupación de errores.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Log de archivo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Ruta de logs, prefijo de nombre, días de retención.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Dead-Letter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Rutas de cuarentena para GRE e IDOC.</w:t>
            </w:r>
          </w:p>
        </w:tc>
      </w:tr>
    </w:tbl>
    <w:p>
      <w:pPr>
        <w:spacing w:after="0" w:before="120"/>
      </w:pPr>
    </w:p>
    <w:p>
      <w:pPr>
        <w:pStyle w:val="Heading2"/>
      </w:pPr>
      <w:r>
        <w:rPr>
          <w:rFonts w:ascii="Arial" w:cs="Arial" w:eastAsia="Arial" w:hAnsi="Arial"/>
          <w:color w:val="2E75B6"/>
        </w:rPr>
        <w:t xml:space="preserve">7.2 Proceso de instalación en producción</w:t>
      </w:r>
    </w:p>
    <w:p>
      <w:pPr>
        <w:pStyle w:val="ListParagraph"/>
        <w:numPr>
          <w:ilvl w:val="0"/>
          <w:numId w:val="2"/>
        </w:numPr>
        <w:spacing w:after="40" w:before="40"/>
      </w:pPr>
      <w:r>
        <w:rPr>
          <w:rFonts w:ascii="Arial" w:cs="Arial" w:eastAsia="Arial" w:hAnsi="Arial"/>
          <w:color w:val="595959"/>
          <w:sz w:val="22"/>
          <w:szCs w:val="22"/>
        </w:rPr>
        <w:t xml:space="preserve">Publicar el ejecutable compilado para Windows x64 (.NET 8, self-contained opcional).</w:t>
      </w:r>
    </w:p>
    <w:p>
      <w:pPr>
        <w:pStyle w:val="ListParagraph"/>
        <w:numPr>
          <w:ilvl w:val="0"/>
          <w:numId w:val="2"/>
        </w:numPr>
        <w:spacing w:after="40" w:before="40"/>
      </w:pPr>
      <w:r>
        <w:rPr>
          <w:rFonts w:ascii="Arial" w:cs="Arial" w:eastAsia="Arial" w:hAnsi="Arial"/>
          <w:color w:val="595959"/>
          <w:sz w:val="22"/>
          <w:szCs w:val="22"/>
        </w:rPr>
        <w:t xml:space="preserve">Copiar Parametros.json con configuración de producción (rutas, conexiones, credenciales).</w:t>
      </w:r>
    </w:p>
    <w:p>
      <w:pPr>
        <w:pStyle w:val="ListParagraph"/>
        <w:numPr>
          <w:ilvl w:val="0"/>
          <w:numId w:val="2"/>
        </w:numPr>
        <w:spacing w:after="40" w:before="40"/>
      </w:pPr>
      <w:r>
        <w:rPr>
          <w:rFonts w:ascii="Arial" w:cs="Arial" w:eastAsia="Arial" w:hAnsi="Arial"/>
          <w:color w:val="595959"/>
          <w:sz w:val="22"/>
          <w:szCs w:val="22"/>
        </w:rPr>
        <w:t xml:space="preserve">Registrar el servicio con sc.exe y configurar inicio automático.</w:t>
      </w:r>
    </w:p>
    <w:p>
      <w:pPr>
        <w:pStyle w:val="ListParagraph"/>
        <w:numPr>
          <w:ilvl w:val="0"/>
          <w:numId w:val="2"/>
        </w:numPr>
        <w:spacing w:after="40" w:before="40"/>
      </w:pPr>
      <w:r>
        <w:rPr>
          <w:rFonts w:ascii="Arial" w:cs="Arial" w:eastAsia="Arial" w:hAnsi="Arial"/>
          <w:color w:val="595959"/>
          <w:sz w:val="22"/>
          <w:szCs w:val="22"/>
        </w:rPr>
        <w:t xml:space="preserve">Verificar permisos: cuenta de servicio con acceso de lectura en carpetas de entrada y escritura en carpetas de salida.</w:t>
      </w:r>
    </w:p>
    <w:p>
      <w:pPr>
        <w:pStyle w:val="ListParagraph"/>
        <w:numPr>
          <w:ilvl w:val="0"/>
          <w:numId w:val="2"/>
        </w:numPr>
        <w:spacing w:after="40" w:before="40"/>
      </w:pPr>
      <w:r>
        <w:rPr>
          <w:rFonts w:ascii="Arial" w:cs="Arial" w:eastAsia="Arial" w:hAnsi="Arial"/>
          <w:color w:val="595959"/>
          <w:sz w:val="22"/>
          <w:szCs w:val="22"/>
        </w:rPr>
        <w:t xml:space="preserve">Crear índices únicos en SQL Server (DDL provisto por el equipo de desarrollo).</w:t>
      </w:r>
    </w:p>
    <w:p>
      <w:pPr>
        <w:pStyle w:val="ListParagraph"/>
        <w:numPr>
          <w:ilvl w:val="0"/>
          <w:numId w:val="2"/>
        </w:numPr>
        <w:spacing w:after="40" w:before="40"/>
      </w:pPr>
      <w:r>
        <w:rPr>
          <w:rFonts w:ascii="Arial" w:cs="Arial" w:eastAsia="Arial" w:hAnsi="Arial"/>
          <w:color w:val="595959"/>
          <w:sz w:val="22"/>
          <w:szCs w:val="22"/>
        </w:rPr>
        <w:t xml:space="preserve">Validar en Event Viewer que el servicio inicia sin errores de conexión.</w:t>
      </w:r>
    </w:p>
    <w:p>
      <w:pPr>
        <w:pStyle w:val="ListParagraph"/>
        <w:numPr>
          <w:ilvl w:val="0"/>
          <w:numId w:val="2"/>
        </w:numPr>
        <w:spacing w:after="40" w:before="40"/>
      </w:pPr>
      <w:r>
        <w:rPr>
          <w:rFonts w:ascii="Arial" w:cs="Arial" w:eastAsia="Arial" w:hAnsi="Arial"/>
          <w:color w:val="595959"/>
          <w:sz w:val="22"/>
          <w:szCs w:val="22"/>
        </w:rPr>
        <w:t xml:space="preserve">Procesar un archivo de prueba y verificar inserción en base de datos.</w:t>
      </w:r>
    </w:p>
    <w:p>
      <w:pPr>
        <w:pStyle w:val="Heading1"/>
        <w:pageBreakBefore/>
      </w:pPr>
      <w:r>
        <w:rPr>
          <w:rFonts w:ascii="Arial" w:cs="Arial" w:eastAsia="Arial" w:hAnsi="Arial"/>
          <w:color w:val="1F3864"/>
        </w:rPr>
        <w:t xml:space="preserve">8. Estrategia de Testing</w:t>
      </w:r>
    </w:p>
    <w:p>
      <w:pPr>
        <w:pBdr>
          <w:bottom w:val="single" w:color="2E75B6" w:sz="8" w:space="1"/>
        </w:pBdr>
        <w:spacing w:after="0" w:before="0"/>
      </w:pPr>
    </w:p>
    <w:p>
      <w:pPr>
        <w:spacing w:after="0" w:before="120"/>
      </w:pPr>
    </w:p>
    <w:p>
      <w:pPr>
        <w:spacing w:after="80" w:before="80"/>
        <w:jc w:val="both"/>
      </w:pPr>
      <w:r>
        <w:rPr>
          <w:rFonts w:ascii="Arial" w:cs="Arial" w:eastAsia="Arial" w:hAnsi="Arial"/>
          <w:color w:val="595959"/>
          <w:sz w:val="22"/>
          <w:szCs w:val="22"/>
        </w:rPr>
        <w:t xml:space="preserve">El proyecto cuenta con una suite de pruebas automatizadas con xUnit. Se incluyen tanto pruebas unitarias de lógica de negocio como pruebas de resiliencia e integración con archivos de ejemplo reales.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Suite de pruebas</w:t>
            </w:r>
          </w:p>
        </w:tc>
        <w:tc>
          <w:tcPr>
            <w:tcW w:type="dxa" w:w="5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Cobertura</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GreParserTests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Extracción de atributos, detección de errores, colisiones de prefijos.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GreGuiaNumberFormatTests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Validación de formatos de numeración de guías.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IdocXmlParserTests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Casos borde del parsing XML.</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FolderWatcherEngineResilienceTests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Recuperación del watcher, desbordamiento de cola, escalado de errores.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ErrorFileLoggerProviderTests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Rotación de logs, limpieza por retención, límites de fecha.</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RealExampleFilesTests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Integración con archivos reales de GRE e IDOC (datos de ejemplo).</w:t>
            </w:r>
          </w:p>
        </w:tc>
      </w:tr>
    </w:tbl>
    <w:p>
      <w:pPr>
        <w:spacing w:after="0" w:before="80"/>
      </w:pPr>
    </w:p>
    <w:p>
      <w:pPr>
        <w:spacing w:after="80" w:before="80"/>
        <w:jc w:val="both"/>
      </w:pPr>
      <w:r>
        <w:rPr>
          <w:rFonts w:ascii="Arial" w:cs="Arial" w:eastAsia="Arial" w:hAnsi="Arial"/>
          <w:color w:val="595959"/>
          <w:sz w:val="22"/>
          <w:szCs w:val="22"/>
        </w:rPr>
        <w:t xml:space="preserve">La cobertura de código se mide con Coverlet, integrable con pipelines de CI/CD. Los archivos de ejemplo utilizados en las pruebas de integración se encuentran versionados en el repositorio bajo la carpeta GestionDocumentos.Tests/examples/.</w:t>
      </w:r>
    </w:p>
    <w:p>
      <w:pPr>
        <w:pStyle w:val="Heading1"/>
        <w:pageBreakBefore/>
      </w:pPr>
      <w:r>
        <w:rPr>
          <w:rFonts w:ascii="Arial" w:cs="Arial" w:eastAsia="Arial" w:hAnsi="Arial"/>
          <w:color w:val="1F3864"/>
        </w:rPr>
        <w:t xml:space="preserve">9. Estado Actual y Próximos Pasos</w:t>
      </w:r>
    </w:p>
    <w:p>
      <w:pPr>
        <w:pBdr>
          <w:bottom w:val="single" w:color="2E75B6" w:sz="8" w:space="1"/>
        </w:pBdr>
        <w:spacing w:after="0" w:before="0"/>
      </w:pPr>
    </w:p>
    <w:p>
      <w:pPr>
        <w:spacing w:after="0" w:before="120"/>
      </w:pPr>
    </w:p>
    <w:p>
      <w:pPr>
        <w:spacing w:after="80" w:before="80"/>
        <w:jc w:val="left"/>
      </w:pPr>
      <w:r>
        <w:rPr>
          <w:rFonts w:ascii="Arial" w:cs="Arial" w:eastAsia="Arial" w:hAnsi="Arial"/>
          <w:color w:val="595959"/>
          <w:sz w:val="22"/>
          <w:szCs w:val="22"/>
        </w:rPr>
        <w:t xml:space="preserve">El sistema se encuentra en etapa de desarrollo activo. La arquitectura central está definida y los módulos principales se encuentran implementados. A continuación se detalla el estado de cada componente: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Estado</w:t>
            </w:r>
          </w:p>
        </w:tc>
        <w:tc>
          <w:tcPr>
            <w:tcW w:type="dxa" w:w="3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Observaciones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Motor de cola y concurrencia</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Implementado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FolderWatcherEngine con resiliencia y DLQ completos.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Pipeline GRE (PDF → BD)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Implementado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Parsing, validación, BD y distribución operativos.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Pipeline IDOC (XML → BD)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Implementado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Parsing, normalización e inserción operativos.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Reconciliación diaria</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Implementado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Programación configurable por hora local.</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Observabilidad (logs / email)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Implementado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Event Log, archivo rotativo y SMTP configurados.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Suite de pruebas automatizadas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En progreso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Cobertura de casos core. Se amplía con cada entrega.</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Despliegue en producción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Pendiente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Pendiente validación final en entorno productivo.</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Documentación operativa</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spacing w:after="0" w:before="0"/>
            </w:pPr>
            <w:r>
              <w:rPr>
                <w:rFonts w:ascii="Arial" w:cs="Arial" w:eastAsia="Arial" w:hAnsi="Arial"/>
                <w:b/>
                <w:bCs/>
                <w:color w:val="000000"/>
                <w:sz w:val="20"/>
                <w:szCs w:val="20"/>
              </w:rPr>
              <w:t xml:space="preserve">En progreso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000000"/>
                <w:sz w:val="20"/>
                <w:szCs w:val="20"/>
              </w:rPr>
              <w:t xml:space="preserve">README con guía de instalación disponible.</w:t>
            </w:r>
          </w:p>
        </w:tc>
      </w:tr>
    </w:tbl>
    <w:p>
      <w:pPr>
        <w:spacing w:after="0" w:before="120"/>
      </w:pPr>
    </w:p>
    <w:p>
      <w:pPr>
        <w:pStyle w:val="Heading2"/>
      </w:pPr>
      <w:r>
        <w:rPr>
          <w:rFonts w:ascii="Arial" w:cs="Arial" w:eastAsia="Arial" w:hAnsi="Arial"/>
          <w:color w:val="2E75B6"/>
        </w:rPr>
        <w:t xml:space="preserve">Recomendaciones para la etapa de producción</w:t>
      </w:r>
    </w:p>
    <w:p>
      <w:pPr>
        <w:pStyle w:val="ListParagraph"/>
        <w:numPr>
          <w:ilvl w:val="0"/>
          <w:numId w:val="2"/>
        </w:numPr>
        <w:spacing w:after="40" w:before="40"/>
      </w:pPr>
      <w:r>
        <w:rPr>
          <w:rFonts w:ascii="Arial" w:cs="Arial" w:eastAsia="Arial" w:hAnsi="Arial"/>
          <w:color w:val="595959"/>
          <w:sz w:val="22"/>
          <w:szCs w:val="22"/>
        </w:rPr>
        <w:t xml:space="preserve">Crear los índices únicos en SQL Server antes del primer despliegue productivo.</w:t>
      </w:r>
    </w:p>
    <w:p>
      <w:pPr>
        <w:pStyle w:val="ListParagraph"/>
        <w:numPr>
          <w:ilvl w:val="0"/>
          <w:numId w:val="2"/>
        </w:numPr>
        <w:spacing w:after="40" w:before="40"/>
      </w:pPr>
      <w:r>
        <w:rPr>
          <w:rFonts w:ascii="Arial" w:cs="Arial" w:eastAsia="Arial" w:hAnsi="Arial"/>
          <w:color w:val="595959"/>
          <w:sz w:val="22"/>
          <w:szCs w:val="22"/>
        </w:rPr>
        <w:t xml:space="preserve">Configurar la cuenta de servicio con permisos mínimos necesarios (principio de menor privilegio).</w:t>
      </w:r>
    </w:p>
    <w:p>
      <w:pPr>
        <w:pStyle w:val="ListParagraph"/>
        <w:numPr>
          <w:ilvl w:val="0"/>
          <w:numId w:val="2"/>
        </w:numPr>
        <w:spacing w:after="40" w:before="40"/>
      </w:pPr>
      <w:r>
        <w:rPr>
          <w:rFonts w:ascii="Arial" w:cs="Arial" w:eastAsia="Arial" w:hAnsi="Arial"/>
          <w:color w:val="595959"/>
          <w:sz w:val="22"/>
          <w:szCs w:val="22"/>
        </w:rPr>
        <w:t xml:space="preserve">Habilitar notificaciones SMTP para alertas operativas en producción.</w:t>
      </w:r>
    </w:p>
    <w:p>
      <w:pPr>
        <w:pStyle w:val="ListParagraph"/>
        <w:numPr>
          <w:ilvl w:val="0"/>
          <w:numId w:val="2"/>
        </w:numPr>
        <w:spacing w:after="40" w:before="40"/>
      </w:pPr>
      <w:r>
        <w:rPr>
          <w:rFonts w:ascii="Arial" w:cs="Arial" w:eastAsia="Arial" w:hAnsi="Arial"/>
          <w:color w:val="595959"/>
          <w:sz w:val="22"/>
          <w:szCs w:val="22"/>
        </w:rPr>
        <w:t xml:space="preserve">Definir un proceso de monitoreo periódico de la carpeta de cuarentena (DLQ).</w:t>
      </w:r>
    </w:p>
    <w:p>
      <w:pPr>
        <w:pStyle w:val="ListParagraph"/>
        <w:numPr>
          <w:ilvl w:val="0"/>
          <w:numId w:val="2"/>
        </w:numPr>
        <w:spacing w:after="40" w:before="40"/>
      </w:pPr>
      <w:r>
        <w:rPr>
          <w:rFonts w:ascii="Arial" w:cs="Arial" w:eastAsia="Arial" w:hAnsi="Arial"/>
          <w:color w:val="595959"/>
          <w:sz w:val="22"/>
          <w:szCs w:val="22"/>
        </w:rPr>
        <w:t xml:space="preserve">Establecer un proceso de backup de los logs de archivo generados por el sistema.</w:t>
      </w:r>
    </w:p>
    <w:p>
      <w:pPr>
        <w:pStyle w:val="ListParagraph"/>
        <w:numPr>
          <w:ilvl w:val="0"/>
          <w:numId w:val="2"/>
        </w:numPr>
        <w:spacing w:after="40" w:before="40"/>
      </w:pPr>
      <w:r>
        <w:rPr>
          <w:rFonts w:ascii="Arial" w:cs="Arial" w:eastAsia="Arial" w:hAnsi="Arial"/>
          <w:color w:val="595959"/>
          <w:sz w:val="22"/>
          <w:szCs w:val="22"/>
        </w:rPr>
        <w:t xml:space="preserve">Documentar las cadenas de conexión y rutas de producción en un gestor de secretos corporativo.</w:t>
      </w:r>
    </w:p>
    <w:p>
      <w:pPr>
        <w:pStyle w:val="Heading1"/>
        <w:pageBreakBefore/>
      </w:pPr>
      <w:r>
        <w:rPr>
          <w:rFonts w:ascii="Arial" w:cs="Arial" w:eastAsia="Arial" w:hAnsi="Arial"/>
          <w:color w:val="1F3864"/>
        </w:rPr>
        <w:t xml:space="preserve">10. Conclusiones</w:t>
      </w:r>
    </w:p>
    <w:p>
      <w:pPr>
        <w:pBdr>
          <w:bottom w:val="single" w:color="2E75B6" w:sz="8" w:space="1"/>
        </w:pBdr>
        <w:spacing w:after="0" w:before="0"/>
      </w:pPr>
    </w:p>
    <w:p>
      <w:pPr>
        <w:spacing w:after="0" w:before="120"/>
      </w:pPr>
    </w:p>
    <w:p>
      <w:pPr>
        <w:spacing w:after="80" w:before="80"/>
        <w:jc w:val="both"/>
      </w:pPr>
      <w:r>
        <w:rPr>
          <w:rFonts w:ascii="Arial" w:cs="Arial" w:eastAsia="Arial" w:hAnsi="Arial"/>
          <w:color w:val="595959"/>
          <w:sz w:val="22"/>
          <w:szCs w:val="22"/>
        </w:rPr>
        <w:t xml:space="preserve">El Sistema de Gestión de Documentos representa una solución robusta y de calidad empresarial para la automatización del procesamiento de documentos electrónicos. Su arquitectura modular, basada en tecnologías Microsoft de última generación, garantiza facilidad de mantenimiento, escalabilidad y alineación con el ecosistema tecnológico existente en la organización.</w:t>
      </w:r>
    </w:p>
    <w:p>
      <w:pPr>
        <w:spacing w:after="0" w:before="80"/>
      </w:pPr>
    </w:p>
    <w:p>
      <w:pPr>
        <w:spacing w:after="80" w:before="80"/>
        <w:jc w:val="both"/>
      </w:pPr>
      <w:r>
        <w:rPr>
          <w:rFonts w:ascii="Arial" w:cs="Arial" w:eastAsia="Arial" w:hAnsi="Arial"/>
          <w:color w:val="595959"/>
          <w:sz w:val="22"/>
          <w:szCs w:val="22"/>
        </w:rPr>
        <w:t xml:space="preserve">Los mecanismos de resiliencia implementados — colas internas, reintentos automáticos, reconciliación diaria, idempotencia en base de datos y zona de cuarentena — aseguran que ningún documento se pierda ni se duplique, incluso ante escenarios de falla parcial.</w:t>
      </w:r>
    </w:p>
    <w:p>
      <w:pPr>
        <w:spacing w:after="0" w:before="80"/>
      </w:pPr>
    </w:p>
    <w:p>
      <w:pPr>
        <w:spacing w:after="80" w:before="80"/>
        <w:jc w:val="both"/>
      </w:pPr>
      <w:r>
        <w:rPr>
          <w:rFonts w:ascii="Arial" w:cs="Arial" w:eastAsia="Arial" w:hAnsi="Arial"/>
          <w:color w:val="595959"/>
          <w:sz w:val="22"/>
          <w:szCs w:val="22"/>
        </w:rPr>
        <w:t xml:space="preserve">El sistema está preparado para su despliegue en producción una vez completadas las validaciones finales en entorno de testing y la creación de los índices requeridos en SQL Server. Se recomienda una instancia de prueba en entorno de staging con datos reales antes del go-live definitivo.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00"/>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pPr>
    <w:r>
      <w:rPr>
        <w:rFonts w:ascii="Arial" w:cs="Arial" w:eastAsia="Arial" w:hAnsi="Arial"/>
        <w:color w:val="595959"/>
        <w:sz w:val="16"/>
        <w:szCs w:val="16"/>
      </w:rPr>
      <w:t xml:space="preserve">REPORTE EJECUTIVO — Sistema de Gestión de Documentos</w:t>
    </w:r>
    <w:r>
      <w:rPr>
        <w:rFonts w:ascii="Arial" w:cs="Arial" w:eastAsia="Arial" w:hAnsi="Arial"/>
        <w:color w:val="595959"/>
        <w:sz w:val="16"/>
        <w:szCs w:val="16"/>
      </w:rPr>
      <w:t xml:space="preserve">	Ingram Micro Argentina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2026-04-27T16:13:48.504Z</dcterms:created>
  <dcterms:modified xsi:type="dcterms:W3CDTF">2026-04-27T16:13:48.504Z</dcterms:modified>
</cp:coreProperties>
</file>

<file path=docProps/custom.xml><?xml version="1.0" encoding="utf-8"?>
<Properties xmlns="http://schemas.openxmlformats.org/officeDocument/2006/custom-properties" xmlns:vt="http://schemas.openxmlformats.org/officeDocument/2006/docPropsVTypes"/>
</file>