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  <w:shd w:fill="E9F6EE"/>
      </w:pPr>
      <w:r>
        <w:rPr>
          <w:rFonts w:ascii="Microsoft YaHei" w:hAnsi="Microsoft YaHei" w:eastAsia="Microsoft YaHei"/>
          <w:b/>
          <w:sz w:val="24"/>
        </w:rPr>
        <w:t>正式批准版本</w:t>
      </w:r>
    </w:p>
    <w:p>
      <w:pPr>
        <w:spacing w:before="160" w:after="280"/>
        <w:jc w:val="center"/>
      </w:pPr>
      <w:r>
        <w:rPr>
          <w:rFonts w:ascii="Microsoft YaHei" w:hAnsi="Microsoft YaHei" w:eastAsia="Microsoft YaHei"/>
          <w:b/>
          <w:sz w:val="40"/>
        </w:rPr>
        <w:t>脱敏采购服务邀请文书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文书编号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DEMO-S1-APPROVED-3748009a3c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事项名称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脱敏设施保养服务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生成日期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2026-07-17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截止日期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2026-07-20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预算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HKD 1000.00 - 3000.00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地点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演示地点 A（脱敏）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v3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资料标识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当前使用脱敏演示资料</w:t>
            </w:r>
          </w:p>
        </w:tc>
      </w:tr>
    </w:tbl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文书正文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脱敏采购服务邀请文书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文书编号：DEMO-S1-APPROVED-3748009a3c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事项名称：脱敏设施保养服务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生成日期：2026-07-17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截止日期：2026-07-20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预算范围：HKD 1000.00 - 3000.00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地点：演示地点 A（脱敏）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邀请供应商：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演示供应商甲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受控条款：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仅接受脱敏演示资料；最终内容必须由人工复核。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脱敏演示联系人：Demo Contact（脱敏）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脱敏演示邮箱：demo-contact@example.invalid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本文件仅使用脱敏演示资料。</w:t>
      </w:r>
    </w:p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邀请供应商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供应商（脱敏演示）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演示供应商甲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演示供应商丙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演示供应商乙</w:t>
            </w:r>
          </w:p>
        </w:tc>
      </w:tr>
    </w:tbl>
    <w:p>
      <w:pPr>
        <w:spacing w:before="280" w:line="300" w:lineRule="auto"/>
      </w:pPr>
      <w:r>
        <w:rPr>
          <w:rFonts w:ascii="Microsoft YaHei" w:hAnsi="Microsoft YaHei" w:eastAsia="Microsoft YaHei"/>
          <w:b w:val="0"/>
          <w:sz w:val="18"/>
        </w:rPr>
        <w:t>本文件为 Steven AI 行政助手本机独立脱敏 Demo 产物。AI/OCR 未联网；正式状态仅由人工提交与审批产生。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