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spacing w:after="560"/>
        <w:jc w:val="center"/>
      </w:pPr>
      <w:r>
        <w:rPr>
          <w:rFonts w:ascii="黑体" w:hAnsi="黑体" w:eastAsia="黑体"/>
          <w:b/>
          <w:color w:val="144A4A"/>
          <w:sz w:val="36"/>
        </w:rPr>
        <w:t>香港培英中学 AI 工坊</w:t>
      </w:r>
    </w:p>
    <w:p>
      <w:pPr>
        <w:spacing w:after="200"/>
        <w:jc w:val="center"/>
      </w:pPr>
      <w:r>
        <w:rPr>
          <w:rFonts w:ascii="黑体" w:hAnsi="黑体" w:eastAsia="黑体"/>
          <w:b/>
          <w:color w:val="0F3D3D"/>
          <w:sz w:val="56"/>
        </w:rPr>
        <w:t>Steven 岗位 AI 行政助手</w:t>
      </w:r>
    </w:p>
    <w:p>
      <w:pPr>
        <w:spacing w:after="900"/>
        <w:jc w:val="center"/>
      </w:pPr>
      <w:r>
        <w:rPr>
          <w:rFonts w:ascii="黑体" w:hAnsi="黑体" w:eastAsia="黑体"/>
          <w:b/>
          <w:color w:val="195E5E"/>
          <w:sz w:val="40"/>
        </w:rPr>
        <w:t>整合实施方案（MVP 试点）</w:t>
      </w:r>
    </w:p>
    <w:tbl>
      <w:tblPr>
        <w:tblW w:type="auto" w:w="0"/>
        <w:jc w:val="center"/>
        <w:tblLook w:firstColumn="1" w:firstRow="1" w:lastColumn="0" w:lastRow="0" w:noHBand="0" w:noVBand="1" w:val="04A0"/>
      </w:tblPr>
      <w:tblGrid>
        <w:gridCol w:w="4731"/>
        <w:gridCol w:w="4731"/>
      </w:tblGrid>
      <w:tr>
        <w:tc>
          <w:tcPr>
            <w:tcW w:type="dxa" w:w="473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客户单位</w:t>
            </w:r>
          </w:p>
        </w:tc>
        <w:tc>
          <w:tcPr>
            <w:tcW w:type="dxa" w:w="473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香港培英中学校务处</w:t>
            </w:r>
          </w:p>
        </w:tc>
      </w:tr>
      <w:tr>
        <w:tc>
          <w:tcPr>
            <w:tcW w:type="dxa" w:w="473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岗位对象</w:t>
            </w:r>
          </w:p>
        </w:tc>
        <w:tc>
          <w:tcPr>
            <w:tcW w:type="dxa" w:w="473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Steven（行政文员）</w:t>
            </w:r>
          </w:p>
        </w:tc>
      </w:tr>
      <w:tr>
        <w:tc>
          <w:tcPr>
            <w:tcW w:type="dxa" w:w="473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试点范围</w:t>
            </w:r>
          </w:p>
        </w:tc>
        <w:tc>
          <w:tcPr>
            <w:tcW w:type="dxa" w:w="473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标书/书面报价单、采购比价、消耗品库存</w:t>
            </w:r>
          </w:p>
        </w:tc>
      </w:tr>
      <w:tr>
        <w:tc>
          <w:tcPr>
            <w:tcW w:type="dxa" w:w="473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方案版本</w:t>
            </w:r>
          </w:p>
        </w:tc>
        <w:tc>
          <w:tcPr>
            <w:tcW w:type="dxa" w:w="473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v3.0（整合版）</w:t>
            </w:r>
          </w:p>
        </w:tc>
      </w:tr>
      <w:tr>
        <w:tc>
          <w:tcPr>
            <w:tcW w:type="dxa" w:w="473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方案日期</w:t>
            </w:r>
          </w:p>
        </w:tc>
        <w:tc>
          <w:tcPr>
            <w:tcW w:type="dxa" w:w="473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2026 年 7 月 15 日</w:t>
            </w:r>
          </w:p>
        </w:tc>
      </w:tr>
    </w:tbl>
    <w:p>
      <w:pPr>
        <w:spacing w:before="800"/>
        <w:jc w:val="center"/>
      </w:pPr>
      <w:r>
        <w:rPr>
          <w:rFonts w:ascii="宋体" w:hAnsi="宋体" w:eastAsia="宋体"/>
          <w:b w:val="0"/>
          <w:color w:val="595959"/>
          <w:sz w:val="20"/>
        </w:rPr>
        <w:t>本方案为 MVP 试点实施蓝图。任何未完成核验的功能、时间与成效，均不作为既成事实或业务承诺。</w:t>
      </w:r>
    </w:p>
    <w:p>
      <w:r>
        <w:br w:type="page"/>
      </w:r>
    </w:p>
    <w:p>
      <w:pPr>
        <w:spacing w:after="400"/>
        <w:jc w:val="center"/>
      </w:pPr>
      <w:r>
        <w:rPr>
          <w:rFonts w:ascii="黑体" w:hAnsi="黑体" w:eastAsia="黑体"/>
          <w:b/>
          <w:color w:val="144A4A"/>
          <w:sz w:val="40"/>
        </w:rPr>
        <w:t>目    录</w:t>
      </w:r>
    </w:p>
    <w:p>
      <w:pPr>
        <w:spacing w:after="100"/>
        <w:ind w:left="340"/>
      </w:pPr>
      <w:r>
        <w:rPr>
          <w:rFonts w:ascii="宋体" w:hAnsi="宋体" w:eastAsia="宋体"/>
          <w:b w:val="0"/>
          <w:sz w:val="22"/>
        </w:rPr>
        <w:t>1. 执行摘要</w:t>
      </w:r>
    </w:p>
    <w:p>
      <w:pPr>
        <w:spacing w:after="100"/>
        <w:ind w:left="340"/>
      </w:pPr>
      <w:r>
        <w:rPr>
          <w:rFonts w:ascii="宋体" w:hAnsi="宋体" w:eastAsia="宋体"/>
          <w:b w:val="0"/>
          <w:sz w:val="22"/>
        </w:rPr>
        <w:t>2. 实施范围、目标与边界</w:t>
      </w:r>
    </w:p>
    <w:p>
      <w:pPr>
        <w:spacing w:after="100"/>
        <w:ind w:left="340"/>
      </w:pPr>
      <w:r>
        <w:rPr>
          <w:rFonts w:ascii="宋体" w:hAnsi="宋体" w:eastAsia="宋体"/>
          <w:b w:val="0"/>
          <w:sz w:val="22"/>
        </w:rPr>
        <w:t>3. 现状问题与整合策略</w:t>
      </w:r>
    </w:p>
    <w:p>
      <w:pPr>
        <w:spacing w:after="100"/>
        <w:ind w:left="340"/>
      </w:pPr>
      <w:r>
        <w:rPr>
          <w:rFonts w:ascii="宋体" w:hAnsi="宋体" w:eastAsia="宋体"/>
          <w:b w:val="0"/>
          <w:sz w:val="22"/>
        </w:rPr>
        <w:t>4. MVP 总体架构与数据治理</w:t>
      </w:r>
    </w:p>
    <w:p>
      <w:pPr>
        <w:spacing w:after="100"/>
        <w:ind w:left="340"/>
      </w:pPr>
      <w:r>
        <w:rPr>
          <w:rFonts w:ascii="宋体" w:hAnsi="宋体" w:eastAsia="宋体"/>
          <w:b w:val="0"/>
          <w:sz w:val="22"/>
        </w:rPr>
        <w:t>5. 三项功能详细设计</w:t>
      </w:r>
    </w:p>
    <w:p>
      <w:pPr>
        <w:spacing w:after="100"/>
        <w:ind w:left="340"/>
      </w:pPr>
      <w:r>
        <w:rPr>
          <w:rFonts w:ascii="宋体" w:hAnsi="宋体" w:eastAsia="宋体"/>
          <w:b w:val="0"/>
          <w:sz w:val="22"/>
        </w:rPr>
        <w:t>6. 页面与交互设计原则</w:t>
      </w:r>
    </w:p>
    <w:p>
      <w:pPr>
        <w:spacing w:after="100"/>
        <w:ind w:left="340"/>
      </w:pPr>
      <w:r>
        <w:rPr>
          <w:rFonts w:ascii="宋体" w:hAnsi="宋体" w:eastAsia="宋体"/>
          <w:b w:val="0"/>
          <w:sz w:val="22"/>
        </w:rPr>
        <w:t>7. 数据、接口、文件与权限规范</w:t>
      </w:r>
    </w:p>
    <w:p>
      <w:pPr>
        <w:spacing w:after="100"/>
        <w:ind w:left="340"/>
      </w:pPr>
      <w:r>
        <w:rPr>
          <w:rFonts w:ascii="宋体" w:hAnsi="宋体" w:eastAsia="宋体"/>
          <w:b w:val="0"/>
          <w:sz w:val="22"/>
        </w:rPr>
        <w:t>8. 两周试点排期与角色分工</w:t>
      </w:r>
    </w:p>
    <w:p>
      <w:pPr>
        <w:spacing w:after="100"/>
        <w:ind w:left="340"/>
      </w:pPr>
      <w:r>
        <w:rPr>
          <w:rFonts w:ascii="宋体" w:hAnsi="宋体" w:eastAsia="宋体"/>
          <w:b w:val="0"/>
          <w:sz w:val="22"/>
        </w:rPr>
        <w:t>9. 测试、验收与风险控制</w:t>
      </w:r>
    </w:p>
    <w:p>
      <w:pPr>
        <w:spacing w:after="100"/>
        <w:ind w:left="340"/>
      </w:pPr>
      <w:r>
        <w:rPr>
          <w:rFonts w:ascii="宋体" w:hAnsi="宋体" w:eastAsia="宋体"/>
          <w:b w:val="0"/>
          <w:sz w:val="22"/>
        </w:rPr>
        <w:t>10. 交付物与 Phase 2 路线</w:t>
      </w:r>
    </w:p>
    <w:p>
      <w:pPr>
        <w:spacing w:after="100"/>
        <w:ind w:left="340"/>
      </w:pPr>
      <w:r>
        <w:rPr>
          <w:rFonts w:ascii="宋体" w:hAnsi="宋体" w:eastAsia="宋体"/>
          <w:b w:val="0"/>
          <w:sz w:val="22"/>
        </w:rPr>
        <w:t>附录 A：启动前材料清单</w:t>
      </w:r>
    </w:p>
    <w:p>
      <w:r>
        <w:br w:type="page"/>
      </w:r>
    </w:p>
    <w:p>
      <w:pPr>
        <w:keepNext/>
        <w:spacing w:before="300" w:after="160"/>
      </w:pPr>
      <w:r>
        <w:rPr>
          <w:rFonts w:ascii="黑体" w:hAnsi="黑体" w:eastAsia="黑体"/>
          <w:b/>
          <w:color w:val="144A4A"/>
          <w:sz w:val="32"/>
        </w:rPr>
        <w:t>1. 执行摘要</w:t>
      </w:r>
    </w:p>
    <w:p>
      <w:pPr>
        <w:spacing w:before="0" w:after="120" w:line="324" w:lineRule="auto"/>
        <w:ind w:firstLine="420"/>
      </w:pPr>
      <w:r>
        <w:rPr>
          <w:rFonts w:ascii="宋体" w:hAnsi="宋体" w:eastAsia="宋体"/>
          <w:b w:val="0"/>
          <w:sz w:val="22"/>
        </w:rPr>
        <w:t>本方案聚焦香港培英中学校务处 Steven（行政文员）的三项优先业务：标书/书面报价单生成、采购比价、消耗品库存。首期不建设覆盖全校的采购或 ERP 平台，而是交付一个可由 Steven 独立使用、可人工复核、可导出 Word/Excel 的轻量化 MVP。</w:t>
      </w:r>
    </w:p>
    <w:p>
      <w:pPr>
        <w:spacing w:before="0" w:after="120" w:line="324" w:lineRule="auto"/>
        <w:ind w:firstLine="420"/>
      </w:pPr>
      <w:r>
        <w:rPr>
          <w:rFonts w:ascii="宋体" w:hAnsi="宋体" w:eastAsia="宋体"/>
          <w:b w:val="0"/>
          <w:sz w:val="22"/>
        </w:rPr>
        <w:t>本整合版以 v2 的受控试点和治理框架为主线，吸收 v1 中已具象化的模板、供应商目录、库存阈值、接口和回归测试经验。未逐项核验的“已上线、已部署、已完成”内容，均不写作既成事实。</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187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模块</w:t>
            </w:r>
          </w:p>
        </w:tc>
        <w:tc>
          <w:tcPr>
            <w:tcW w:type="dxa" w:w="226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首期价值</w:t>
            </w:r>
          </w:p>
        </w:tc>
        <w:tc>
          <w:tcPr>
            <w:tcW w:type="dxa" w:w="255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交付结果</w:t>
            </w:r>
          </w:p>
        </w:tc>
        <w:tc>
          <w:tcPr>
            <w:tcW w:type="dxa" w:w="255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人工控制点</w:t>
            </w:r>
          </w:p>
        </w:tc>
      </w:tr>
      <w:tr>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S1 标书/书面报价单</w:t>
            </w:r>
          </w:p>
        </w:tc>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统一模板与字段，减少翻找及格式漂移</w:t>
            </w:r>
          </w:p>
        </w:tc>
        <w:tc>
          <w:tcPr>
            <w:tcW w:type="dxa" w:w="255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可编辑 Word 草稿与版本记录</w:t>
            </w:r>
          </w:p>
        </w:tc>
        <w:tc>
          <w:tcPr>
            <w:tcW w:type="dxa" w:w="255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上级确认后才可正式导出</w:t>
            </w:r>
          </w:p>
        </w:tc>
      </w:tr>
      <w:tr>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S2 采购比价</w:t>
            </w:r>
          </w:p>
        </w:tc>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自动计算、排序和异常提示</w:t>
            </w:r>
          </w:p>
        </w:tc>
        <w:tc>
          <w:tcPr>
            <w:tcW w:type="dxa" w:w="255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可编辑 Excel 比价表</w:t>
            </w:r>
          </w:p>
        </w:tc>
        <w:tc>
          <w:tcPr>
            <w:tcW w:type="dxa" w:w="255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供应商选择及非最低价理由必须人工填写</w:t>
            </w:r>
          </w:p>
        </w:tc>
      </w:tr>
      <w:tr>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S3 消耗品库存</w:t>
            </w:r>
          </w:p>
        </w:tc>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盘点后快速整理与低库存提示</w:t>
            </w:r>
          </w:p>
        </w:tc>
        <w:tc>
          <w:tcPr>
            <w:tcW w:type="dxa" w:w="255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库存更新表与补货建议草稿</w:t>
            </w:r>
          </w:p>
        </w:tc>
        <w:tc>
          <w:tcPr>
            <w:tcW w:type="dxa" w:w="255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实物盘点数量由现场人员确认</w:t>
            </w:r>
          </w:p>
        </w:tc>
      </w:tr>
    </w:tbl>
    <w:p>
      <w:pPr>
        <w:spacing w:after="20"/>
      </w:pPr>
    </w:p>
    <w:p>
      <w:pPr>
        <w:keepNext/>
        <w:spacing w:before="300" w:after="160"/>
      </w:pPr>
      <w:r>
        <w:rPr>
          <w:rFonts w:ascii="黑体" w:hAnsi="黑体" w:eastAsia="黑体"/>
          <w:b/>
          <w:color w:val="144A4A"/>
          <w:sz w:val="32"/>
        </w:rPr>
        <w:t>2. 实施范围、目标与边界</w:t>
      </w:r>
    </w:p>
    <w:p>
      <w:pPr>
        <w:keepNext/>
        <w:spacing w:before="200" w:after="100"/>
      </w:pPr>
      <w:r>
        <w:rPr>
          <w:rFonts w:ascii="黑体" w:hAnsi="黑体" w:eastAsia="黑体"/>
          <w:b/>
          <w:color w:val="195E5E"/>
          <w:sz w:val="25"/>
        </w:rPr>
        <w:t>2.1 试点范围</w:t>
      </w:r>
    </w:p>
    <w:p>
      <w:pPr>
        <w:pStyle w:val="ListBullet"/>
        <w:spacing w:after="60" w:line="288" w:lineRule="auto"/>
      </w:pPr>
      <w:r>
        <w:rPr>
          <w:rFonts w:ascii="宋体" w:hAnsi="宋体" w:eastAsia="宋体"/>
          <w:b w:val="0"/>
          <w:sz w:val="21"/>
        </w:rPr>
        <w:t>仅覆盖 Steven 的标书/书面报价单、采购比价与消耗品库存；不扩展至其他岗位或全校 ERP。</w:t>
      </w:r>
    </w:p>
    <w:p>
      <w:pPr>
        <w:pStyle w:val="ListBullet"/>
        <w:spacing w:after="60" w:line="288" w:lineRule="auto"/>
      </w:pPr>
      <w:r>
        <w:rPr>
          <w:rFonts w:ascii="宋体" w:hAnsi="宋体" w:eastAsia="宋体"/>
          <w:b w:val="0"/>
          <w:sz w:val="21"/>
        </w:rPr>
        <w:t>系统以模板、表单、规则校验和人工复核为主；AI 仅可辅助获批准字段的草稿润色或异常说明，并应可关闭。</w:t>
      </w:r>
    </w:p>
    <w:p>
      <w:pPr>
        <w:pStyle w:val="ListBullet"/>
        <w:spacing w:after="60" w:line="288" w:lineRule="auto"/>
      </w:pPr>
      <w:r>
        <w:rPr>
          <w:rFonts w:ascii="宋体" w:hAnsi="宋体" w:eastAsia="宋体"/>
          <w:b w:val="0"/>
          <w:sz w:val="21"/>
        </w:rPr>
        <w:t>供应商开放网络搜索、报价单 OCR、条码扫码、语音盘点、线上邮件发送均列为 Phase 2，不阻塞 MVP 验收。</w:t>
      </w:r>
    </w:p>
    <w:p>
      <w:pPr>
        <w:pStyle w:val="ListBullet"/>
        <w:spacing w:after="60" w:line="288" w:lineRule="auto"/>
      </w:pPr>
      <w:r>
        <w:rPr>
          <w:rFonts w:ascii="宋体" w:hAnsi="宋体" w:eastAsia="宋体"/>
          <w:b w:val="0"/>
          <w:sz w:val="21"/>
        </w:rPr>
        <w:t>系统不得自动选供应商、自动审批、自动下单、自动发信或自动确认库存实盘。</w:t>
      </w:r>
    </w:p>
    <w:p>
      <w:pPr>
        <w:keepNext/>
        <w:spacing w:before="200" w:after="100"/>
      </w:pPr>
      <w:r>
        <w:rPr>
          <w:rFonts w:ascii="黑体" w:hAnsi="黑体" w:eastAsia="黑体"/>
          <w:b/>
          <w:color w:val="195E5E"/>
          <w:sz w:val="25"/>
        </w:rPr>
        <w:t>2.2 试点验收口径</w:t>
      </w:r>
    </w:p>
    <w:p>
      <w:pPr>
        <w:pStyle w:val="ListBullet"/>
        <w:spacing w:after="60" w:line="288" w:lineRule="auto"/>
      </w:pPr>
      <w:r>
        <w:rPr>
          <w:rFonts w:ascii="宋体" w:hAnsi="宋体" w:eastAsia="宋体"/>
          <w:b w:val="0"/>
          <w:sz w:val="21"/>
        </w:rPr>
        <w:t>三类脱敏真实样本端到端跑通，Word 和 Excel 输出可正常打开及继续编辑。</w:t>
      </w:r>
    </w:p>
    <w:p>
      <w:pPr>
        <w:pStyle w:val="ListBullet"/>
        <w:spacing w:after="60" w:line="288" w:lineRule="auto"/>
      </w:pPr>
      <w:r>
        <w:rPr>
          <w:rFonts w:ascii="宋体" w:hAnsi="宋体" w:eastAsia="宋体"/>
          <w:b w:val="0"/>
          <w:sz w:val="21"/>
        </w:rPr>
        <w:t>采购比价至少支持 3 家供应商与 5 个品项，数量、单价、税费、运费、总价及排序规则正确。</w:t>
      </w:r>
    </w:p>
    <w:p>
      <w:pPr>
        <w:pStyle w:val="ListBullet"/>
        <w:spacing w:after="60" w:line="288" w:lineRule="auto"/>
      </w:pPr>
      <w:r>
        <w:rPr>
          <w:rFonts w:ascii="宋体" w:hAnsi="宋体" w:eastAsia="宋体"/>
          <w:b w:val="0"/>
          <w:sz w:val="21"/>
        </w:rPr>
        <w:t>库存至少导入 20 个品项，低库存、重复 SKU 与负数异常处理正确。</w:t>
      </w:r>
    </w:p>
    <w:p>
      <w:pPr>
        <w:pStyle w:val="ListBullet"/>
        <w:spacing w:after="60" w:line="288" w:lineRule="auto"/>
      </w:pPr>
      <w:r>
        <w:rPr>
          <w:rFonts w:ascii="宋体" w:hAnsi="宋体" w:eastAsia="宋体"/>
          <w:b w:val="0"/>
          <w:sz w:val="21"/>
        </w:rPr>
        <w:t>每次导出保存任务编号、操作人、操作时间、输入/输出版本；正式版本不覆盖草稿版本。</w:t>
      </w:r>
    </w:p>
    <w:p>
      <w:pPr>
        <w:pStyle w:val="ListBullet"/>
        <w:spacing w:after="60" w:line="288" w:lineRule="auto"/>
      </w:pPr>
      <w:r>
        <w:rPr>
          <w:rFonts w:ascii="宋体" w:hAnsi="宋体" w:eastAsia="宋体"/>
          <w:b w:val="0"/>
          <w:sz w:val="21"/>
        </w:rPr>
        <w:t>Steven 依照一页操作卡独立完成三类业务各一次，无需编写 AI 指令。</w:t>
      </w:r>
    </w:p>
    <w:p>
      <w:pPr>
        <w:keepNext/>
        <w:spacing w:before="300" w:after="160"/>
      </w:pPr>
      <w:r>
        <w:rPr>
          <w:rFonts w:ascii="黑体" w:hAnsi="黑体" w:eastAsia="黑体"/>
          <w:b/>
          <w:color w:val="144A4A"/>
          <w:sz w:val="32"/>
        </w:rPr>
        <w:t>3. 现状问题与整合策略</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130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业务</w:t>
            </w:r>
          </w:p>
        </w:tc>
        <w:tc>
          <w:tcPr>
            <w:tcW w:type="dxa" w:w="238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现状痛点</w:t>
            </w:r>
          </w:p>
        </w:tc>
        <w:tc>
          <w:tcPr>
            <w:tcW w:type="dxa" w:w="306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MVP 改善方式</w:t>
            </w:r>
          </w:p>
        </w:tc>
        <w:tc>
          <w:tcPr>
            <w:tcW w:type="dxa" w:w="215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边界</w:t>
            </w:r>
          </w:p>
        </w:tc>
      </w:tr>
      <w:tr>
        <w:tc>
          <w:tcPr>
            <w:tcW w:type="dxa" w:w="130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标书/报价单</w:t>
            </w:r>
          </w:p>
        </w:tc>
        <w:tc>
          <w:tcPr>
            <w:tcW w:type="dxa" w:w="238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模板难找、格式漂移、版本不可追溯</w:t>
            </w:r>
          </w:p>
        </w:tc>
        <w:tc>
          <w:tcPr>
            <w:tcW w:type="dxa" w:w="306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模板库、字段表单、变量校验、Word 草稿与版本记录</w:t>
            </w:r>
          </w:p>
        </w:tc>
        <w:tc>
          <w:tcPr>
            <w:tcW w:type="dxa" w:w="215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正式文书必须审批</w:t>
            </w:r>
          </w:p>
        </w:tc>
      </w:tr>
      <w:tr>
        <w:tc>
          <w:tcPr>
            <w:tcW w:type="dxa" w:w="130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采购比价</w:t>
            </w:r>
          </w:p>
        </w:tc>
        <w:tc>
          <w:tcPr>
            <w:tcW w:type="dxa" w:w="238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报价整理和计算易漏项、历史表格难比较</w:t>
            </w:r>
          </w:p>
        </w:tc>
        <w:tc>
          <w:tcPr>
            <w:tcW w:type="dxa" w:w="306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表单/Excel 导入，税费/运费/有效期/排序自动计算</w:t>
            </w:r>
          </w:p>
        </w:tc>
        <w:tc>
          <w:tcPr>
            <w:tcW w:type="dxa" w:w="215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不自动选择供应商</w:t>
            </w:r>
          </w:p>
        </w:tc>
      </w:tr>
      <w:tr>
        <w:tc>
          <w:tcPr>
            <w:tcW w:type="dxa" w:w="130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消耗品库存</w:t>
            </w:r>
          </w:p>
        </w:tc>
        <w:tc>
          <w:tcPr>
            <w:tcW w:type="dxa" w:w="238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盘点录入慢，低库存识别依赖人工</w:t>
            </w:r>
          </w:p>
        </w:tc>
        <w:tc>
          <w:tcPr>
            <w:tcW w:type="dxa" w:w="306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网页/Excel 导入、阈值预警、补货建议</w:t>
            </w:r>
          </w:p>
        </w:tc>
        <w:tc>
          <w:tcPr>
            <w:tcW w:type="dxa" w:w="215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实盘以现场确认结果为准</w:t>
            </w:r>
          </w:p>
        </w:tc>
      </w:tr>
    </w:tbl>
    <w:p>
      <w:pPr>
        <w:spacing w:after="20"/>
      </w:pPr>
    </w:p>
    <w:p>
      <w:pPr>
        <w:keepNext/>
        <w:spacing w:before="200" w:after="100"/>
      </w:pPr>
      <w:r>
        <w:rPr>
          <w:rFonts w:ascii="黑体" w:hAnsi="黑体" w:eastAsia="黑体"/>
          <w:b/>
          <w:color w:val="195E5E"/>
          <w:sz w:val="25"/>
        </w:rPr>
        <w:t>3.1 两版方案的整合取舍</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19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主题</w:t>
            </w:r>
          </w:p>
        </w:tc>
        <w:tc>
          <w:tcPr>
            <w:tcW w:type="dxa" w:w="402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整合保留</w:t>
            </w:r>
          </w:p>
        </w:tc>
        <w:tc>
          <w:tcPr>
            <w:tcW w:type="dxa" w:w="368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本次修正</w:t>
            </w:r>
          </w:p>
        </w:tc>
      </w:tr>
      <w:tr>
        <w:tc>
          <w:tcPr>
            <w:tcW w:type="dxa" w:w="119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文书模板</w:t>
            </w:r>
          </w:p>
        </w:tc>
        <w:tc>
          <w:tcPr>
            <w:tcW w:type="dxa" w:w="402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保留 v1 的模板上传、变量识别、预览与 Word 生成思路；加入字段字典和残留变量阻断</w:t>
            </w:r>
          </w:p>
        </w:tc>
        <w:tc>
          <w:tcPr>
            <w:tcW w:type="dxa" w:w="368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优先保证现有 Word 范本保真，不承诺首期完成复杂富文本编辑器</w:t>
            </w:r>
          </w:p>
        </w:tc>
      </w:tr>
      <w:tr>
        <w:tc>
          <w:tcPr>
            <w:tcW w:type="dxa" w:w="119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采购</w:t>
            </w:r>
          </w:p>
        </w:tc>
        <w:tc>
          <w:tcPr>
            <w:tcW w:type="dxa" w:w="402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保留供应商目录作为辅助；以 v2 的采购比价 Excel 闭环为核心</w:t>
            </w:r>
          </w:p>
        </w:tc>
        <w:tc>
          <w:tcPr>
            <w:tcW w:type="dxa" w:w="368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不将开放式网络搜索作为首期能力，不允许 AI 自动中选</w:t>
            </w:r>
          </w:p>
        </w:tc>
      </w:tr>
      <w:tr>
        <w:tc>
          <w:tcPr>
            <w:tcW w:type="dxa" w:w="119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w:t>
            </w:r>
          </w:p>
        </w:tc>
        <w:tc>
          <w:tcPr>
            <w:tcW w:type="dxa" w:w="402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保留低库存提示与补货计算；加入 SKU、盘点历史、批量导入和负数校验</w:t>
            </w:r>
          </w:p>
        </w:tc>
        <w:tc>
          <w:tcPr>
            <w:tcW w:type="dxa" w:w="368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语音和扫码延后</w:t>
            </w:r>
          </w:p>
        </w:tc>
      </w:tr>
      <w:tr>
        <w:tc>
          <w:tcPr>
            <w:tcW w:type="dxa" w:w="119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部署</w:t>
            </w:r>
          </w:p>
        </w:tc>
        <w:tc>
          <w:tcPr>
            <w:tcW w:type="dxa" w:w="402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保留 FastAPI、文档生成、容器化与可测试接口经验</w:t>
            </w:r>
          </w:p>
        </w:tc>
        <w:tc>
          <w:tcPr>
            <w:tcW w:type="dxa" w:w="368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最终遵守平台统一架构；不将未验证云端部署写成既成事实</w:t>
            </w:r>
          </w:p>
        </w:tc>
      </w:tr>
    </w:tbl>
    <w:p>
      <w:pPr>
        <w:spacing w:after="20"/>
      </w:pPr>
    </w:p>
    <w:p>
      <w:pPr>
        <w:keepNext/>
        <w:spacing w:before="300" w:after="160"/>
      </w:pPr>
      <w:r>
        <w:rPr>
          <w:rFonts w:ascii="黑体" w:hAnsi="黑体" w:eastAsia="黑体"/>
          <w:b/>
          <w:color w:val="144A4A"/>
          <w:sz w:val="32"/>
        </w:rPr>
        <w:t>4. MVP 总体架构与数据治理</w:t>
      </w:r>
    </w:p>
    <w:p>
      <w:pPr>
        <w:spacing w:before="0" w:after="120" w:line="324" w:lineRule="auto"/>
        <w:ind w:firstLine="420"/>
      </w:pPr>
      <w:r>
        <w:rPr>
          <w:rFonts w:ascii="宋体" w:hAnsi="宋体" w:eastAsia="宋体"/>
          <w:b w:val="0"/>
          <w:sz w:val="22"/>
        </w:rPr>
        <w:t>Steven 不是孤立单岗应用，而是统一平台中的受权限隔离子系统：前端使用 Next.js + TypeScript；后端明确采用 Python 3.11，使用 FastAPI 作为 Python Web 服务框架；生产数据使用 PostgreSQL；异步任务在 Celery + Redis 或 RQ + Redis 中择一实现，禁止两套并存。部署上遵循“本地优先、规则优先、AI 可选”：模板、原始附件和导出文件通过平台文件服务保存于校方受控存储，数据库记录任务、版本、审批、通知和审计元数据。</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1417"/>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层次</w:t>
            </w:r>
          </w:p>
        </w:tc>
        <w:tc>
          <w:tcPr>
            <w:tcW w:type="dxa" w:w="243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推荐组成</w:t>
            </w:r>
          </w:p>
        </w:tc>
        <w:tc>
          <w:tcPr>
            <w:tcW w:type="dxa" w:w="272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职责</w:t>
            </w:r>
          </w:p>
        </w:tc>
        <w:tc>
          <w:tcPr>
            <w:tcW w:type="dxa" w:w="232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实施原则</w:t>
            </w:r>
          </w:p>
        </w:tc>
      </w:tr>
      <w:tr>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前端</w:t>
            </w:r>
          </w:p>
        </w:tc>
        <w:tc>
          <w:tcPr>
            <w:tcW w:type="dxa" w:w="243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Next.js + TypeScript + 统一组件库</w:t>
            </w:r>
          </w:p>
        </w:tc>
        <w:tc>
          <w:tcPr>
            <w:tcW w:type="dxa" w:w="272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表单、列表、导入、下载、审批状态</w:t>
            </w:r>
          </w:p>
        </w:tc>
        <w:tc>
          <w:tcPr>
            <w:tcW w:type="dxa" w:w="232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 仅见本人授权模块</w:t>
            </w:r>
          </w:p>
        </w:tc>
      </w:tr>
      <w:tr>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业务服务</w:t>
            </w:r>
          </w:p>
        </w:tc>
        <w:tc>
          <w:tcPr>
            <w:tcW w:type="dxa" w:w="243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Python 3.11 + FastAPI</w:t>
            </w:r>
          </w:p>
        </w:tc>
        <w:tc>
          <w:tcPr>
            <w:tcW w:type="dxa" w:w="272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权限、校验、任务编排、审计</w:t>
            </w:r>
          </w:p>
        </w:tc>
        <w:tc>
          <w:tcPr>
            <w:tcW w:type="dxa" w:w="232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FastAPI 是 Python 框架；保持 REST 接口，便于联调</w:t>
            </w:r>
          </w:p>
        </w:tc>
      </w:tr>
      <w:tr>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文档服务</w:t>
            </w:r>
          </w:p>
        </w:tc>
        <w:tc>
          <w:tcPr>
            <w:tcW w:type="dxa" w:w="243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Python：docxtpl / python-docx / openpyxl</w:t>
            </w:r>
          </w:p>
        </w:tc>
        <w:tc>
          <w:tcPr>
            <w:tcW w:type="dxa" w:w="272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Word 模板填充、Excel 计算与导出</w:t>
            </w:r>
          </w:p>
        </w:tc>
        <w:tc>
          <w:tcPr>
            <w:tcW w:type="dxa" w:w="232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避免不可控 Office 自动化</w:t>
            </w:r>
          </w:p>
        </w:tc>
      </w:tr>
      <w:tr>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异步任务</w:t>
            </w:r>
          </w:p>
        </w:tc>
        <w:tc>
          <w:tcPr>
            <w:tcW w:type="dxa" w:w="243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Celery + Redis 或 RQ + Redis</w:t>
            </w:r>
          </w:p>
        </w:tc>
        <w:tc>
          <w:tcPr>
            <w:tcW w:type="dxa" w:w="272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导出、批量导入校验、未来 AI/OCR</w:t>
            </w:r>
          </w:p>
        </w:tc>
        <w:tc>
          <w:tcPr>
            <w:tcW w:type="dxa" w:w="232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统一任务状态，不启用两套队列</w:t>
            </w:r>
          </w:p>
        </w:tc>
      </w:tr>
      <w:tr>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数据与文件</w:t>
            </w:r>
          </w:p>
        </w:tc>
        <w:tc>
          <w:tcPr>
            <w:tcW w:type="dxa" w:w="243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PostgreSQL + files 存储 Adapter</w:t>
            </w:r>
          </w:p>
        </w:tc>
        <w:tc>
          <w:tcPr>
            <w:tcW w:type="dxa" w:w="272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任务、版本、字段、审计、文件元数据</w:t>
            </w:r>
          </w:p>
        </w:tc>
        <w:tc>
          <w:tcPr>
            <w:tcW w:type="dxa" w:w="232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开发可本地受控目录；生产可切 NAS/MinIO/S3；不存绝对路径</w:t>
            </w:r>
          </w:p>
        </w:tc>
      </w:tr>
      <w:tr>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AI 辅助</w:t>
            </w:r>
          </w:p>
        </w:tc>
        <w:tc>
          <w:tcPr>
            <w:tcW w:type="dxa" w:w="243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Python LLM Adapter（默认关闭）</w:t>
            </w:r>
          </w:p>
        </w:tc>
        <w:tc>
          <w:tcPr>
            <w:tcW w:type="dxa" w:w="272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草稿润色、术语一致性、异常说明</w:t>
            </w:r>
          </w:p>
        </w:tc>
        <w:tc>
          <w:tcPr>
            <w:tcW w:type="dxa" w:w="232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不得参与金额、排序、中选、审批或发信</w:t>
            </w:r>
          </w:p>
        </w:tc>
      </w:tr>
    </w:tbl>
    <w:p>
      <w:pPr>
        <w:spacing w:after="20"/>
      </w:pPr>
    </w:p>
    <w:p>
      <w:pPr>
        <w:keepNext/>
        <w:spacing w:before="200" w:after="100"/>
      </w:pPr>
      <w:r>
        <w:rPr>
          <w:rFonts w:ascii="黑体" w:hAnsi="黑体" w:eastAsia="黑体"/>
          <w:b/>
          <w:color w:val="195E5E"/>
          <w:sz w:val="25"/>
        </w:rPr>
        <w:t>4.1 平台共用底座与模块自治</w:t>
      </w:r>
    </w:p>
    <w:p>
      <w:pPr>
        <w:spacing w:before="0" w:after="120" w:line="324" w:lineRule="auto"/>
        <w:ind w:firstLine="420"/>
      </w:pPr>
      <w:r>
        <w:rPr>
          <w:rFonts w:ascii="宋体" w:hAnsi="宋体" w:eastAsia="宋体"/>
          <w:b w:val="0"/>
          <w:sz w:val="22"/>
        </w:rPr>
        <w:t>Steven 仅实现岗位差异化业务表和页面，但必须接入平台共用的 accounts、files、tasks、approvals、notifications 与 audit 能力。普通用户登录后只显示 Steven 导航；前端按权限隐藏菜单，后端对每个 API 再次按 `steven:资源:动作` 权限格式校验。Steven 不得批准本人提交的任务。</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98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共用能力</w:t>
            </w:r>
          </w:p>
        </w:tc>
        <w:tc>
          <w:tcPr>
            <w:tcW w:type="dxa" w:w="362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Steven 接入方式</w:t>
            </w:r>
          </w:p>
        </w:tc>
        <w:tc>
          <w:tcPr>
            <w:tcW w:type="dxa" w:w="379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最小要求</w:t>
            </w:r>
          </w:p>
        </w:tc>
      </w:tr>
      <w:tr>
        <w:tc>
          <w:tcPr>
            <w:tcW w:type="dxa" w:w="198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accounts / permissions</w:t>
            </w:r>
          </w:p>
        </w:tc>
        <w:tc>
          <w:tcPr>
            <w:tcW w:type="dxa" w:w="36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角色、会话和 API 授权</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 只读写被授权对象；跨角色路由/API 返回拒绝</w:t>
            </w:r>
          </w:p>
        </w:tc>
      </w:tr>
      <w:tr>
        <w:tc>
          <w:tcPr>
            <w:tcW w:type="dxa" w:w="198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files</w:t>
            </w:r>
          </w:p>
        </w:tc>
        <w:tc>
          <w:tcPr>
            <w:tcW w:type="dxa" w:w="36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模板、参考附件、报价附件、导出文件</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关联 files.id；白名单校验；业务表不存绝对路径</w:t>
            </w:r>
          </w:p>
        </w:tc>
      </w:tr>
      <w:tr>
        <w:tc>
          <w:tcPr>
            <w:tcW w:type="dxa" w:w="198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tasks / ai_jobs</w:t>
            </w:r>
          </w:p>
        </w:tc>
        <w:tc>
          <w:tcPr>
            <w:tcW w:type="dxa" w:w="36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导出、批量导入校验、未来 AI/OCR</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统一状态：pending/running/succeeded/failed/needs_review/confirmed</w:t>
            </w:r>
          </w:p>
        </w:tc>
      </w:tr>
      <w:tr>
        <w:tc>
          <w:tcPr>
            <w:tcW w:type="dxa" w:w="198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approvals / notifications</w:t>
            </w:r>
          </w:p>
        </w:tc>
        <w:tc>
          <w:tcPr>
            <w:tcW w:type="dxa" w:w="36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提交、批准、退回和待办提醒</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待审批创建通知；本人不可批准本人</w:t>
            </w:r>
          </w:p>
        </w:tc>
      </w:tr>
      <w:tr>
        <w:tc>
          <w:tcPr>
            <w:tcW w:type="dxa" w:w="198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audit_logs</w:t>
            </w:r>
          </w:p>
        </w:tc>
        <w:tc>
          <w:tcPr>
            <w:tcW w:type="dxa" w:w="36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导出、删除、审批、确认、异常处理</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记录 actor/action/object/timestamp/before_after</w:t>
            </w:r>
          </w:p>
        </w:tc>
      </w:tr>
    </w:tbl>
    <w:p>
      <w:pPr>
        <w:spacing w:after="20"/>
      </w:pPr>
    </w:p>
    <w:p>
      <w:pPr>
        <w:keepNext/>
        <w:spacing w:before="200" w:after="100"/>
      </w:pPr>
      <w:r>
        <w:rPr>
          <w:rFonts w:ascii="黑体" w:hAnsi="黑体" w:eastAsia="黑体"/>
          <w:b/>
          <w:color w:val="195E5E"/>
          <w:sz w:val="25"/>
        </w:rPr>
        <w:t>4.2 数据、安全与合规要求</w:t>
      </w:r>
    </w:p>
    <w:p>
      <w:pPr>
        <w:pStyle w:val="ListBullet"/>
        <w:spacing w:after="60" w:line="288" w:lineRule="auto"/>
      </w:pPr>
      <w:r>
        <w:rPr>
          <w:rFonts w:ascii="宋体" w:hAnsi="宋体" w:eastAsia="宋体"/>
          <w:b w:val="0"/>
          <w:sz w:val="21"/>
        </w:rPr>
        <w:t>最小权限：Steven、审批人、模板管理员、IT/管理员分离；前端隐藏不等于后端授权，接口必须再次校验。</w:t>
      </w:r>
    </w:p>
    <w:p>
      <w:pPr>
        <w:pStyle w:val="ListBullet"/>
        <w:spacing w:after="60" w:line="288" w:lineRule="auto"/>
      </w:pPr>
      <w:r>
        <w:rPr>
          <w:rFonts w:ascii="宋体" w:hAnsi="宋体" w:eastAsia="宋体"/>
          <w:b w:val="0"/>
          <w:sz w:val="21"/>
        </w:rPr>
        <w:t>上传文件通过平台 files 服务：扩展名、MIME、大小白名单检查，服务端重命名并保存至 webroot 外受控目录；开发环境可用本地目录，生产按校方批准切 NAS / MinIO / S3。</w:t>
      </w:r>
    </w:p>
    <w:p>
      <w:pPr>
        <w:pStyle w:val="ListBullet"/>
        <w:spacing w:after="60" w:line="288" w:lineRule="auto"/>
      </w:pPr>
      <w:r>
        <w:rPr>
          <w:rFonts w:ascii="宋体" w:hAnsi="宋体" w:eastAsia="宋体"/>
          <w:b w:val="0"/>
          <w:sz w:val="21"/>
        </w:rPr>
        <w:t>所有原始文件、草稿和正式文件通过 files.id 关联并版本化保存；正式版本不得覆盖；记录文件哈希、相对存储键、操作人、时间与审批结论。未经校方批准，敏感字段、报价附件和个人资料不得发送至外部 LLM/OCR 服务。</w:t>
      </w:r>
    </w:p>
    <w:p>
      <w:pPr>
        <w:keepNext/>
        <w:spacing w:before="200" w:after="100"/>
      </w:pPr>
      <w:r>
        <w:rPr>
          <w:rFonts w:ascii="黑体" w:hAnsi="黑体" w:eastAsia="黑体"/>
          <w:b/>
          <w:color w:val="195E5E"/>
          <w:sz w:val="25"/>
        </w:rPr>
        <w:t>4.3 不可自动化决策与任务状态红线</w:t>
      </w:r>
    </w:p>
    <w:p>
      <w:pPr>
        <w:pStyle w:val="ListBullet"/>
        <w:spacing w:after="60" w:line="288" w:lineRule="auto"/>
      </w:pPr>
      <w:r>
        <w:rPr>
          <w:rFonts w:ascii="宋体" w:hAnsi="宋体" w:eastAsia="宋体"/>
          <w:b w:val="0"/>
          <w:sz w:val="21"/>
        </w:rPr>
        <w:t>系统、规则或 AI 均不得自动选供应商、不得自动审批、不得自动下单、不得自动发送邮件、不得自动确认库存实盘；所有此类动作必须由具有相应权限的人工完成并留下审计记录。</w:t>
      </w:r>
    </w:p>
    <w:p>
      <w:pPr>
        <w:pStyle w:val="ListBullet"/>
        <w:spacing w:after="60" w:line="288" w:lineRule="auto"/>
      </w:pPr>
      <w:r>
        <w:rPr>
          <w:rFonts w:ascii="宋体" w:hAnsi="宋体" w:eastAsia="宋体"/>
          <w:b w:val="0"/>
          <w:sz w:val="21"/>
        </w:rPr>
        <w:t>异步任务仅选用 Celery + Redis 或 RQ + Redis 一套实现，禁止两套并存；统一状态为 pending/running/succeeded/failed/needs_review/confirmed。</w:t>
      </w:r>
    </w:p>
    <w:p>
      <w:pPr>
        <w:pStyle w:val="ListBullet"/>
        <w:spacing w:after="60" w:line="288" w:lineRule="auto"/>
      </w:pPr>
      <w:r>
        <w:rPr>
          <w:rFonts w:ascii="宋体" w:hAnsi="宋体" w:eastAsia="宋体"/>
          <w:b w:val="0"/>
          <w:sz w:val="21"/>
        </w:rPr>
        <w:t>MVP 默认关闭 AI/OCR。未来启用时，AI/OCR 结果固定包含 fields、confidence、warnings、raw_text，并先进入 needs_review 后由人工确认。</w:t>
      </w:r>
    </w:p>
    <w:p>
      <w:pPr>
        <w:keepNext/>
        <w:spacing w:before="300" w:after="160"/>
      </w:pPr>
      <w:r>
        <w:rPr>
          <w:rFonts w:ascii="黑体" w:hAnsi="黑体" w:eastAsia="黑体"/>
          <w:b/>
          <w:color w:val="144A4A"/>
          <w:sz w:val="32"/>
        </w:rPr>
        <w:t>5. 三项功能详细设计</w:t>
      </w:r>
    </w:p>
    <w:p>
      <w:pPr>
        <w:keepNext/>
        <w:spacing w:before="200" w:after="100"/>
      </w:pPr>
      <w:r>
        <w:rPr>
          <w:rFonts w:ascii="黑体" w:hAnsi="黑体" w:eastAsia="黑体"/>
          <w:b/>
          <w:color w:val="195E5E"/>
          <w:sz w:val="25"/>
        </w:rPr>
        <w:t>5.1 S1 标书/书面报价单</w:t>
      </w:r>
    </w:p>
    <w:p>
      <w:pPr>
        <w:spacing w:before="0" w:after="120" w:line="324" w:lineRule="auto"/>
        <w:ind w:firstLine="420"/>
      </w:pPr>
      <w:r>
        <w:rPr>
          <w:rFonts w:ascii="宋体" w:hAnsi="宋体" w:eastAsia="宋体"/>
          <w:b w:val="0"/>
          <w:sz w:val="22"/>
        </w:rPr>
        <w:t>流程：选择已启用模板 → 填写事项、预算、日期、地点、供应商与条款 → 校验 → 生成 Draft v1 Word → 人工复核与修改 → 提交审批 → 批准后正式导出。</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04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字段/能力</w:t>
            </w:r>
          </w:p>
        </w:tc>
        <w:tc>
          <w:tcPr>
            <w:tcW w:type="dxa" w:w="385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规则</w:t>
            </w:r>
          </w:p>
        </w:tc>
        <w:tc>
          <w:tcPr>
            <w:tcW w:type="dxa" w:w="300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异常处理</w:t>
            </w:r>
          </w:p>
        </w:tc>
      </w:tr>
      <w:tr>
        <w:tc>
          <w:tcPr>
            <w:tcW w:type="dxa" w:w="204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模板与变量</w:t>
            </w:r>
          </w:p>
        </w:tc>
        <w:tc>
          <w:tcPr>
            <w:tcW w:type="dxa" w:w="385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仅使用已启用模板；变量有字段字典、必填标识与示例</w:t>
            </w:r>
          </w:p>
        </w:tc>
        <w:tc>
          <w:tcPr>
            <w:tcW w:type="dxa" w:w="300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检测到未替换 {{...}} 变量时标记草稿异常</w:t>
            </w:r>
          </w:p>
        </w:tc>
      </w:tr>
      <w:tr>
        <w:tc>
          <w:tcPr>
            <w:tcW w:type="dxa" w:w="204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截止日期</w:t>
            </w:r>
          </w:p>
        </w:tc>
        <w:tc>
          <w:tcPr>
            <w:tcW w:type="dxa" w:w="385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截止日期不得早于生成日加 3 天</w:t>
            </w:r>
          </w:p>
        </w:tc>
        <w:tc>
          <w:tcPr>
            <w:tcW w:type="dxa" w:w="300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阻止提交并定位字段</w:t>
            </w:r>
          </w:p>
        </w:tc>
      </w:tr>
      <w:tr>
        <w:tc>
          <w:tcPr>
            <w:tcW w:type="dxa" w:w="204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预算范围</w:t>
            </w:r>
          </w:p>
        </w:tc>
        <w:tc>
          <w:tcPr>
            <w:tcW w:type="dxa" w:w="385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非负；下限不得大于上限</w:t>
            </w:r>
          </w:p>
        </w:tc>
        <w:tc>
          <w:tcPr>
            <w:tcW w:type="dxa" w:w="300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阻止提交</w:t>
            </w:r>
          </w:p>
        </w:tc>
      </w:tr>
      <w:tr>
        <w:tc>
          <w:tcPr>
            <w:tcW w:type="dxa" w:w="204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供应商列表</w:t>
            </w:r>
          </w:p>
        </w:tc>
        <w:tc>
          <w:tcPr>
            <w:tcW w:type="dxa" w:w="385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至少 1 家；名称去重</w:t>
            </w:r>
          </w:p>
        </w:tc>
        <w:tc>
          <w:tcPr>
            <w:tcW w:type="dxa" w:w="300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提示重复/缺失</w:t>
            </w:r>
          </w:p>
        </w:tc>
      </w:tr>
      <w:tr>
        <w:tc>
          <w:tcPr>
            <w:tcW w:type="dxa" w:w="204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版本与导出</w:t>
            </w:r>
          </w:p>
        </w:tc>
        <w:tc>
          <w:tcPr>
            <w:tcW w:type="dxa" w:w="385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每次导出新建版本</w:t>
            </w:r>
          </w:p>
        </w:tc>
        <w:tc>
          <w:tcPr>
            <w:tcW w:type="dxa" w:w="300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未审批仅允许导出草稿</w:t>
            </w:r>
          </w:p>
        </w:tc>
      </w:tr>
    </w:tbl>
    <w:p>
      <w:pPr>
        <w:spacing w:after="20"/>
      </w:pPr>
    </w:p>
    <w:p>
      <w:pPr>
        <w:keepNext/>
        <w:spacing w:before="200" w:after="100"/>
      </w:pPr>
      <w:r>
        <w:rPr>
          <w:rFonts w:ascii="黑体" w:hAnsi="黑体" w:eastAsia="黑体"/>
          <w:b/>
          <w:color w:val="195E5E"/>
          <w:sz w:val="25"/>
        </w:rPr>
        <w:t>5.2 S2 采购比价</w:t>
      </w:r>
    </w:p>
    <w:p>
      <w:pPr>
        <w:spacing w:before="0" w:after="120" w:line="324" w:lineRule="auto"/>
        <w:ind w:firstLine="420"/>
      </w:pPr>
      <w:r>
        <w:rPr>
          <w:rFonts w:ascii="宋体" w:hAnsi="宋体" w:eastAsia="宋体"/>
          <w:b w:val="0"/>
          <w:sz w:val="22"/>
        </w:rPr>
        <w:t>流程：新建采购事项 → 手工录入或导入标准 Excel → 系统计算与异常检测 → 人工填写推荐供应商与理由 → 审批 → 导出可编辑 Excel。供应商目录仅用于录入与检索辅助。</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81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列</w:t>
            </w:r>
          </w:p>
        </w:tc>
        <w:tc>
          <w:tcPr>
            <w:tcW w:type="dxa" w:w="379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规则/公式</w:t>
            </w:r>
          </w:p>
        </w:tc>
        <w:tc>
          <w:tcPr>
            <w:tcW w:type="dxa" w:w="328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控制</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数量、单价</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数量 &gt; 0；单价 ≥ 0</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异常不得保存</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行总价</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数量 × 单价</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系统计算，不允许手工改写</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运费/税费</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可为 0，不得为负；币种一致才计算</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币种不一致时阻止比较</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含税总价</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行总价 + 运费 + 税费</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作为排序口径</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推荐供应商</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默认空白</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非最低价必须填理由和审批意见</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人工决定红线</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系统不自动选供应商</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任何推荐均须由人工提交审批</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报价有效期</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结构化日期字段</w:t>
            </w:r>
          </w:p>
        </w:tc>
        <w:tc>
          <w:tcPr>
            <w:tcW w:type="dxa" w:w="328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已过期显示醒目异常</w:t>
            </w:r>
          </w:p>
        </w:tc>
      </w:tr>
    </w:tbl>
    <w:p>
      <w:pPr>
        <w:spacing w:after="20"/>
      </w:pPr>
    </w:p>
    <w:p>
      <w:pPr>
        <w:keepNext/>
        <w:spacing w:before="200" w:after="100"/>
      </w:pPr>
      <w:r>
        <w:rPr>
          <w:rFonts w:ascii="黑体" w:hAnsi="黑体" w:eastAsia="黑体"/>
          <w:b/>
          <w:color w:val="195E5E"/>
          <w:sz w:val="25"/>
        </w:rPr>
        <w:t>5.3 S3 消耗品库存</w:t>
      </w:r>
    </w:p>
    <w:p>
      <w:pPr>
        <w:spacing w:before="0" w:after="120" w:line="324" w:lineRule="auto"/>
        <w:ind w:firstLine="420"/>
      </w:pPr>
      <w:r>
        <w:rPr>
          <w:rFonts w:ascii="宋体" w:hAnsi="宋体" w:eastAsia="宋体"/>
          <w:b w:val="0"/>
          <w:sz w:val="22"/>
        </w:rPr>
        <w:t>首期支持网页表单与标准 Excel 批量导入。系统以 SKU、账面量、本次盘点量、安全库存和目标库存生成差异与建议订货量；现场盘点与最终订货由人工确认。</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92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字段</w:t>
            </w:r>
          </w:p>
        </w:tc>
        <w:tc>
          <w:tcPr>
            <w:tcW w:type="dxa" w:w="351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规则</w:t>
            </w:r>
          </w:p>
        </w:tc>
        <w:tc>
          <w:tcPr>
            <w:tcW w:type="dxa" w:w="345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输出影响</w:t>
            </w:r>
          </w:p>
        </w:tc>
      </w:tr>
      <w:tr>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SKU/品项编码</w:t>
            </w:r>
          </w:p>
        </w:tc>
        <w:tc>
          <w:tcPr>
            <w:tcW w:type="dxa" w:w="351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唯一；无编码时可由系统生成</w:t>
            </w:r>
          </w:p>
        </w:tc>
        <w:tc>
          <w:tcPr>
            <w:tcW w:type="dxa" w:w="345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防止同名混淆</w:t>
            </w:r>
          </w:p>
        </w:tc>
      </w:tr>
      <w:tr>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本次盘点量</w:t>
            </w:r>
          </w:p>
        </w:tc>
        <w:tc>
          <w:tcPr>
            <w:tcW w:type="dxa" w:w="351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非负整数</w:t>
            </w:r>
          </w:p>
        </w:tc>
        <w:tc>
          <w:tcPr>
            <w:tcW w:type="dxa" w:w="345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生成盘点差异</w:t>
            </w:r>
          </w:p>
        </w:tc>
      </w:tr>
      <w:tr>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安全库存</w:t>
            </w:r>
          </w:p>
        </w:tc>
        <w:tc>
          <w:tcPr>
            <w:tcW w:type="dxa" w:w="351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非负整数</w:t>
            </w:r>
          </w:p>
        </w:tc>
        <w:tc>
          <w:tcPr>
            <w:tcW w:type="dxa" w:w="345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低于阈值时标红</w:t>
            </w:r>
          </w:p>
        </w:tc>
      </w:tr>
      <w:tr>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目标库存</w:t>
            </w:r>
          </w:p>
        </w:tc>
        <w:tc>
          <w:tcPr>
            <w:tcW w:type="dxa" w:w="351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不得低于安全库存</w:t>
            </w:r>
          </w:p>
        </w:tc>
        <w:tc>
          <w:tcPr>
            <w:tcW w:type="dxa" w:w="345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确定建议补货量</w:t>
            </w:r>
          </w:p>
        </w:tc>
      </w:tr>
      <w:tr>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建议订货量</w:t>
            </w:r>
          </w:p>
        </w:tc>
        <w:tc>
          <w:tcPr>
            <w:tcW w:type="dxa" w:w="351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max(0, 目标库存 - 本次盘点量)</w:t>
            </w:r>
          </w:p>
        </w:tc>
        <w:tc>
          <w:tcPr>
            <w:tcW w:type="dxa" w:w="345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仅作为人工确认建议，不得自动确认库存实盘</w:t>
            </w:r>
          </w:p>
        </w:tc>
      </w:tr>
    </w:tbl>
    <w:p>
      <w:pPr>
        <w:spacing w:after="20"/>
      </w:pPr>
    </w:p>
    <w:p>
      <w:pPr>
        <w:keepNext/>
        <w:spacing w:before="300" w:after="160"/>
      </w:pPr>
      <w:r>
        <w:rPr>
          <w:rFonts w:ascii="黑体" w:hAnsi="黑体" w:eastAsia="黑体"/>
          <w:b/>
          <w:color w:val="144A4A"/>
          <w:sz w:val="32"/>
        </w:rPr>
        <w:t>6. 页面与交互设计原则</w:t>
      </w:r>
    </w:p>
    <w:p>
      <w:pPr>
        <w:spacing w:before="0" w:after="120" w:line="324" w:lineRule="auto"/>
        <w:ind w:firstLine="420"/>
      </w:pPr>
      <w:r>
        <w:rPr>
          <w:rFonts w:ascii="宋体" w:hAnsi="宋体" w:eastAsia="宋体"/>
          <w:b w:val="0"/>
          <w:sz w:val="22"/>
        </w:rPr>
        <w:t>页面吸收参考 HTML 的行政工作台信息架构，但不复刻 Tommy 的文件归档业务。Steven 首屏的目标是帮助用户在一个视口内判断最优先任务并直接进入处理。</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26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页面</w:t>
            </w:r>
          </w:p>
        </w:tc>
        <w:tc>
          <w:tcPr>
            <w:tcW w:type="dxa" w:w="5783"/>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核心内容</w:t>
            </w:r>
          </w:p>
        </w:tc>
        <w:tc>
          <w:tcPr>
            <w:tcW w:type="dxa" w:w="260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主操作</w:t>
            </w:r>
          </w:p>
        </w:tc>
      </w:tr>
      <w:tr>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/dashboard/steven</w:t>
            </w:r>
          </w:p>
        </w:tc>
        <w:tc>
          <w:tcPr>
            <w:tcW w:type="dxa" w:w="5783"/>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待审批、待补报价、低库存、最近活动和最多 5 项优先待办</w:t>
            </w:r>
          </w:p>
        </w:tc>
        <w:tc>
          <w:tcPr>
            <w:tcW w:type="dxa" w:w="260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新建标书 / 新建比价 / 查看库存</w:t>
            </w:r>
          </w:p>
        </w:tc>
      </w:tr>
      <w:tr>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标书与报价单</w:t>
            </w:r>
          </w:p>
        </w:tc>
        <w:tc>
          <w:tcPr>
            <w:tcW w:type="dxa" w:w="5783"/>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事项列表、状态、版本、截止日期、复核抽屉</w:t>
            </w:r>
          </w:p>
        </w:tc>
        <w:tc>
          <w:tcPr>
            <w:tcW w:type="dxa" w:w="260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新建、生成草稿、提交审批、导出</w:t>
            </w:r>
          </w:p>
        </w:tc>
      </w:tr>
      <w:tr>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采购比价</w:t>
            </w:r>
          </w:p>
        </w:tc>
        <w:tc>
          <w:tcPr>
            <w:tcW w:type="dxa" w:w="5783"/>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采购事项、供应商数、品项数、总价、有效期、推荐状态</w:t>
            </w:r>
          </w:p>
        </w:tc>
        <w:tc>
          <w:tcPr>
            <w:tcW w:type="dxa" w:w="260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导入报价、录入报价、导出</w:t>
            </w:r>
          </w:p>
        </w:tc>
      </w:tr>
      <w:tr>
        <w:tc>
          <w:tcPr>
            <w:tcW w:type="dxa" w:w="226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消耗品库存</w:t>
            </w:r>
          </w:p>
        </w:tc>
        <w:tc>
          <w:tcPr>
            <w:tcW w:type="dxa" w:w="5783"/>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SKU、库位、账面量、盘点量、安全库存、建议订货量</w:t>
            </w:r>
          </w:p>
        </w:tc>
        <w:tc>
          <w:tcPr>
            <w:tcW w:type="dxa" w:w="260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导入盘点、更新、导出</w:t>
            </w:r>
          </w:p>
        </w:tc>
      </w:tr>
    </w:tbl>
    <w:p>
      <w:pPr>
        <w:spacing w:after="20"/>
      </w:pPr>
    </w:p>
    <w:p>
      <w:pPr>
        <w:pStyle w:val="ListBullet"/>
        <w:spacing w:after="60" w:line="288" w:lineRule="auto"/>
      </w:pPr>
      <w:r>
        <w:rPr>
          <w:rFonts w:ascii="宋体" w:hAnsi="宋体" w:eastAsia="宋体"/>
          <w:b w:val="0"/>
          <w:sz w:val="21"/>
        </w:rPr>
        <w:t>主表格只保留 5–7 个核心字段和不超过两个行内动作；筛选、导入、导出、审计和附件详情收进抽屉或弹窗。</w:t>
      </w:r>
    </w:p>
    <w:p>
      <w:pPr>
        <w:pStyle w:val="ListBullet"/>
        <w:spacing w:after="60" w:line="288" w:lineRule="auto"/>
      </w:pPr>
      <w:r>
        <w:rPr>
          <w:rFonts w:ascii="宋体" w:hAnsi="宋体" w:eastAsia="宋体"/>
          <w:b w:val="0"/>
          <w:sz w:val="21"/>
        </w:rPr>
        <w:t>统一使用 PageHeader、StatsCard、DataTable、FilterBar、UploadDropzone、TaskStatusBadge、AiReviewPanel、ConfirmDialog、AuditTimeline、FormSection、EmptyState 或等价共用组件；不得为 Steven 另造不兼容的组件体系。</w:t>
      </w:r>
    </w:p>
    <w:p>
      <w:pPr>
        <w:pStyle w:val="ListBullet"/>
        <w:spacing w:after="60" w:line="288" w:lineRule="auto"/>
      </w:pPr>
      <w:r>
        <w:rPr>
          <w:rFonts w:ascii="宋体" w:hAnsi="宋体" w:eastAsia="宋体"/>
          <w:b w:val="0"/>
          <w:sz w:val="21"/>
        </w:rPr>
        <w:t>统一使用状态 Badge、异常颜色与确认提示；AI/规则复核面板必须展示字段来源、置信度、异常原因与人工确认动作。</w:t>
      </w:r>
    </w:p>
    <w:p>
      <w:pPr>
        <w:pStyle w:val="ListBullet"/>
        <w:spacing w:after="60" w:line="288" w:lineRule="auto"/>
      </w:pPr>
      <w:r>
        <w:rPr>
          <w:rFonts w:ascii="宋体" w:hAnsi="宋体" w:eastAsia="宋体"/>
          <w:b w:val="0"/>
          <w:sz w:val="21"/>
        </w:rPr>
        <w:t>页面顶部统一显示学校名称、当前用户、通知和退出；Steven 侧边栏只显示：总览、标书与报价单、采购比价、消耗品库存、历史记录、个人设置。</w:t>
      </w:r>
    </w:p>
    <w:p>
      <w:pPr>
        <w:pStyle w:val="ListBullet"/>
        <w:spacing w:after="60" w:line="288" w:lineRule="auto"/>
      </w:pPr>
      <w:r>
        <w:rPr>
          <w:rFonts w:ascii="宋体" w:hAnsi="宋体" w:eastAsia="宋体"/>
          <w:b w:val="0"/>
          <w:sz w:val="21"/>
        </w:rPr>
        <w:t>所有列表/页面应具备空状态、加载状态和错误状态；搜索、筛选、排序、分页等能力遵循共用 DataTable 规范。</w:t>
      </w:r>
    </w:p>
    <w:p>
      <w:pPr>
        <w:keepNext/>
        <w:spacing w:before="300" w:after="160"/>
      </w:pPr>
      <w:r>
        <w:rPr>
          <w:rFonts w:ascii="黑体" w:hAnsi="黑体" w:eastAsia="黑体"/>
          <w:b/>
          <w:color w:val="144A4A"/>
          <w:sz w:val="32"/>
        </w:rPr>
        <w:t>7. 数据、接口、文件与权限规范</w:t>
      </w:r>
    </w:p>
    <w:p>
      <w:pPr>
        <w:keepNext/>
        <w:spacing w:before="200" w:after="100"/>
      </w:pPr>
      <w:r>
        <w:rPr>
          <w:rFonts w:ascii="黑体" w:hAnsi="黑体" w:eastAsia="黑体"/>
          <w:b/>
          <w:color w:val="195E5E"/>
          <w:sz w:val="25"/>
        </w:rPr>
        <w:t>7.1 数据库结构与关系原则</w:t>
      </w:r>
    </w:p>
    <w:p>
      <w:pPr>
        <w:spacing w:before="0" w:after="120" w:line="324" w:lineRule="auto"/>
        <w:ind w:firstLine="420"/>
      </w:pPr>
      <w:r>
        <w:rPr>
          <w:rFonts w:ascii="宋体" w:hAnsi="宋体" w:eastAsia="宋体"/>
          <w:b w:val="0"/>
          <w:sz w:val="22"/>
        </w:rPr>
        <w:t>数据库采用 PostgreSQL。Steven 业务表必须与平台共用基础表建立外键或等价引用：users、roles、user_roles、permissions、role_permissions、modules、files、tasks、ai_jobs、approvals、notifications、audit_logs、system_settings。所有业务表包含 id、created_at、updated_at、created_by、updated_by、status；涉及附件、导入或复核的记录按需包含 source_file_id、last_reviewed_by、last_reviewed_at。金额使用定点 decimal/numeric，不使用 float；数量使用整数；日期、时区和币种使用结构化字段。</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757"/>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对象</w:t>
            </w:r>
          </w:p>
        </w:tc>
        <w:tc>
          <w:tcPr>
            <w:tcW w:type="dxa" w:w="3969"/>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最小字段</w:t>
            </w:r>
          </w:p>
        </w:tc>
        <w:tc>
          <w:tcPr>
            <w:tcW w:type="dxa" w:w="379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关键关系/约束</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steven_templates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id、type、version、file_id、fields_json、is_active</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file_id → files；同 type+version 唯一；仅已启用模板可新建任务</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steven_tender_jobs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id、template_id、payload_json、status、source_file_id、last_reviewed_by/at</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template_id → steven_templates；created_by → users；审批/导出版本关联 files、approvals、audit_logs</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steven_quote_jobs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id、subject、currency、valid_until、recommended_supplier_id、status</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created_by → users；推荐与 approvals、notifications、audit_logs 关联</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steven_quote_items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id、quote_job_id、supplier、item、qty、unit_price、tax、freight、line_total、total</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quote_job_id → steven_quote_jobs；qty&gt;0；金额 numeric≥0；同采购项币种一致</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steven_inventory_items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id、sku、name、location、current_qty、safety_qty、target_qty、status</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sku 唯一；数量均为整数且≥0</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steven_inventory_counts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id、inventory_item_id、count_qty、counted_at、source_file_id、reviewed_by</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inventory_item_id → steven_inventory_items；count_qty≥0；保留盘点历史</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files / tasks / approvals / notifications / audit_logs</w:t>
            </w:r>
          </w:p>
        </w:tc>
        <w:tc>
          <w:tcPr>
            <w:tcW w:type="dxa" w:w="396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使用平台共用表</w:t>
            </w:r>
          </w:p>
        </w:tc>
        <w:tc>
          <w:tcPr>
            <w:tcW w:type="dxa" w:w="379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任务、附件、审批、通知与审计不复制造表；按 object_type/object_id 或外键关联 Steven 记录</w:t>
            </w:r>
          </w:p>
        </w:tc>
      </w:tr>
    </w:tbl>
    <w:p>
      <w:pPr>
        <w:spacing w:after="20"/>
      </w:pPr>
    </w:p>
    <w:p>
      <w:pPr>
        <w:keepNext/>
        <w:spacing w:before="200" w:after="100"/>
      </w:pPr>
      <w:r>
        <w:rPr>
          <w:rFonts w:ascii="黑体" w:hAnsi="黑体" w:eastAsia="黑体"/>
          <w:b/>
          <w:color w:val="195E5E"/>
          <w:sz w:val="25"/>
        </w:rPr>
        <w:t>7.2 后端分层、API 合同与文件规范</w:t>
      </w:r>
    </w:p>
    <w:p>
      <w:pPr>
        <w:spacing w:before="0" w:after="120" w:line="324" w:lineRule="auto"/>
        <w:ind w:firstLine="420"/>
      </w:pPr>
      <w:r>
        <w:rPr>
          <w:rFonts w:ascii="宋体" w:hAnsi="宋体" w:eastAsia="宋体"/>
          <w:b w:val="0"/>
          <w:sz w:val="22"/>
        </w:rPr>
        <w:t>Steven 后端按 modules/steven/router.py、schemas.py、models.py、service.py、repository.py、permissions.py、tests/ 分层。Pydantic schema、SQLAlchemy ORM、业务逻辑、数据访问和权限校验不得混写。所有端点使用 `/api/v1/{module}/{resource}`；成功返回 `{data, meta:{request_id}}`，列表返回另含 `{pagination:{page,page_size,total}}`，错误返回 `{error:{code,message,details}, meta:{request_id}}`。</w:t>
      </w:r>
    </w:p>
    <w:p>
      <w:pPr>
        <w:spacing w:before="0" w:after="120" w:line="324" w:lineRule="auto"/>
        <w:ind w:firstLine="420"/>
      </w:pPr>
      <w:r>
        <w:rPr>
          <w:rFonts w:ascii="宋体" w:hAnsi="宋体" w:eastAsia="宋体"/>
          <w:b w:val="0"/>
          <w:sz w:val="22"/>
        </w:rPr>
        <w:t>统一 API 错误格式示例：`{error:{code:"VALIDATION_ERROR", message:"请检查输入内容", details:{}}, meta:{request_id:"req_xxx"}}`。列表响应必须包含 page、page_size、total；任何校验、权限、文件或任务异常均返回结构化错误，不返回不可解析的自然语言错误页。</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419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接口</w:t>
            </w:r>
          </w:p>
        </w:tc>
        <w:tc>
          <w:tcPr>
            <w:tcW w:type="dxa" w:w="1417"/>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方法</w:t>
            </w:r>
          </w:p>
        </w:tc>
        <w:tc>
          <w:tcPr>
            <w:tcW w:type="dxa" w:w="317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用途</w:t>
            </w:r>
          </w:p>
        </w:tc>
        <w:tc>
          <w:tcPr>
            <w:tcW w:type="dxa" w:w="187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权限</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/api/v1/files/upload</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统一受控上传</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按文件权限</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/api/v1/steven/tenders</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GET / 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文书任务列表/创建（列表分页）</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steven:tenders:read/write</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/api/v1/steven/tenders/{id}/generate</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创建 Word 草稿任务</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steven:tenders:write</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/api/v1/steven/tenders/{id}/submit-approval</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提交审批并创建通知</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steven:tenders:submit</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/api/v1/steven/tenders/{id}/export</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审批后创建导出任务</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steven:tenders:export</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/api/v1/steven/quotes</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GET / 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比价列表/创建（列表分页）</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steven:quotes:read/write</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/api/v1/steven/quotes/import</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导入 Excel/CSV 报价任务</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steven:quotes:write</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/api/v1/steven/quotes/{id}/export</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创建比价 Excel 导出任务</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steven:quotes:export</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/api/v1/steven/inventory</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GET / 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库存列表/录入（列表分页）</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steven:inventory:read/write</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/api/v1/steven/inventory/import</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POST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导入库存盘点任务</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steven:inventory:write</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/api/v1/steven/inventory/low-stock</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GET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查询低库存清单</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steven:inventory:read</w:t>
            </w:r>
          </w:p>
        </w:tc>
      </w:tr>
      <w:tr>
        <w:tc>
          <w:tcPr>
            <w:tcW w:type="dxa" w:w="419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/api/v1/audit/logs</w:t>
            </w:r>
          </w:p>
        </w:tc>
        <w:tc>
          <w:tcPr>
            <w:tcW w:type="dxa" w:w="141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GET</w:t>
            </w:r>
          </w:p>
        </w:tc>
        <w:tc>
          <w:tcPr>
            <w:tcW w:type="dxa" w:w="317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审计查询（共用入口）</w:t>
            </w:r>
          </w:p>
        </w:tc>
        <w:tc>
          <w:tcPr>
            <w:tcW w:type="dxa" w:w="187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audit:logs:read（Steven 默认无权）</w:t>
            </w:r>
          </w:p>
        </w:tc>
      </w:tr>
    </w:tbl>
    <w:p>
      <w:pPr>
        <w:spacing w:after="20"/>
      </w:pPr>
    </w:p>
    <w:p>
      <w:pPr>
        <w:pStyle w:val="ListBullet"/>
        <w:spacing w:after="60" w:line="288" w:lineRule="auto"/>
      </w:pPr>
      <w:r>
        <w:rPr>
          <w:rFonts w:ascii="宋体" w:hAnsi="宋体" w:eastAsia="宋体"/>
          <w:b w:val="0"/>
          <w:sz w:val="21"/>
        </w:rPr>
        <w:t>文书命名：YYYYMMDD_文书类型_事项简称_v{版本}.docx。</w:t>
      </w:r>
    </w:p>
    <w:p>
      <w:pPr>
        <w:pStyle w:val="ListBullet"/>
        <w:spacing w:after="60" w:line="288" w:lineRule="auto"/>
      </w:pPr>
      <w:r>
        <w:rPr>
          <w:rFonts w:ascii="宋体" w:hAnsi="宋体" w:eastAsia="宋体"/>
          <w:b w:val="0"/>
          <w:sz w:val="21"/>
        </w:rPr>
        <w:t>比价命名：YYYYMMDD_采购比价_事项简称_v{版本}.xlsx；库存命名：YYYYMMDD_库存盘点_库位_v{版本}.xlsx。</w:t>
      </w:r>
    </w:p>
    <w:p>
      <w:pPr>
        <w:pStyle w:val="ListBullet"/>
        <w:spacing w:after="60" w:line="288" w:lineRule="auto"/>
      </w:pPr>
      <w:r>
        <w:rPr>
          <w:rFonts w:ascii="宋体" w:hAnsi="宋体" w:eastAsia="宋体"/>
          <w:b w:val="0"/>
          <w:sz w:val="21"/>
        </w:rPr>
        <w:t>所有任务记录创建人、更新时间、审批状态及输入/输出版本；一般用户无权删除审计记录。</w:t>
      </w:r>
    </w:p>
    <w:p>
      <w:pPr>
        <w:pStyle w:val="ListBullet"/>
        <w:spacing w:after="60" w:line="288" w:lineRule="auto"/>
      </w:pPr>
      <w:r>
        <w:rPr>
          <w:rFonts w:ascii="宋体" w:hAnsi="宋体" w:eastAsia="宋体"/>
          <w:b w:val="0"/>
          <w:sz w:val="21"/>
        </w:rPr>
        <w:t>提交审批、批准/退回、导出、删除、AI 结果确认均写入 audit_logs；待审批必须创建 notifications 记录；Steven 不得批准本人任务。</w:t>
      </w:r>
    </w:p>
    <w:p>
      <w:pPr>
        <w:pStyle w:val="ListBullet"/>
        <w:spacing w:after="60" w:line="288" w:lineRule="auto"/>
      </w:pPr>
      <w:r>
        <w:rPr>
          <w:rFonts w:ascii="宋体" w:hAnsi="宋体" w:eastAsia="宋体"/>
          <w:b w:val="0"/>
          <w:sz w:val="21"/>
        </w:rPr>
        <w:t>AI/OCR 在 MVP 默认关闭；未来启用时，Prompt 只能置于 modules/steven/prompts/，必须写明输入字段、输出 JSON schema、安全限制和示例；输出固定包含 fields、confidence、warnings、raw_text，并先进入 needs_review。</w:t>
      </w:r>
    </w:p>
    <w:p>
      <w:pPr>
        <w:keepNext/>
        <w:spacing w:before="300" w:after="160"/>
      </w:pPr>
      <w:r>
        <w:rPr>
          <w:rFonts w:ascii="黑体" w:hAnsi="黑体" w:eastAsia="黑体"/>
          <w:b/>
          <w:color w:val="144A4A"/>
          <w:sz w:val="32"/>
        </w:rPr>
        <w:t>8. 两周试点排期与角色分工</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113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日程</w:t>
            </w:r>
          </w:p>
        </w:tc>
        <w:tc>
          <w:tcPr>
            <w:tcW w:type="dxa" w:w="283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开发任务</w:t>
            </w:r>
          </w:p>
        </w:tc>
        <w:tc>
          <w:tcPr>
            <w:tcW w:type="dxa" w:w="283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Steven/校方投入</w:t>
            </w:r>
          </w:p>
        </w:tc>
        <w:tc>
          <w:tcPr>
            <w:tcW w:type="dxa" w:w="283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可验收产出</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1</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范围冻结、模块设计、数据模型、权限矩阵和 API 合同</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3 类脱敏样本、确认模板、审批和数据边界</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模块设计、ER/关系说明、字段字典、API 合同</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2</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共用底座接入、任务/文件存储 Adapter、Open Design 页面原型</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确认首屏、字段名称和原型</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可运行 mock 页面、任务/文件接入说明</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3</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标书模板库与 Word 生成</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提供 1–2 份范本</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可下载 Draft v1 Word</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4</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采购比价录入/导入、计算与 Excel</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确认列、公式和审批栏</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可下载比价 Excel</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5</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库存导入、阈值与补货建议</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库存样本和阈值</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库存更新 Excel</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6–7</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权限、审计、异常校验、联调</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确认异常口径、参与演示</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测试报告 v1</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8</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 试用三类任务</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独立操作并反馈</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问题清单</w:t>
            </w:r>
          </w:p>
        </w:tc>
      </w:tr>
      <w:tr>
        <w:tc>
          <w:tcPr>
            <w:tcW w:type="dxa" w:w="113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Day 9–10</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修复、回归、验收与交付</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复核结果、确认验收</w:t>
            </w:r>
          </w:p>
        </w:tc>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交付包与验收意见</w:t>
            </w:r>
          </w:p>
        </w:tc>
      </w:tr>
    </w:tbl>
    <w:p>
      <w:pPr>
        <w:spacing w:after="20"/>
      </w:pP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757"/>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角色</w:t>
            </w:r>
          </w:p>
        </w:tc>
        <w:tc>
          <w:tcPr>
            <w:tcW w:type="dxa" w:w="4139"/>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职责</w:t>
            </w:r>
          </w:p>
        </w:tc>
        <w:tc>
          <w:tcPr>
            <w:tcW w:type="dxa" w:w="3742"/>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不可替代的判断</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w:t>
            </w:r>
          </w:p>
        </w:tc>
        <w:tc>
          <w:tcPr>
            <w:tcW w:type="dxa" w:w="413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提供样本、确认字段/模板、试用并提出反馈</w:t>
            </w:r>
          </w:p>
        </w:tc>
        <w:tc>
          <w:tcPr>
            <w:tcW w:type="dxa" w:w="374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业务事实、模板是否可用、库存实数</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上级/审批人</w:t>
            </w:r>
          </w:p>
        </w:tc>
        <w:tc>
          <w:tcPr>
            <w:tcW w:type="dxa" w:w="413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确认正式文书、采购推荐与例外原因</w:t>
            </w:r>
          </w:p>
        </w:tc>
        <w:tc>
          <w:tcPr>
            <w:tcW w:type="dxa" w:w="374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审批与采购决策</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FDE 开发组</w:t>
            </w:r>
          </w:p>
        </w:tc>
        <w:tc>
          <w:tcPr>
            <w:tcW w:type="dxa" w:w="413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实现、测试、部署、文档与问题修复</w:t>
            </w:r>
          </w:p>
        </w:tc>
        <w:tc>
          <w:tcPr>
            <w:tcW w:type="dxa" w:w="374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不能替客户决定采购或条款</w:t>
            </w:r>
          </w:p>
        </w:tc>
      </w:tr>
      <w:tr>
        <w:tc>
          <w:tcPr>
            <w:tcW w:type="dxa" w:w="175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校方 IT/数据负责人</w:t>
            </w:r>
          </w:p>
        </w:tc>
        <w:tc>
          <w:tcPr>
            <w:tcW w:type="dxa" w:w="413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目录权限、部署、备份与合规审核</w:t>
            </w:r>
          </w:p>
        </w:tc>
        <w:tc>
          <w:tcPr>
            <w:tcW w:type="dxa" w:w="374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数据留存和账号权限</w:t>
            </w:r>
          </w:p>
        </w:tc>
      </w:tr>
    </w:tbl>
    <w:p>
      <w:pPr>
        <w:spacing w:after="20"/>
      </w:pPr>
    </w:p>
    <w:p>
      <w:pPr>
        <w:keepNext/>
        <w:spacing w:before="300" w:after="160"/>
      </w:pPr>
      <w:r>
        <w:rPr>
          <w:rFonts w:ascii="黑体" w:hAnsi="黑体" w:eastAsia="黑体"/>
          <w:b/>
          <w:color w:val="144A4A"/>
          <w:sz w:val="32"/>
        </w:rPr>
        <w:t>9. 测试、验收与风险控制</w:t>
      </w:r>
    </w:p>
    <w:tbl>
      <w:tblPr>
        <w:tblStyle w:val="TableGrid"/>
        <w:tblW w:type="auto" w:w="0"/>
        <w:jc w:val="center"/>
        <w:tblLayout w:type="autofit"/>
        <w:tblLook w:firstColumn="1" w:firstRow="1" w:lastColumn="0" w:lastRow="0" w:noHBand="0" w:noVBand="1" w:val="04A0"/>
      </w:tblPr>
      <w:tblGrid>
        <w:gridCol w:w="2365"/>
        <w:gridCol w:w="2365"/>
        <w:gridCol w:w="2365"/>
        <w:gridCol w:w="2365"/>
      </w:tblGrid>
      <w:tr>
        <w:tc>
          <w:tcPr>
            <w:tcW w:type="dxa" w:w="79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编号</w:t>
            </w:r>
          </w:p>
        </w:tc>
        <w:tc>
          <w:tcPr>
            <w:tcW w:type="dxa" w:w="294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场景</w:t>
            </w:r>
          </w:p>
        </w:tc>
        <w:tc>
          <w:tcPr>
            <w:tcW w:type="dxa" w:w="4252"/>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预期结果</w:t>
            </w:r>
          </w:p>
        </w:tc>
        <w:tc>
          <w:tcPr>
            <w:tcW w:type="dxa" w:w="1077"/>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级别</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T01</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缺少截止日期生成标书</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阻止提交并定位字段</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T02</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模板有未替换变量</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标记草稿异常，禁止正式导出</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T03</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Word 输出后再次打开</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格式、表格与字段均可编辑</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T04</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3 家供应商、5 个品项</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总价、税费、运费与排序正确</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T05</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非最低价被推荐</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必须填写理由和审批意见</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T06</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导入负库存</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拒绝保存并提示行号</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T07</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库存低于安全线</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低库存清单和建议订货量正确</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T08</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一般用户查询审计</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无权限被拒绝</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T09</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 访问其他岗位 API/路由</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后端权限拒绝</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T10</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提交审批/批准/导出</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创建通知并写入审计事件；本人不可批准本人</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T11</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列表 API 与异常输入</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统一 response envelope、分页、结构化错误与 request_id 正确</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r>
        <w:tc>
          <w:tcPr>
            <w:tcW w:type="dxa" w:w="79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T12</w:t>
            </w:r>
          </w:p>
        </w:tc>
        <w:tc>
          <w:tcPr>
            <w:tcW w:type="dxa" w:w="294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金额和文件关联</w:t>
            </w:r>
          </w:p>
        </w:tc>
        <w:tc>
          <w:tcPr>
            <w:tcW w:type="dxa" w:w="4252"/>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金额使用 numeric；业务记录关联 files.id，不含绝对路径</w:t>
            </w:r>
          </w:p>
        </w:tc>
        <w:tc>
          <w:tcPr>
            <w:tcW w:type="dxa" w:w="1077"/>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P0</w:t>
            </w:r>
          </w:p>
        </w:tc>
      </w:tr>
    </w:tbl>
    <w:p>
      <w:pPr>
        <w:spacing w:after="20"/>
      </w:pP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1814"/>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风险</w:t>
            </w:r>
          </w:p>
        </w:tc>
        <w:tc>
          <w:tcPr>
            <w:tcW w:type="dxa" w:w="5329"/>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控制措施</w:t>
            </w:r>
          </w:p>
        </w:tc>
        <w:tc>
          <w:tcPr>
            <w:tcW w:type="dxa" w:w="1928"/>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责任人</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数据外泄</w:t>
            </w:r>
          </w:p>
        </w:tc>
        <w:tc>
          <w:tcPr>
            <w:tcW w:type="dxa" w:w="532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本地优先、字段分级、默认关闭外部 AI、最小权限和脱敏样本</w:t>
            </w:r>
          </w:p>
        </w:tc>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校方数据负责人</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AI 草稿错误</w:t>
            </w:r>
          </w:p>
        </w:tc>
        <w:tc>
          <w:tcPr>
            <w:tcW w:type="dxa" w:w="532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模板/规则优先、异常校验、人工审批、草稿标识</w:t>
            </w:r>
          </w:p>
        </w:tc>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Steven + 审批人</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采购决策风险</w:t>
            </w:r>
          </w:p>
        </w:tc>
        <w:tc>
          <w:tcPr>
            <w:tcW w:type="dxa" w:w="532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不自动选供应商；非最低价理由与审批记录</w:t>
            </w:r>
          </w:p>
        </w:tc>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审批人</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文件丢失/覆盖</w:t>
            </w:r>
          </w:p>
        </w:tc>
        <w:tc>
          <w:tcPr>
            <w:tcW w:type="dxa" w:w="532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版本化命名、哈希、备份目录、正式版本不可覆盖</w:t>
            </w:r>
          </w:p>
        </w:tc>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校方 IT</w:t>
            </w:r>
          </w:p>
        </w:tc>
      </w:tr>
      <w:tr>
        <w:tc>
          <w:tcPr>
            <w:tcW w:type="dxa" w:w="1814"/>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使用门槛</w:t>
            </w:r>
          </w:p>
        </w:tc>
        <w:tc>
          <w:tcPr>
            <w:tcW w:type="dxa" w:w="5329"/>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表单化、预设示例、一页操作卡、现场培训和原流程回退</w:t>
            </w:r>
          </w:p>
        </w:tc>
        <w:tc>
          <w:tcPr>
            <w:tcW w:type="dxa" w:w="1928"/>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FDE 开发组</w:t>
            </w:r>
          </w:p>
        </w:tc>
      </w:tr>
    </w:tbl>
    <w:p>
      <w:pPr>
        <w:spacing w:after="20"/>
      </w:pPr>
    </w:p>
    <w:p>
      <w:pPr>
        <w:keepNext/>
        <w:spacing w:before="300" w:after="160"/>
      </w:pPr>
      <w:r>
        <w:rPr>
          <w:rFonts w:ascii="黑体" w:hAnsi="黑体" w:eastAsia="黑体"/>
          <w:b/>
          <w:color w:val="144A4A"/>
          <w:sz w:val="32"/>
        </w:rPr>
        <w:t>10. 交付物与 Phase 2 路线</w:t>
      </w:r>
    </w:p>
    <w:p>
      <w:pPr>
        <w:keepNext/>
        <w:spacing w:before="200" w:after="100"/>
      </w:pPr>
      <w:r>
        <w:rPr>
          <w:rFonts w:ascii="黑体" w:hAnsi="黑体" w:eastAsia="黑体"/>
          <w:b/>
          <w:color w:val="195E5E"/>
          <w:sz w:val="25"/>
        </w:rPr>
        <w:t>10.1 MVP 交付物</w:t>
      </w:r>
    </w:p>
    <w:p>
      <w:pPr>
        <w:pStyle w:val="ListBullet"/>
        <w:spacing w:after="60" w:line="288" w:lineRule="auto"/>
      </w:pPr>
      <w:r>
        <w:rPr>
          <w:rFonts w:ascii="宋体" w:hAnsi="宋体" w:eastAsia="宋体"/>
          <w:b w:val="0"/>
          <w:sz w:val="21"/>
        </w:rPr>
        <w:t>Steven 模块可运行应用/原型、源码、配置样例和部署说明。</w:t>
      </w:r>
    </w:p>
    <w:p>
      <w:pPr>
        <w:pStyle w:val="ListBullet"/>
        <w:spacing w:after="60" w:line="288" w:lineRule="auto"/>
      </w:pPr>
      <w:r>
        <w:rPr>
          <w:rFonts w:ascii="宋体" w:hAnsi="宋体" w:eastAsia="宋体"/>
          <w:b w:val="0"/>
          <w:sz w:val="21"/>
        </w:rPr>
        <w:t>至少 3 类可维护 Word 模板、采购比价 Excel 模板、库存盘点 Excel 模板。</w:t>
      </w:r>
    </w:p>
    <w:p>
      <w:pPr>
        <w:pStyle w:val="ListBullet"/>
        <w:spacing w:after="60" w:line="288" w:lineRule="auto"/>
      </w:pPr>
      <w:r>
        <w:rPr>
          <w:rFonts w:ascii="宋体" w:hAnsi="宋体" w:eastAsia="宋体"/>
          <w:b w:val="0"/>
          <w:sz w:val="21"/>
        </w:rPr>
        <w:t>字段字典、模板变量字典、审批规则清单、数据保留与备份说明。</w:t>
      </w:r>
    </w:p>
    <w:p>
      <w:pPr>
        <w:pStyle w:val="ListBullet"/>
        <w:spacing w:after="60" w:line="288" w:lineRule="auto"/>
      </w:pPr>
      <w:r>
        <w:rPr>
          <w:rFonts w:ascii="宋体" w:hAnsi="宋体" w:eastAsia="宋体"/>
          <w:b w:val="0"/>
          <w:sz w:val="21"/>
        </w:rPr>
        <w:t>Steven 一页操作卡、管理员操作说明、5 分钟演示脚本、测试用例与测试报告。</w:t>
      </w:r>
    </w:p>
    <w:p>
      <w:pPr>
        <w:pStyle w:val="ListBullet"/>
        <w:spacing w:after="60" w:line="288" w:lineRule="auto"/>
      </w:pPr>
      <w:r>
        <w:rPr>
          <w:rFonts w:ascii="宋体" w:hAnsi="宋体" w:eastAsia="宋体"/>
          <w:b w:val="0"/>
          <w:sz w:val="21"/>
        </w:rPr>
        <w:t>脱敏演示数据、已知限制清单、问题 Backlog 与 Phase 2 建议。</w:t>
      </w:r>
    </w:p>
    <w:p>
      <w:pPr>
        <w:keepNext/>
        <w:spacing w:before="200" w:after="100"/>
      </w:pPr>
      <w:r>
        <w:rPr>
          <w:rFonts w:ascii="黑体" w:hAnsi="黑体" w:eastAsia="黑体"/>
          <w:b/>
          <w:color w:val="195E5E"/>
          <w:sz w:val="25"/>
        </w:rPr>
        <w:t>10.2 Phase 2（MVP 稳定后再评估）</w:t>
      </w:r>
    </w:p>
    <w:p>
      <w:pPr>
        <w:pStyle w:val="ListBullet"/>
        <w:spacing w:after="60" w:line="288" w:lineRule="auto"/>
      </w:pPr>
      <w:r>
        <w:rPr>
          <w:rFonts w:ascii="宋体" w:hAnsi="宋体" w:eastAsia="宋体"/>
          <w:b w:val="0"/>
          <w:sz w:val="21"/>
        </w:rPr>
        <w:t>供应商搜索辅助：须展示来源 URL、检索日期、覆盖范围和人工核验状态。</w:t>
      </w:r>
    </w:p>
    <w:p>
      <w:pPr>
        <w:pStyle w:val="ListBullet"/>
        <w:spacing w:after="60" w:line="288" w:lineRule="auto"/>
      </w:pPr>
      <w:r>
        <w:rPr>
          <w:rFonts w:ascii="宋体" w:hAnsi="宋体" w:eastAsia="宋体"/>
          <w:b w:val="0"/>
          <w:sz w:val="21"/>
        </w:rPr>
        <w:t>报价单 OCR：先以 20–50 份脱敏样本评测准确率、漏读率与人工校正时间。</w:t>
      </w:r>
    </w:p>
    <w:p>
      <w:pPr>
        <w:pStyle w:val="ListBullet"/>
        <w:spacing w:after="60" w:line="288" w:lineRule="auto"/>
      </w:pPr>
      <w:r>
        <w:rPr>
          <w:rFonts w:ascii="宋体" w:hAnsi="宋体" w:eastAsia="宋体"/>
          <w:b w:val="0"/>
          <w:sz w:val="21"/>
        </w:rPr>
        <w:t>条码扫码、语音盘点、线上审批、邮件发送和跨角色共享模板平台。</w:t>
      </w:r>
    </w:p>
    <w:p>
      <w:pPr>
        <w:pStyle w:val="ListBullet"/>
        <w:spacing w:after="60" w:line="288" w:lineRule="auto"/>
      </w:pPr>
      <w:r>
        <w:rPr>
          <w:rFonts w:ascii="宋体" w:hAnsi="宋体" w:eastAsia="宋体"/>
          <w:b w:val="0"/>
          <w:sz w:val="21"/>
        </w:rPr>
        <w:t>多人并发、集中备份或跨设备访问扩大后，再评估 PostgreSQL/内网 VM/NAS 与流程引擎。</w:t>
      </w:r>
    </w:p>
    <w:p>
      <w:pPr>
        <w:keepNext/>
        <w:spacing w:before="300" w:after="160"/>
      </w:pPr>
      <w:r>
        <w:rPr>
          <w:rFonts w:ascii="黑体" w:hAnsi="黑体" w:eastAsia="黑体"/>
          <w:b/>
          <w:color w:val="144A4A"/>
          <w:sz w:val="32"/>
        </w:rPr>
        <w:t>附录 A：启动前材料清单</w:t>
      </w:r>
    </w:p>
    <w:tbl>
      <w:tblPr>
        <w:tblStyle w:val="TableGrid"/>
        <w:tblW w:type="auto" w:w="0"/>
        <w:jc w:val="center"/>
        <w:tblLayout w:type="autofit"/>
        <w:tblLook w:firstColumn="1" w:firstRow="1" w:lastColumn="0" w:lastRow="0" w:noHBand="0" w:noVBand="1" w:val="04A0"/>
      </w:tblPr>
      <w:tblGrid>
        <w:gridCol w:w="3154"/>
        <w:gridCol w:w="3154"/>
        <w:gridCol w:w="3154"/>
      </w:tblGrid>
      <w:tr>
        <w:tc>
          <w:tcPr>
            <w:tcW w:type="dxa" w:w="283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材料</w:t>
            </w:r>
          </w:p>
        </w:tc>
        <w:tc>
          <w:tcPr>
            <w:tcW w:type="dxa" w:w="1701"/>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最少数量</w:t>
            </w:r>
          </w:p>
        </w:tc>
        <w:tc>
          <w:tcPr>
            <w:tcW w:type="dxa" w:w="4535"/>
            <w:vAlign w:val="center"/>
            <w:tcBorders>
              <w:top w:val="single" w:sz="4" w:color="C9D5D5"/>
              <w:left w:val="single" w:sz="4" w:color="C9D5D5"/>
              <w:bottom w:val="single" w:sz="4" w:color="C9D5D5"/>
              <w:right w:val="single" w:sz="4" w:color="C9D5D5"/>
            </w:tcBorders>
            <w:shd w:fill="DDEBE8"/>
          </w:tcPr>
          <w:p>
            <w:pPr>
              <w:spacing w:after="20" w:line="264" w:lineRule="auto"/>
              <w:jc w:val="center"/>
            </w:pPr>
            <w:r/>
            <w:r>
              <w:rPr>
                <w:rFonts w:ascii="黑体" w:hAnsi="黑体" w:eastAsia="黑体"/>
                <w:b/>
                <w:sz w:val="18"/>
              </w:rPr>
              <w:t>用途</w:t>
            </w:r>
          </w:p>
        </w:tc>
      </w:tr>
      <w:tr>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标书/书面报价单 Word 范本</w:t>
            </w:r>
          </w:p>
        </w:tc>
        <w:tc>
          <w:tcPr>
            <w:tcW w:type="dxa" w:w="170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3 份</w:t>
            </w:r>
          </w:p>
        </w:tc>
        <w:tc>
          <w:tcPr>
            <w:tcW w:type="dxa" w:w="45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建立模板库与变量字典</w:t>
            </w:r>
          </w:p>
        </w:tc>
      </w:tr>
      <w:tr>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已完成采购比价 Excel</w:t>
            </w:r>
          </w:p>
        </w:tc>
        <w:tc>
          <w:tcPr>
            <w:tcW w:type="dxa" w:w="170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3 份</w:t>
            </w:r>
          </w:p>
        </w:tc>
        <w:tc>
          <w:tcPr>
            <w:tcW w:type="dxa" w:w="45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确定列、公式、费用项与审批栏</w:t>
            </w:r>
          </w:p>
        </w:tc>
      </w:tr>
      <w:tr>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库存 Excel</w:t>
            </w:r>
          </w:p>
        </w:tc>
        <w:tc>
          <w:tcPr>
            <w:tcW w:type="dxa" w:w="170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1 份，至少 20 品项</w:t>
            </w:r>
          </w:p>
        </w:tc>
        <w:tc>
          <w:tcPr>
            <w:tcW w:type="dxa" w:w="45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建立导入、SKU 与阈值规则</w:t>
            </w:r>
          </w:p>
        </w:tc>
      </w:tr>
      <w:tr>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供应商与事项示例</w:t>
            </w:r>
          </w:p>
        </w:tc>
        <w:tc>
          <w:tcPr>
            <w:tcW w:type="dxa" w:w="170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每类至少 3 条</w:t>
            </w:r>
          </w:p>
        </w:tc>
        <w:tc>
          <w:tcPr>
            <w:tcW w:type="dxa" w:w="45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脱敏演示与测试数据</w:t>
            </w:r>
          </w:p>
        </w:tc>
      </w:tr>
      <w:tr>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模板审批规则</w:t>
            </w:r>
          </w:p>
        </w:tc>
        <w:tc>
          <w:tcPr>
            <w:tcW w:type="dxa" w:w="170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1 份</w:t>
            </w:r>
          </w:p>
        </w:tc>
        <w:tc>
          <w:tcPr>
            <w:tcW w:type="dxa" w:w="45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定义谁审批、何时可正式导出</w:t>
            </w:r>
          </w:p>
        </w:tc>
      </w:tr>
      <w:tr>
        <w:tc>
          <w:tcPr>
            <w:tcW w:type="dxa" w:w="28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校内部署条件</w:t>
            </w:r>
          </w:p>
        </w:tc>
        <w:tc>
          <w:tcPr>
            <w:tcW w:type="dxa" w:w="1701"/>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1 份</w:t>
            </w:r>
          </w:p>
        </w:tc>
        <w:tc>
          <w:tcPr>
            <w:tcW w:type="dxa" w:w="4535"/>
            <w:vAlign w:val="center"/>
            <w:tcBorders>
              <w:top w:val="single" w:sz="4" w:color="C9D5D5"/>
              <w:left w:val="single" w:sz="4" w:color="C9D5D5"/>
              <w:bottom w:val="single" w:sz="4" w:color="C9D5D5"/>
              <w:right w:val="single" w:sz="4" w:color="C9D5D5"/>
            </w:tcBorders>
          </w:tcPr>
          <w:p>
            <w:pPr>
              <w:spacing w:after="20" w:line="264" w:lineRule="auto"/>
              <w:jc w:val="left"/>
            </w:pPr>
            <w:r/>
            <w:r>
              <w:rPr>
                <w:rFonts w:ascii="宋体" w:hAnsi="宋体" w:eastAsia="宋体"/>
                <w:b w:val="0"/>
                <w:sz w:val="18"/>
              </w:rPr>
              <w:t>确认 Windows 版本、存储路径、访问账号与备份</w:t>
            </w:r>
          </w:p>
        </w:tc>
      </w:tr>
    </w:tbl>
    <w:p>
      <w:pPr>
        <w:spacing w:after="20"/>
      </w:pPr>
    </w:p>
    <w:p>
      <w:pPr>
        <w:spacing w:before="160" w:after="0" w:line="324" w:lineRule="auto"/>
        <w:ind w:firstLine="420"/>
      </w:pPr>
      <w:r>
        <w:rPr>
          <w:rFonts w:ascii="宋体" w:hAnsi="宋体" w:eastAsia="宋体"/>
          <w:b w:val="0"/>
          <w:sz w:val="22"/>
        </w:rPr>
        <w:t>下一步不应直接把未确认假设投入生产开发。应先完成 Day 1 范围冻结，并由 Steven/校方确认样本、字段、审批规则、部署和数据边界；材料不足时，仅能使用假设数据演示，不宣称已满足真实业务。</w:t>
      </w:r>
    </w:p>
    <w:sectPr w:rsidR="00FC693F" w:rsidRPr="0006063C" w:rsidSect="00034616">
      <w:footerReference w:type="default" r:id="rId9"/>
      <w:pgSz w:w="12240" w:h="15840"/>
      <w:pgMar w:top="1332" w:right="1389" w:bottom="1247" w:left="138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宋体" w:hAnsi="宋体" w:eastAsia="宋体"/>
        <w:b w:val="0"/>
        <w:sz w:val="18"/>
      </w:rPr>
      <w:t xml:space="preserve">第 </w:t>
    </w:r>
    <w:fldSimple w:instr="PAGE"/>
    <w:r>
      <w:rPr>
        <w:rFonts w:ascii="宋体" w:hAnsi="宋体" w:eastAsia="宋体"/>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Steven 岗位 AI 行政助手整合实施方案（MVP）</dc:title>
  <dc:subject>香港培英中学 AI 工坊 / Steven 岗位</dc:subject>
  <dc:creator>FDE 开发组</dc:creator>
  <cp:keywords/>
  <dc:description>generated by python-docx</dc:description>
  <cp:lastModifiedBy/>
  <cp:revision>1</cp:revision>
  <dcterms:created xsi:type="dcterms:W3CDTF">2013-12-23T23:15:00Z</dcterms:created>
  <dcterms:modified xsi:type="dcterms:W3CDTF">2013-12-23T23:15:00Z</dcterms:modified>
  <cp:category/>
</cp:coreProperties>
</file>