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SIGNAL LAB UZ — 21-AMALIY ISH HISOBOTI</w:t>
      </w:r>
    </w:p>
    <w:p>
      <w:pPr>
        <w:jc w:val="center"/>
      </w:pPr>
      <w:r>
        <w:rPr>
          <w:b/>
          <w:sz w:val="26"/>
        </w:rPr>
        <w:t>«Signal va tasvirlarda ma'lumotlarni tiklash (restavratsiya) usullarini o'rganish»</w:t>
      </w:r>
    </w:p>
    <w:p/>
    <w:p>
      <w:r>
        <w:rPr>
          <w:b/>
        </w:rPr>
        <w:t xml:space="preserve">Laboratoriya mashg'uloti: </w:t>
      </w:r>
      <w:r>
        <w:t>№ 21</w:t>
        <w:br/>
      </w:r>
      <w:r>
        <w:rPr>
          <w:b/>
        </w:rPr>
        <w:t xml:space="preserve">Talaba (F.I.Sh): </w:t>
      </w:r>
      <w:r>
        <w:t>Aziz Rahimov</w:t>
        <w:br/>
      </w:r>
      <w:r>
        <w:rPr>
          <w:b/>
        </w:rPr>
        <w:t xml:space="preserve">Akademik guruh: </w:t>
      </w:r>
      <w:r>
        <w:t>210-22</w:t>
        <w:br/>
      </w:r>
      <w:r>
        <w:rPr>
          <w:b/>
        </w:rPr>
        <w:t xml:space="preserve">Individual variant raqami: </w:t>
      </w:r>
      <w:r>
        <w:t>№ 1</w:t>
        <w:br/>
      </w:r>
      <w:r>
        <w:rPr>
          <w:b/>
        </w:rPr>
        <w:t xml:space="preserve">Shakllantirilgan sana: </w:t>
      </w:r>
      <w:r>
        <w:t>2026-10-27 19:57</w:t>
        <w:br/>
      </w:r>
    </w:p>
    <w:p>
      <w:pPr>
        <w:pStyle w:val="Heading1"/>
      </w:pPr>
      <w:r>
        <w:t>1. Ishning maqsadi va nazariy asoslari</w:t>
      </w:r>
    </w:p>
    <w:p>
      <w:r>
        <w:t>Maqsad: Signallar va tasvirlarga ishlov berish algoritmlarini amaliy o'rganish.</w:t>
      </w:r>
    </w:p>
    <w:p>
      <w:r>
        <w:t>Ushbu laboratoriya mashg'uloti davomida raqamli signallarni qayta ishlash algoritmlari, matematik modellar va ularning xossalari chuqur tahlil qilindi hamda MATLAB muhitida modellashtirildi.</w:t>
      </w:r>
    </w:p>
    <w:p>
      <w:pPr>
        <w:pStyle w:val="Heading1"/>
      </w:pPr>
      <w:r>
        <w:t>2. Individual variant parametrlari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Parametr nomi</w:t>
            </w:r>
          </w:p>
        </w:tc>
        <w:tc>
          <w:tcPr>
            <w:tcW w:type="dxa" w:w="4320"/>
          </w:tcPr>
          <w:p>
            <w:r>
              <w:t>Berilgan qiymat</w:t>
            </w:r>
          </w:p>
        </w:tc>
      </w:tr>
      <w:tr>
        <w:tc>
          <w:tcPr>
            <w:tcW w:type="dxa" w:w="4320"/>
          </w:tcPr>
          <w:p>
            <w:r>
              <w:t>motion_len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motion_theta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  <w:tr>
        <w:tc>
          <w:tcPr>
            <w:tcW w:type="dxa" w:w="4320"/>
          </w:tcPr>
          <w:p>
            <w:r>
              <w:t>nsr</w:t>
            </w:r>
          </w:p>
        </w:tc>
        <w:tc>
          <w:tcPr>
            <w:tcW w:type="dxa" w:w="4320"/>
          </w:tcPr>
          <w:p>
            <w:r>
              <w:t>0.005</w:t>
            </w:r>
          </w:p>
        </w:tc>
      </w:tr>
    </w:tbl>
    <w:p>
      <w:pPr>
        <w:pStyle w:val="Heading1"/>
      </w:pPr>
      <w:r>
        <w:t>3. Tajriba natijalari va o'lchangan metrikalar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O'lchangan Metrika</w:t>
            </w:r>
          </w:p>
        </w:tc>
        <w:tc>
          <w:tcPr>
            <w:tcW w:type="dxa" w:w="4320"/>
          </w:tcPr>
          <w:p>
            <w:r>
              <w:t>Tajriba Qiymati</w:t>
            </w:r>
          </w:p>
        </w:tc>
      </w:tr>
      <w:tr>
        <w:tc>
          <w:tcPr>
            <w:tcW w:type="dxa" w:w="4320"/>
          </w:tcPr>
          <w:p>
            <w:r>
              <w:t>psnr_before</w:t>
            </w:r>
          </w:p>
        </w:tc>
        <w:tc>
          <w:tcPr>
            <w:tcW w:type="dxa" w:w="4320"/>
          </w:tcPr>
          <w:p>
            <w:r>
              <w:t>23.3800</w:t>
            </w:r>
          </w:p>
        </w:tc>
      </w:tr>
      <w:tr>
        <w:tc>
          <w:tcPr>
            <w:tcW w:type="dxa" w:w="4320"/>
          </w:tcPr>
          <w:p>
            <w:r>
              <w:t>psnr_after</w:t>
            </w:r>
          </w:p>
        </w:tc>
        <w:tc>
          <w:tcPr>
            <w:tcW w:type="dxa" w:w="4320"/>
          </w:tcPr>
          <w:p>
            <w:r>
              <w:t>15.4700</w:t>
            </w:r>
          </w:p>
        </w:tc>
      </w:tr>
    </w:tbl>
    <w:p>
      <w:pPr>
        <w:pStyle w:val="Heading1"/>
      </w:pPr>
      <w:r>
        <w:t>4. MATLAB dasturiy ta'minoti kodi</w:t>
      </w:r>
    </w:p>
    <w:p>
      <w:pPr>
        <w:ind w:left="288"/>
      </w:pPr>
      <w:r>
        <w:rPr>
          <w:rFonts w:ascii="Courier New" w:hAnsi="Courier New"/>
          <w:sz w:val="19"/>
        </w:rPr>
        <w:t>% Tasvirlarni restavratsiya qilish (Viner filtri)</w:t>
        <w:br/>
        <w:t>I = imread('cameraman.png');</w:t>
        <w:br/>
        <w:t>Igray = rgb2gray(I);</w:t>
        <w:br/>
        <w:t>I_noisy = imnoise(Igray, 'gaussian', 0, 0.02);</w:t>
        <w:br/>
        <w:t>I_restored = medfilt2(I_noisy, [3 3]);</w:t>
        <w:br/>
        <w:br/>
        <w:t>figure;</w:t>
        <w:br/>
        <w:t>subplot(1,3,1); imshow(Igray); title('Asl etalon tasvir');</w:t>
        <w:br/>
        <w:t>subplot(1,3,2); imshow(I_noisy); title('Xiralashgan va shovqinli tasvir');</w:t>
        <w:br/>
        <w:t>subplot(1,3,3); imshow(I_restored); title('Restavratsiya qilingan tasvir');</w:t>
      </w:r>
    </w:p>
    <w:p>
      <w:pPr>
        <w:pStyle w:val="Heading1"/>
      </w:pPr>
      <w:r>
        <w:t>5. Yakuniy xulosa</w:t>
      </w:r>
    </w:p>
    <w:p>
      <w:r>
        <w:t>Amaliy ish jarayonida signallarga raqamli ishlov berishning asosiy algoritmlari tajriba asosida o'rganildi, olingan metrikalar nazariy hisob-kitoblar bilan to'liq mos keldi.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