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40"/>
        <w:jc w:val="center"/>
      </w:pPr>
      <w:r>
        <w:rPr>
          <w:rFonts w:ascii="Georgia" w:cs="Georgia" w:eastAsia="Georgia" w:hAnsi="Georgia"/>
          <w:b/>
          <w:bCs/>
          <w:color w:val="1B2A4A"/>
          <w:sz w:val="64"/>
          <w:szCs w:val="64"/>
        </w:rPr>
        <w:t xml:space="preserve">A.R.E.S.</w:t>
      </w:r>
    </w:p>
    <w:p>
      <w:pPr>
        <w:spacing w:after="200"/>
        <w:jc w:val="center"/>
      </w:pPr>
      <w:r>
        <w:rPr>
          <w:rFonts w:ascii="Georgia" w:cs="Georgia" w:eastAsia="Georgia" w:hAnsi="Georgia"/>
          <w:i/>
          <w:iCs/>
          <w:color w:val="2E4A7A"/>
          <w:sz w:val="26"/>
          <w:szCs w:val="26"/>
        </w:rPr>
        <w:t xml:space="preserve">Adversarial Reasoning Engine System</w:t>
      </w:r>
    </w:p>
    <w:p>
      <w:pPr>
        <w:spacing w:before="100" w:after="0"/>
      </w:pPr>
    </w:p>
    <w:p>
      <w:pPr>
        <w:pBdr>
          <w:top w:val="single" w:color="C8963E" w:sz="2" w:space="12"/>
          <w:bottom w:val="single" w:color="C8963E" w:sz="2" w:space="12"/>
        </w:pBdr>
        <w:spacing w:before="160" w:after="160"/>
        <w:jc w:val="center"/>
      </w:pPr>
      <w:r>
        <w:rPr>
          <w:rFonts w:ascii="Georgia" w:cs="Georgia" w:eastAsia="Georgia" w:hAnsi="Georgia"/>
          <w:b/>
          <w:bCs/>
          <w:color w:val="1B2A4A"/>
          <w:spacing w:val="240"/>
          <w:sz w:val="40"/>
          <w:szCs w:val="40"/>
        </w:rPr>
        <w:t xml:space="preserve">TRIBUNAL BATTLE PLAN</w:t>
      </w:r>
    </w:p>
    <w:p>
      <w:pPr>
        <w:spacing w:before="120" w:after="0"/>
      </w:pPr>
    </w:p>
    <w:p>
      <w:pPr>
        <w:spacing w:after="60"/>
        <w:jc w:val="center"/>
      </w:pPr>
      <w:r>
        <w:rPr>
          <w:rFonts w:ascii="Georgia" w:cs="Georgia" w:eastAsia="Georgia" w:hAnsi="Georgia"/>
          <w:color w:val="2E4A7A"/>
          <w:sz w:val="24"/>
          <w:szCs w:val="24"/>
        </w:rPr>
        <w:t xml:space="preserve">Strategic Direction Brief for External Review</w:t>
      </w:r>
    </w:p>
    <w:p>
      <w:pPr>
        <w:spacing w:after="40"/>
        <w:jc w:val="center"/>
      </w:pPr>
      <w:r>
        <w:rPr>
          <w:rFonts w:ascii="Georgia" w:cs="Georgia" w:eastAsia="Georgia" w:hAnsi="Georgia"/>
          <w:i/>
          <w:iCs/>
          <w:color w:val="5A5A5A"/>
          <w:sz w:val="20"/>
          <w:szCs w:val="20"/>
        </w:rPr>
        <w:t xml:space="preserve">Classification: Open — Distribute to All Reviewers</w:t>
      </w:r>
    </w:p>
    <w:p>
      <w:pPr>
        <w:spacing w:before="600" w:after="0"/>
      </w:pPr>
    </w:p>
    <w:p>
      <w:pPr>
        <w:spacing w:after="60"/>
        <w:jc w:val="center"/>
      </w:pPr>
      <w:r>
        <w:rPr>
          <w:rFonts w:ascii="Georgia" w:cs="Georgia" w:eastAsia="Georgia" w:hAnsi="Georgia"/>
          <w:b/>
          <w:bCs/>
          <w:color w:val="1B2A4A"/>
          <w:sz w:val="24"/>
          <w:szCs w:val="24"/>
        </w:rPr>
        <w:t xml:space="preserve">Skyframe Innovations</w:t>
      </w:r>
    </w:p>
    <w:p>
      <w:pPr>
        <w:spacing w:after="60"/>
        <w:jc w:val="center"/>
      </w:pPr>
      <w:r>
        <w:rPr>
          <w:rFonts w:ascii="Georgia" w:cs="Georgia" w:eastAsia="Georgia" w:hAnsi="Georgia"/>
          <w:color w:val="5A5A5A"/>
          <w:sz w:val="22"/>
          <w:szCs w:val="22"/>
        </w:rPr>
        <w:t xml:space="preserve">March 25, 2026</w:t>
      </w:r>
    </w:p>
    <w:p>
      <w:pPr>
        <w:spacing w:after="60"/>
        <w:jc w:val="center"/>
      </w:pPr>
      <w:r>
        <w:rPr>
          <w:rFonts w:ascii="Georgia" w:cs="Georgia" w:eastAsia="Georgia" w:hAnsi="Georgia"/>
          <w:color w:val="5A5A5A"/>
          <w:sz w:val="18"/>
          <w:szCs w:val="18"/>
        </w:rPr>
        <w:t xml:space="preserve">20 Sessions  ·  1,595 Tests  ·  Zero Regressions  ·  $0.96 Total API Cost</w:t>
      </w:r>
    </w:p>
    <w:p>
      <w:pPr>
        <w:spacing w:before="400" w:after="0"/>
      </w:pPr>
    </w:p>
    <w:p>
      <w:pPr>
        <w:jc w:val="center"/>
      </w:pPr>
      <w:r>
        <w:rPr>
          <w:rFonts w:ascii="Georgia" w:cs="Georgia" w:eastAsia="Georgia" w:hAnsi="Georgia"/>
          <w:b/>
          <w:bCs/>
          <w:color w:val="C0392B"/>
          <w:sz w:val="20"/>
          <w:szCs w:val="20"/>
        </w:rPr>
        <w:t xml:space="preserve">INSTRUCTIONS: Read fully. Challenge assumptions. Propose directions.</w:t>
      </w:r>
    </w:p>
    <w:p>
      <w:pPr>
        <w:sectPr>
          <w:pgSz w:w="12240" w:h="15840" w:orient="portrait"/>
          <w:pgMar w:top="1440" w:right="1440" w:bottom="1440" w:left="1440" w:header="708" w:footer="708" w:gutter="0"/>
          <w:pgNumType/>
          <w:docGrid w:linePitch="360"/>
        </w:sectPr>
      </w:pPr>
    </w:p>
    <w:p>
      <w:pPr>
        <w:pStyle w:val="Heading1"/>
        <w:spacing w:before="400" w:after="240"/>
      </w:pPr>
      <w:r>
        <w:rPr>
          <w:rFonts w:ascii="Georgia" w:cs="Georgia" w:eastAsia="Georgia" w:hAnsi="Georgia"/>
        </w:rPr>
        <w:t xml:space="preserve">Section 0: Instructions to the Reviewer</w:t>
      </w:r>
    </w:p>
    <w:p>
      <w:pPr>
        <w:spacing w:after="180" w:line="300"/>
      </w:pPr>
      <w:r>
        <w:rPr>
          <w:rFonts w:ascii="Georgia" w:cs="Georgia" w:eastAsia="Georgia" w:hAnsi="Georgia"/>
          <w:color w:val="2C2C2C"/>
          <w:sz w:val="22"/>
          <w:szCs w:val="22"/>
        </w:rPr>
        <w:t xml:space="preserve">You are being consulted as an external strategic advisor on the ARES project. This document contains everything you need to understand the project state, the findings, and the decision point we have reached.</w:t>
      </w:r>
    </w:p>
    <w:p>
      <w:pPr>
        <w:spacing w:after="180" w:line="300"/>
      </w:pPr>
      <w:r>
        <w:rPr>
          <w:rFonts w:ascii="Georgia" w:cs="Georgia" w:eastAsia="Georgia" w:hAnsi="Georgia"/>
          <w:color w:val="2C2C2C"/>
          <w:sz w:val="22"/>
          <w:szCs w:val="22"/>
        </w:rPr>
        <w:t xml:space="preserve">Your role is to challenge, extend, and propose. You are not here to agree. You are here to stress-test our reasoning and identify directions we may have missed.</w:t>
      </w:r>
    </w:p>
    <w:p>
      <w:pPr>
        <w:spacing w:after="180" w:line="300"/>
      </w:pPr>
      <w:r>
        <w:rPr>
          <w:rFonts w:ascii="Georgia" w:cs="Georgia" w:eastAsia="Georgia" w:hAnsi="Georgia"/>
          <w:color w:val="2C2C2C"/>
          <w:sz w:val="22"/>
          <w:szCs w:val="22"/>
        </w:rPr>
        <w:t xml:space="preserve">After reading this document, please provide your analysis structured as follows:</w:t>
      </w:r>
    </w:p>
    <w:p>
      <w:pPr>
        <w:pStyle w:val="ListParagraph"/>
        <w:numPr>
          <w:ilvl w:val="0"/>
          <w:numId w:val="2"/>
        </w:numPr>
        <w:spacing w:after="100" w:line="300"/>
      </w:pPr>
      <w:r>
        <w:rPr>
          <w:rFonts w:ascii="Georgia" w:cs="Georgia" w:eastAsia="Georgia" w:hAnsi="Georgia"/>
          <w:b/>
          <w:bCs/>
          <w:color w:val="2C2C2C"/>
          <w:sz w:val="22"/>
          <w:szCs w:val="22"/>
        </w:rPr>
        <w:t xml:space="preserve">ASSESSMENT: </w:t>
      </w:r>
      <w:r>
        <w:rPr>
          <w:rFonts w:ascii="Georgia" w:cs="Georgia" w:eastAsia="Georgia" w:hAnsi="Georgia"/>
          <w:color w:val="2C2C2C"/>
          <w:sz w:val="22"/>
          <w:szCs w:val="22"/>
        </w:rPr>
        <w:t xml:space="preserve">What is the single most important thing this project has proven or disproven?</w:t>
      </w:r>
    </w:p>
    <w:p>
      <w:pPr>
        <w:pStyle w:val="ListParagraph"/>
        <w:numPr>
          <w:ilvl w:val="0"/>
          <w:numId w:val="2"/>
        </w:numPr>
        <w:spacing w:after="100" w:line="300"/>
      </w:pPr>
      <w:r>
        <w:rPr>
          <w:rFonts w:ascii="Georgia" w:cs="Georgia" w:eastAsia="Georgia" w:hAnsi="Georgia"/>
          <w:b/>
          <w:bCs/>
          <w:color w:val="2C2C2C"/>
          <w:sz w:val="22"/>
          <w:szCs w:val="22"/>
        </w:rPr>
        <w:t xml:space="preserve">BLIND SPOTS: </w:t>
      </w:r>
      <w:r>
        <w:rPr>
          <w:rFonts w:ascii="Georgia" w:cs="Georgia" w:eastAsia="Georgia" w:hAnsi="Georgia"/>
          <w:color w:val="2C2C2C"/>
          <w:sz w:val="22"/>
          <w:szCs w:val="22"/>
        </w:rPr>
        <w:t xml:space="preserve">What assumptions are we making that we haven’t questioned? What are we not seeing?</w:t>
      </w:r>
    </w:p>
    <w:p>
      <w:pPr>
        <w:pStyle w:val="ListParagraph"/>
        <w:numPr>
          <w:ilvl w:val="0"/>
          <w:numId w:val="2"/>
        </w:numPr>
        <w:spacing w:after="100" w:line="300"/>
      </w:pPr>
      <w:r>
        <w:rPr>
          <w:rFonts w:ascii="Georgia" w:cs="Georgia" w:eastAsia="Georgia" w:hAnsi="Georgia"/>
          <w:b/>
          <w:bCs/>
          <w:color w:val="2C2C2C"/>
          <w:sz w:val="22"/>
          <w:szCs w:val="22"/>
        </w:rPr>
        <w:t xml:space="preserve">DIRECTION: </w:t>
      </w:r>
      <w:r>
        <w:rPr>
          <w:rFonts w:ascii="Georgia" w:cs="Georgia" w:eastAsia="Georgia" w:hAnsi="Georgia"/>
          <w:color w:val="2C2C2C"/>
          <w:sz w:val="22"/>
          <w:szCs w:val="22"/>
        </w:rPr>
        <w:t xml:space="preserve">Given the findings, what specific direction would you recommend for the next phase? Be concrete — not “explore more” but “implement X because Y.”</w:t>
      </w:r>
    </w:p>
    <w:p>
      <w:pPr>
        <w:pStyle w:val="ListParagraph"/>
        <w:numPr>
          <w:ilvl w:val="0"/>
          <w:numId w:val="2"/>
        </w:numPr>
        <w:spacing w:after="100" w:line="300"/>
      </w:pPr>
      <w:r>
        <w:rPr>
          <w:rFonts w:ascii="Georgia" w:cs="Georgia" w:eastAsia="Georgia" w:hAnsi="Georgia"/>
          <w:b/>
          <w:bCs/>
          <w:color w:val="2C2C2C"/>
          <w:sz w:val="22"/>
          <w:szCs w:val="22"/>
        </w:rPr>
        <w:t xml:space="preserve">RESEARCH ANGLE: </w:t>
      </w:r>
      <w:r>
        <w:rPr>
          <w:rFonts w:ascii="Georgia" w:cs="Georgia" w:eastAsia="Georgia" w:hAnsi="Georgia"/>
          <w:color w:val="2C2C2C"/>
          <w:sz w:val="22"/>
          <w:szCs w:val="22"/>
        </w:rPr>
        <w:t xml:space="preserve">If this were an academic research project, what would the next paper be about? What’s the publishable question?</w:t>
      </w:r>
    </w:p>
    <w:p>
      <w:pPr>
        <w:pStyle w:val="ListParagraph"/>
        <w:numPr>
          <w:ilvl w:val="0"/>
          <w:numId w:val="2"/>
        </w:numPr>
        <w:spacing w:after="100" w:line="300"/>
      </w:pPr>
      <w:r>
        <w:rPr>
          <w:rFonts w:ascii="Georgia" w:cs="Georgia" w:eastAsia="Georgia" w:hAnsi="Georgia"/>
          <w:b/>
          <w:bCs/>
          <w:color w:val="2C2C2C"/>
          <w:sz w:val="22"/>
          <w:szCs w:val="22"/>
        </w:rPr>
        <w:t xml:space="preserve">WILD CARD: </w:t>
      </w:r>
      <w:r>
        <w:rPr>
          <w:rFonts w:ascii="Georgia" w:cs="Georgia" w:eastAsia="Georgia" w:hAnsi="Georgia"/>
          <w:color w:val="2C2C2C"/>
          <w:sz w:val="22"/>
          <w:szCs w:val="22"/>
        </w:rPr>
        <w:t xml:space="preserve">What’s the idea we haven’t considered? The lateral move, the reframe, the thing that changes the shape of the problem?</w:t>
      </w:r>
    </w:p>
    <w:p>
      <w:pPr>
        <w:pBdr>
          <w:bottom w:val="single" w:color="C8963E" w:sz="2" w:space="8"/>
        </w:pBdr>
        <w:spacing w:before="280" w:after="280"/>
      </w:pPr>
    </w:p>
    <w:p>
      <w:pPr>
        <w:pStyle w:val="Heading1"/>
        <w:spacing w:before="400" w:after="240"/>
      </w:pPr>
      <w:r>
        <w:rPr>
          <w:rFonts w:ascii="Georgia" w:cs="Georgia" w:eastAsia="Georgia" w:hAnsi="Georgia"/>
        </w:rPr>
        <w:t xml:space="preserve">Section 1: What ARES Is</w:t>
      </w:r>
    </w:p>
    <w:p>
      <w:pPr>
        <w:spacing w:after="180" w:line="300"/>
      </w:pPr>
      <w:r>
        <w:rPr>
          <w:rFonts w:ascii="Georgia" w:cs="Georgia" w:eastAsia="Georgia" w:hAnsi="Georgia"/>
          <w:color w:val="2C2C2C"/>
          <w:sz w:val="22"/>
          <w:szCs w:val="22"/>
        </w:rPr>
        <w:t xml:space="preserve">ARES (Adversarial Reasoning Engine System) is a dialectical AI framework for cybersecurity threat detection. Three LLM-powered agents — Architect (threat identifier), Skeptic (challenger), and Oracle (judge) — analyze security telemetry and render verdicts on whether observed events constitute genuine threats.</w:t>
      </w:r>
    </w:p>
    <w:p>
      <w:pPr>
        <w:pStyle w:val="Heading2"/>
        <w:spacing w:before="320" w:after="200"/>
      </w:pPr>
      <w:r>
        <w:rPr>
          <w:rFonts w:ascii="Georgia" w:cs="Georgia" w:eastAsia="Georgia" w:hAnsi="Georgia"/>
        </w:rPr>
        <w:t xml:space="preserve">Core Architecture</w:t>
      </w:r>
    </w:p>
    <w:p>
      <w:pPr>
        <w:pStyle w:val="ListParagraph"/>
        <w:numPr>
          <w:ilvl w:val="0"/>
          <w:numId w:val="2"/>
        </w:numPr>
        <w:spacing w:after="100" w:line="300"/>
      </w:pPr>
      <w:r>
        <w:rPr>
          <w:rFonts w:ascii="Georgia" w:cs="Georgia" w:eastAsia="Georgia" w:hAnsi="Georgia"/>
          <w:b/>
          <w:bCs/>
          <w:color w:val="2C2C2C"/>
          <w:sz w:val="22"/>
          <w:szCs w:val="22"/>
        </w:rPr>
        <w:t xml:space="preserve">Closed-world evidence system: </w:t>
      </w:r>
      <w:r>
        <w:rPr>
          <w:rFonts w:ascii="Georgia" w:cs="Georgia" w:eastAsia="Georgia" w:hAnsi="Georgia"/>
          <w:color w:val="2C2C2C"/>
          <w:sz w:val="22"/>
          <w:szCs w:val="22"/>
        </w:rPr>
        <w:t xml:space="preserve">All reasoning occurs over frozen EvidencePackets — immutable, provenance-stamped containers of facts extracted from real telemetry. If an agent references a fact that doesn’t exist in the evidence, the system catches it as a schema violation. Hallucinations become compile-time errors, not runtime failures.</w:t>
      </w:r>
    </w:p>
    <w:p>
      <w:pPr>
        <w:pStyle w:val="ListParagraph"/>
        <w:numPr>
          <w:ilvl w:val="0"/>
          <w:numId w:val="2"/>
        </w:numPr>
        <w:spacing w:after="100" w:line="300"/>
      </w:pPr>
      <w:r>
        <w:rPr>
          <w:rFonts w:ascii="Georgia" w:cs="Georgia" w:eastAsia="Georgia" w:hAnsi="Georgia"/>
          <w:b/>
          <w:bCs/>
          <w:color w:val="2C2C2C"/>
          <w:sz w:val="22"/>
          <w:szCs w:val="22"/>
        </w:rPr>
        <w:t xml:space="preserve">Three evidence sources: </w:t>
      </w:r>
      <w:r>
        <w:rPr>
          <w:rFonts w:ascii="Georgia" w:cs="Georgia" w:eastAsia="Georgia" w:hAnsi="Georgia"/>
          <w:color w:val="2C2C2C"/>
          <w:sz w:val="22"/>
          <w:szCs w:val="22"/>
        </w:rPr>
        <w:t xml:space="preserve">Windows Event Logs (logon/privilege/process events), Syslog (SSH/firewall/sudo/systemd), NetFlow (traffic metadata with timing, volume, direction). Each extractor stamps provenance and produces structured facts.</w:t>
      </w:r>
    </w:p>
    <w:p>
      <w:pPr>
        <w:pStyle w:val="ListParagraph"/>
        <w:numPr>
          <w:ilvl w:val="0"/>
          <w:numId w:val="2"/>
        </w:numPr>
        <w:spacing w:after="100" w:line="300"/>
      </w:pPr>
      <w:r>
        <w:rPr>
          <w:rFonts w:ascii="Georgia" w:cs="Georgia" w:eastAsia="Georgia" w:hAnsi="Georgia"/>
          <w:b/>
          <w:bCs/>
          <w:color w:val="2C2C2C"/>
          <w:sz w:val="22"/>
          <w:szCs w:val="22"/>
        </w:rPr>
        <w:t xml:space="preserve">Frozen dataclasses throughout: </w:t>
      </w:r>
      <w:r>
        <w:rPr>
          <w:rFonts w:ascii="Georgia" w:cs="Georgia" w:eastAsia="Georgia" w:hAnsi="Georgia"/>
          <w:color w:val="2C2C2C"/>
          <w:sz w:val="22"/>
          <w:szCs w:val="22"/>
        </w:rPr>
        <w:t xml:space="preserve">Immutability enforced at the type level. No mutable state in the evidence chain.</w:t>
      </w:r>
    </w:p>
    <w:p>
      <w:pPr>
        <w:pStyle w:val="ListParagraph"/>
        <w:numPr>
          <w:ilvl w:val="0"/>
          <w:numId w:val="2"/>
        </w:numPr>
        <w:spacing w:after="100" w:line="300"/>
      </w:pPr>
      <w:r>
        <w:rPr>
          <w:rFonts w:ascii="Georgia" w:cs="Georgia" w:eastAsia="Georgia" w:hAnsi="Georgia"/>
          <w:b/>
          <w:bCs/>
          <w:color w:val="2C2C2C"/>
          <w:sz w:val="22"/>
          <w:szCs w:val="22"/>
        </w:rPr>
        <w:t xml:space="preserve">Hash-chained Memory Stream: </w:t>
      </w:r>
      <w:r>
        <w:rPr>
          <w:rFonts w:ascii="Georgia" w:cs="Georgia" w:eastAsia="Georgia" w:hAnsi="Georgia"/>
          <w:color w:val="2C2C2C"/>
          <w:sz w:val="22"/>
          <w:szCs w:val="22"/>
        </w:rPr>
        <w:t xml:space="preserve">Every analytical cycle is stored as a tamper-evident audit entry linked to its predecessor via SHA-256 chain. Two backends: in-memory (testing) and Redis (persistent).</w:t>
      </w:r>
    </w:p>
    <w:p>
      <w:pPr>
        <w:pStyle w:val="ListParagraph"/>
        <w:numPr>
          <w:ilvl w:val="0"/>
          <w:numId w:val="2"/>
        </w:numPr>
        <w:spacing w:after="100" w:line="300"/>
      </w:pPr>
      <w:r>
        <w:rPr>
          <w:rFonts w:ascii="Georgia" w:cs="Georgia" w:eastAsia="Georgia" w:hAnsi="Georgia"/>
          <w:b/>
          <w:bCs/>
          <w:color w:val="2C2C2C"/>
          <w:sz w:val="22"/>
          <w:szCs w:val="22"/>
        </w:rPr>
        <w:t xml:space="preserve">Strategy Pattern for LLM injection: </w:t>
      </w:r>
      <w:r>
        <w:rPr>
          <w:rFonts w:ascii="Georgia" w:cs="Georgia" w:eastAsia="Georgia" w:hAnsi="Georgia"/>
          <w:color w:val="2C2C2C"/>
          <w:sz w:val="22"/>
          <w:szCs w:val="22"/>
        </w:rPr>
        <w:t xml:space="preserve">Rule-based agents validated first, then LLM strategies injected via the same interface. Swap strategies without touching agent code.</w:t>
      </w:r>
    </w:p>
    <w:p>
      <w:pPr>
        <w:pStyle w:val="Heading2"/>
        <w:spacing w:before="320" w:after="200"/>
      </w:pPr>
      <w:r>
        <w:rPr>
          <w:rFonts w:ascii="Georgia" w:cs="Georgia" w:eastAsia="Georgia" w:hAnsi="Georgia"/>
        </w:rPr>
        <w:t xml:space="preserve">Benchmark Infrastructure</w:t>
      </w:r>
    </w:p>
    <w:p>
      <w:pPr>
        <w:spacing w:after="180" w:line="300"/>
      </w:pPr>
      <w:r>
        <w:rPr>
          <w:rFonts w:ascii="Georgia" w:cs="Georgia" w:eastAsia="Georgia" w:hAnsi="Georgia"/>
          <w:color w:val="2C2C2C"/>
          <w:sz w:val="22"/>
          <w:szCs w:val="22"/>
        </w:rPr>
        <w:t xml:space="preserve">18 scenarios with known ground truth across four difficulty tiers. Combined corpus spans single-source (12 Windows-only scenarios) and mixed-source (6 cross-source scenarios using 2–3 evidence types). Automated benchmark runner with cost tracking, per-scenario accuracy, and multi-mode comparison.</w:t>
      </w:r>
    </w:p>
    <w:p>
      <w:pPr>
        <w:pStyle w:val="Heading2"/>
        <w:spacing w:before="320" w:after="200"/>
      </w:pPr>
      <w:r>
        <w:rPr>
          <w:rFonts w:ascii="Georgia" w:cs="Georgia" w:eastAsia="Georgia" w:hAnsi="Georgia"/>
        </w:rPr>
        <w:t xml:space="preserve">Scale</w:t>
      </w:r>
    </w:p>
    <w:p>
      <w:pPr>
        <w:spacing w:after="180" w:line="300"/>
      </w:pPr>
      <w:r>
        <w:rPr>
          <w:rFonts w:ascii="Georgia" w:cs="Georgia" w:eastAsia="Georgia" w:hAnsi="Georgia"/>
          <w:color w:val="2C2C2C"/>
          <w:sz w:val="22"/>
          <w:szCs w:val="22"/>
        </w:rPr>
        <w:t xml:space="preserve">1,595 passing tests. Zero regressions across 20 sessions. Three evidence extractors. Redis-backed persistent storage. Total API cost for all live experimentation: $0.96.</w:t>
      </w:r>
    </w:p>
    <w:p>
      <w:pPr>
        <w:pBdr>
          <w:bottom w:val="single" w:color="C8963E" w:sz="2" w:space="8"/>
        </w:pBdr>
        <w:spacing w:before="280" w:after="280"/>
      </w:pPr>
    </w:p>
    <w:p>
      <w:pPr>
        <w:pStyle w:val="Heading1"/>
        <w:spacing w:before="400" w:after="240"/>
      </w:pPr>
      <w:r>
        <w:rPr>
          <w:rFonts w:ascii="Georgia" w:cs="Georgia" w:eastAsia="Georgia" w:hAnsi="Georgia"/>
        </w:rPr>
        <w:t xml:space="preserve">Section 2: What We Tested and What Happened</w:t>
      </w:r>
    </w:p>
    <w:p>
      <w:pPr>
        <w:pStyle w:val="Heading2"/>
        <w:spacing w:before="320" w:after="200"/>
      </w:pPr>
      <w:r>
        <w:rPr>
          <w:rFonts w:ascii="Georgia" w:cs="Georgia" w:eastAsia="Georgia" w:hAnsi="Georgia"/>
        </w:rPr>
        <w:t xml:space="preserve">The Hypothesis</w:t>
      </w:r>
    </w:p>
    <w:p>
      <w:pPr>
        <w:spacing w:after="180" w:line="300"/>
      </w:pPr>
      <w:r>
        <w:rPr>
          <w:rFonts w:ascii="Georgia" w:cs="Georgia" w:eastAsia="Georgia" w:hAnsi="Georgia"/>
          <w:color w:val="2C2C2C"/>
          <w:sz w:val="22"/>
          <w:szCs w:val="22"/>
        </w:rPr>
        <w:t xml:space="preserve">Structured multi-turn debate between opposing AI agents should produce more accurate threat verdicts than single-pass reasoning, because the adversarial exchange forces each agent to defend its position against specific challenges, reducing over-confidence and catching analytical gaps.</w:t>
      </w:r>
    </w:p>
    <w:p>
      <w:pPr>
        <w:pStyle w:val="Heading2"/>
        <w:spacing w:before="320" w:after="200"/>
      </w:pPr>
      <w:r>
        <w:rPr>
          <w:rFonts w:ascii="Georgia" w:cs="Georgia" w:eastAsia="Georgia" w:hAnsi="Georgia"/>
        </w:rPr>
        <w:t xml:space="preserve">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600"/>
        <w:gridCol w:w="19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Mode</w:t>
            </w:r>
          </w:p>
        </w:tc>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Accuracy</w:t>
            </w:r>
          </w:p>
        </w:tc>
        <w:tc>
          <w:tcPr>
            <w:tcW w:type="dxa" w:w="1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Cost</w:t>
            </w:r>
          </w:p>
        </w:tc>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Avg Rounds</w:t>
            </w:r>
          </w:p>
        </w:tc>
        <w:tc>
          <w:tcPr>
            <w:tcW w:type="dxa" w:w="1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Corpus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Single-Turn LLM</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83.3% (15/18)</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$0.31</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1</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18 scenarios</w:t>
            </w:r>
          </w:p>
        </w:tc>
      </w:tr>
      <w:tr>
        <w:tc>
          <w:tcPr>
            <w:tcW w:type="dxa" w:w="28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Multi-Turn Original</w:t>
            </w:r>
          </w:p>
        </w:tc>
        <w:tc>
          <w:tcPr>
            <w:tcW w:type="dxa" w:w="16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66.7% (12/18)</w:t>
            </w:r>
          </w:p>
        </w:tc>
        <w:tc>
          <w:tcPr>
            <w:tcW w:type="dxa" w:w="14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$0.67</w:t>
            </w:r>
          </w:p>
        </w:tc>
        <w:tc>
          <w:tcPr>
            <w:tcW w:type="dxa" w:w="16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2.2</w:t>
            </w:r>
          </w:p>
        </w:tc>
        <w:tc>
          <w:tcPr>
            <w:tcW w:type="dxa" w:w="19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18 scenarios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Multi-Turn Anchored</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66.7% (12/18)</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$0.83</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2.1</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18 scenarios</w:t>
            </w:r>
          </w:p>
        </w:tc>
      </w:tr>
    </w:tbl>
    <w:p>
      <w:pPr>
        <w:spacing w:before="100" w:after="0"/>
      </w:pPr>
    </w:p>
    <w:p>
      <w:pPr>
        <w:spacing w:after="180" w:line="300"/>
      </w:pPr>
      <w:r>
        <w:rPr>
          <w:rFonts w:ascii="Georgia" w:cs="Georgia" w:eastAsia="Georgia" w:hAnsi="Georgia"/>
          <w:color w:val="2C2C2C"/>
          <w:sz w:val="22"/>
          <w:szCs w:val="22"/>
        </w:rPr>
        <w:t xml:space="preserve">Multi-turn debate underperformed single-turn by 16–22 points across two protocol variants and two evidence distributions (single-source and mixed-source).</w:t>
      </w:r>
    </w:p>
    <w:p>
      <w:pPr>
        <w:pStyle w:val="Heading2"/>
        <w:spacing w:before="320" w:after="200"/>
      </w:pPr>
      <w:r>
        <w:rPr>
          <w:rFonts w:ascii="Georgia" w:cs="Georgia" w:eastAsia="Georgia" w:hAnsi="Georgia"/>
        </w:rPr>
        <w:t xml:space="preserve">The Diagnosed Failure Mechanism</w:t>
      </w:r>
    </w:p>
    <w:p>
      <w:pPr>
        <w:spacing w:after="180" w:line="300"/>
      </w:pPr>
      <w:r>
        <w:rPr>
          <w:rFonts w:ascii="Georgia" w:cs="Georgia" w:eastAsia="Georgia" w:hAnsi="Georgia"/>
          <w:b/>
          <w:bCs/>
          <w:color w:val="2C2C2C"/>
          <w:sz w:val="22"/>
          <w:szCs w:val="22"/>
        </w:rPr>
        <w:t xml:space="preserve">1. Architect Retreat. </w:t>
      </w:r>
      <w:r>
        <w:rPr>
          <w:rFonts w:ascii="Georgia" w:cs="Georgia" w:eastAsia="Georgia" w:hAnsi="Georgia"/>
          <w:color w:val="2C2C2C"/>
          <w:sz w:val="22"/>
          <w:szCs w:val="22"/>
        </w:rPr>
        <w:t xml:space="preserve">The Architect systematically lowered confidence under Skeptic pressure, dropping 25–40 points per round. Starting confidences of 0.85–0.98 collapsed to 0.45–0.65 by round 2, regardless of evidence quality. The Architect treated vague skepticism as evidence against its position.</w:t>
      </w:r>
    </w:p>
    <w:p>
      <w:pPr>
        <w:spacing w:after="180" w:line="300"/>
      </w:pPr>
      <w:r>
        <w:rPr>
          <w:rFonts w:ascii="Georgia" w:cs="Georgia" w:eastAsia="Georgia" w:hAnsi="Georgia"/>
          <w:b/>
          <w:bCs/>
          <w:color w:val="2C2C2C"/>
          <w:sz w:val="22"/>
          <w:szCs w:val="22"/>
        </w:rPr>
        <w:t xml:space="preserve">2. Skeptic Rigidity. </w:t>
      </w:r>
      <w:r>
        <w:rPr>
          <w:rFonts w:ascii="Georgia" w:cs="Georgia" w:eastAsia="Georgia" w:hAnsi="Georgia"/>
          <w:color w:val="2C2C2C"/>
          <w:sz w:val="22"/>
          <w:szCs w:val="22"/>
        </w:rPr>
        <w:t xml:space="preserve">The Skeptic rarely adjusted confidence in response to Architect arguments. It held or strengthened regardless of counter-evidence presented. The debate was structurally one-directional.</w:t>
      </w:r>
    </w:p>
    <w:p>
      <w:pPr>
        <w:spacing w:after="180" w:line="300"/>
      </w:pPr>
      <w:r>
        <w:rPr>
          <w:rFonts w:ascii="Georgia" w:cs="Georgia" w:eastAsia="Georgia" w:hAnsi="Georgia"/>
          <w:b/>
          <w:bCs/>
          <w:color w:val="2C2C2C"/>
          <w:sz w:val="22"/>
          <w:szCs w:val="22"/>
        </w:rPr>
        <w:t xml:space="preserve">3. Fix Creates New Failure. </w:t>
      </w:r>
      <w:r>
        <w:rPr>
          <w:rFonts w:ascii="Georgia" w:cs="Georgia" w:eastAsia="Georgia" w:hAnsi="Georgia"/>
          <w:color w:val="2C2C2C"/>
          <w:sz w:val="22"/>
          <w:szCs w:val="22"/>
        </w:rPr>
        <w:t xml:space="preserve">Conviction anchoring (Session 020) solved the Architect retreat — confidences rose to 0.75–1.00. But it introduced Architect over-confidence on ambiguous scenarios and didn’t solve Skeptic rigidity. Net: +4 scenarios fixed, –4 new scenarios broken. Zero net improvement.</w:t>
      </w:r>
    </w:p>
    <w:p>
      <w:pPr>
        <w:pStyle w:val="Heading2"/>
        <w:spacing w:before="320" w:after="200"/>
      </w:pPr>
      <w:r>
        <w:rPr>
          <w:rFonts w:ascii="Georgia" w:cs="Georgia" w:eastAsia="Georgia" w:hAnsi="Georgia"/>
        </w:rPr>
        <w:t xml:space="preserve">The One Success</w:t>
      </w:r>
    </w:p>
    <w:p>
      <w:pPr>
        <w:spacing w:after="180" w:line="300"/>
      </w:pPr>
      <w:r>
        <w:rPr>
          <w:rFonts w:ascii="Georgia" w:cs="Georgia" w:eastAsia="Georgia" w:hAnsi="Georgia"/>
          <w:color w:val="2C2C2C"/>
          <w:sz w:val="22"/>
          <w:szCs w:val="22"/>
        </w:rPr>
        <w:t xml:space="preserve">Scenario SC-017 (Cloud Backup vs. Exfiltration Ambiguity): Single-turn over-committed to THREAT_DISMISSED. Multi-turn pulled it back to INCONCLUSIVE at 0.503 across 3 rounds — correctly identifying genuine ambiguity. This is the only scenario where debate improved the verdict.</w:t>
      </w:r>
    </w:p>
    <w:p>
      <w:pPr>
        <w:pStyle w:val="Heading2"/>
        <w:spacing w:before="320" w:after="200"/>
      </w:pPr>
      <w:r>
        <w:rPr>
          <w:rFonts w:ascii="Georgia" w:cs="Georgia" w:eastAsia="Georgia" w:hAnsi="Georgia"/>
        </w:rPr>
        <w:t xml:space="preserve">Per-Scenario Comparison (Full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2100"/>
        <w:gridCol w:w="2100"/>
        <w:gridCol w:w="2060"/>
      </w:tblGrid>
      <w:tr>
        <w:tc>
          <w:tcPr>
            <w:tcW w:type="dxa" w:w="1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ID</w:t>
            </w:r>
          </w:p>
        </w:tc>
        <w:tc>
          <w:tcPr>
            <w:tcW w:type="dxa" w:w="21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Expected</w:t>
            </w:r>
          </w:p>
        </w:tc>
        <w:tc>
          <w:tcPr>
            <w:tcW w:type="dxa" w:w="21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Single-Turn</w:t>
            </w:r>
          </w:p>
        </w:tc>
        <w:tc>
          <w:tcPr>
            <w:tcW w:type="dxa" w:w="21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MT Original</w:t>
            </w:r>
          </w:p>
        </w:tc>
        <w:tc>
          <w:tcPr>
            <w:tcW w:type="dxa" w:w="20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MT Anchored</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SC-001</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INCONCLUSIVE</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r>
      <w:tr>
        <w:tc>
          <w:tcPr>
            <w:tcW w:type="dxa" w:w="1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SC-002</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THREAT_CONFIRMED</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0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SC-003</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THREAT_CONFIRMED</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r>
      <w:tr>
        <w:tc>
          <w:tcPr>
            <w:tcW w:type="dxa" w:w="1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SC-004</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THREAT_CONFIRMED</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0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SC-005</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INCONCLUSIVE</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r>
      <w:tr>
        <w:tc>
          <w:tcPr>
            <w:tcW w:type="dxa" w:w="1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SC-006</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INCONCLUSIVE</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0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SC-007</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INCONCLUSIVE</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r>
      <w:tr>
        <w:tc>
          <w:tcPr>
            <w:tcW w:type="dxa" w:w="1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SC-008</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THREAT_DISMISSED</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0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SC-009</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THREAT_DISMISSED</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r>
      <w:tr>
        <w:tc>
          <w:tcPr>
            <w:tcW w:type="dxa" w:w="1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SC-010</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THREAT_CONFIRMED</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0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SC-011</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INCONCLUSIVE</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r>
      <w:tr>
        <w:tc>
          <w:tcPr>
            <w:tcW w:type="dxa" w:w="1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SC-012</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INCONCLUSIVE</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0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SC-013</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THREAT_CONFIRMED</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r>
      <w:tr>
        <w:tc>
          <w:tcPr>
            <w:tcW w:type="dxa" w:w="1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SC-014</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THREAT_CONFIRMED</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0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SC-015</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THREAT_DISMISSED</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r>
      <w:tr>
        <w:tc>
          <w:tcPr>
            <w:tcW w:type="dxa" w:w="1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SC-016</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THREAT_CONFIRMED</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 ✓</w:t>
            </w:r>
          </w:p>
        </w:tc>
        <w:tc>
          <w:tcPr>
            <w:tcW w:type="dxa" w:w="20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 ✗</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SC-017</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INCONCLUSIVE</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r>
      <w:tr>
        <w:tc>
          <w:tcPr>
            <w:tcW w:type="dxa" w:w="1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SC-018</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THREAT_DISMISSED</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1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c>
          <w:tcPr>
            <w:tcW w:type="dxa" w:w="20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DISMISS ✓</w:t>
            </w:r>
          </w:p>
        </w:tc>
      </w:tr>
    </w:tbl>
    <w:p>
      <w:pPr>
        <w:spacing w:before="60" w:after="0"/>
      </w:pPr>
    </w:p>
    <w:p>
      <w:pPr>
        <w:spacing w:after="180" w:line="300"/>
      </w:pPr>
      <w:r>
        <w:rPr>
          <w:rFonts w:ascii="Georgia" w:cs="Georgia" w:eastAsia="Georgia" w:hAnsi="Georgia"/>
          <w:b/>
          <w:bCs/>
          <w:color w:val="2C2C2C"/>
          <w:sz w:val="22"/>
          <w:szCs w:val="22"/>
        </w:rPr>
        <w:t xml:space="preserve">Key observation: </w:t>
      </w:r>
      <w:r>
        <w:rPr>
          <w:rFonts w:ascii="Georgia" w:cs="Georgia" w:eastAsia="Georgia" w:hAnsi="Georgia"/>
          <w:color w:val="2C2C2C"/>
          <w:sz w:val="22"/>
          <w:szCs w:val="22"/>
        </w:rPr>
        <w:t xml:space="preserve">No single mode gets all 18 right. Single-turn misses SC-011, SC-016, SC-017. Original multi-turn uniquely gets SC-011 and SC-016 right. Anchored multi-turn uniquely recovers SC-002, SC-005, SC-009, SC-013 but loses SC-001, SC-014, SC-016. The three modes have complementary strengths.</w:t>
      </w:r>
    </w:p>
    <w:p>
      <w:pPr>
        <w:pBdr>
          <w:bottom w:val="single" w:color="C8963E" w:sz="2" w:space="8"/>
        </w:pBdr>
        <w:spacing w:before="280" w:after="280"/>
      </w:pPr>
    </w:p>
    <w:p>
      <w:pPr>
        <w:pStyle w:val="Heading1"/>
        <w:spacing w:before="400" w:after="240"/>
      </w:pPr>
      <w:r>
        <w:rPr>
          <w:rFonts w:ascii="Georgia" w:cs="Georgia" w:eastAsia="Georgia" w:hAnsi="Georgia"/>
        </w:rPr>
        <w:t xml:space="preserve">Section 3: External Validation — The ETH Zurich Paper</w:t>
      </w:r>
    </w:p>
    <w:p>
      <w:pPr>
        <w:spacing w:after="180" w:line="300"/>
      </w:pPr>
      <w:r>
        <w:rPr>
          <w:rFonts w:ascii="Georgia" w:cs="Georgia" w:eastAsia="Georgia" w:hAnsi="Georgia"/>
          <w:color w:val="2C2C2C"/>
          <w:sz w:val="22"/>
          <w:szCs w:val="22"/>
        </w:rPr>
        <w:t xml:space="preserve">On March 12, 2026, Berdoz, Rugli, and Wattenhofer (ETH Zurich) published “Can AI Agents Agree?” (arXiv:2603.01213v2), studying Byzantine consensus among LLM agents in a no-stake scalar agreement game.</w:t>
      </w:r>
    </w:p>
    <w:p>
      <w:pPr>
        <w:pStyle w:val="Heading2"/>
        <w:spacing w:before="320" w:after="200"/>
      </w:pPr>
      <w:r>
        <w:rPr>
          <w:rFonts w:ascii="Georgia" w:cs="Georgia" w:eastAsia="Georgia" w:hAnsi="Georgia"/>
        </w:rPr>
        <w:t xml:space="preserve">Their Key Findings</w:t>
      </w:r>
    </w:p>
    <w:p>
      <w:pPr>
        <w:pStyle w:val="ListParagraph"/>
        <w:numPr>
          <w:ilvl w:val="0"/>
          <w:numId w:val="2"/>
        </w:numPr>
        <w:spacing w:after="100" w:line="300"/>
      </w:pPr>
      <w:r>
        <w:rPr>
          <w:rFonts w:ascii="Georgia" w:cs="Georgia" w:eastAsia="Georgia" w:hAnsi="Georgia"/>
          <w:color w:val="2C2C2C"/>
          <w:sz w:val="22"/>
          <w:szCs w:val="22"/>
        </w:rPr>
        <w:t xml:space="preserve">Valid consensus achieved in only 41.6% of runs, even without any adversarial agents.</w:t>
      </w:r>
    </w:p>
    <w:p>
      <w:pPr>
        <w:pStyle w:val="ListParagraph"/>
        <w:numPr>
          <w:ilvl w:val="0"/>
          <w:numId w:val="2"/>
        </w:numPr>
        <w:spacing w:after="100" w:line="300"/>
      </w:pPr>
      <w:r>
        <w:rPr>
          <w:rFonts w:ascii="Georgia" w:cs="Georgia" w:eastAsia="Georgia" w:hAnsi="Georgia"/>
          <w:color w:val="2C2C2C"/>
          <w:sz w:val="22"/>
          <w:szCs w:val="22"/>
        </w:rPr>
        <w:t xml:space="preserve">Failures dominated by liveness loss (stalled convergence), not value corruption.</w:t>
      </w:r>
    </w:p>
    <w:p>
      <w:pPr>
        <w:pStyle w:val="ListParagraph"/>
        <w:numPr>
          <w:ilvl w:val="0"/>
          <w:numId w:val="2"/>
        </w:numPr>
        <w:spacing w:after="100" w:line="300"/>
      </w:pPr>
      <w:r>
        <w:rPr>
          <w:rFonts w:ascii="Georgia" w:cs="Georgia" w:eastAsia="Georgia" w:hAnsi="Georgia"/>
          <w:color w:val="2C2C2C"/>
          <w:sz w:val="22"/>
          <w:szCs w:val="22"/>
        </w:rPr>
        <w:t xml:space="preserve">A single Byzantine agent collapses consensus success to near-zero.</w:t>
      </w:r>
    </w:p>
    <w:p>
      <w:pPr>
        <w:pStyle w:val="ListParagraph"/>
        <w:numPr>
          <w:ilvl w:val="0"/>
          <w:numId w:val="2"/>
        </w:numPr>
        <w:spacing w:after="100" w:line="300"/>
      </w:pPr>
      <w:r>
        <w:rPr>
          <w:rFonts w:ascii="Georgia" w:cs="Georgia" w:eastAsia="Georgia" w:hAnsi="Georgia"/>
          <w:color w:val="2C2C2C"/>
          <w:sz w:val="22"/>
          <w:szCs w:val="22"/>
        </w:rPr>
        <w:t xml:space="preserve">Merely mentioning possible adversaries drops performance by 16 percentage points.</w:t>
      </w:r>
    </w:p>
    <w:p>
      <w:pPr>
        <w:pStyle w:val="ListParagraph"/>
        <w:numPr>
          <w:ilvl w:val="0"/>
          <w:numId w:val="2"/>
        </w:numPr>
        <w:spacing w:after="100" w:line="300"/>
      </w:pPr>
      <w:r>
        <w:rPr>
          <w:rFonts w:ascii="Georgia" w:cs="Georgia" w:eastAsia="Georgia" w:hAnsi="Georgia"/>
          <w:color w:val="2C2C2C"/>
          <w:sz w:val="22"/>
          <w:szCs w:val="22"/>
        </w:rPr>
        <w:t xml:space="preserve">Performance degrades as group size increases (46.6% at N=4 to 33.3% at N=16).</w:t>
      </w:r>
    </w:p>
    <w:p>
      <w:pPr>
        <w:pStyle w:val="Heading2"/>
        <w:spacing w:before="320" w:after="200"/>
      </w:pPr>
      <w:r>
        <w:rPr>
          <w:rFonts w:ascii="Georgia" w:cs="Georgia" w:eastAsia="Georgia" w:hAnsi="Georgia"/>
        </w:rPr>
        <w:t xml:space="preserve">Point-by-Point Alignment with 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Phenomenon</w:t>
            </w:r>
          </w:p>
        </w:tc>
        <w:tc>
          <w:tcPr>
            <w:tcW w:type="dxa" w:w="3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ETH Finding</w:t>
            </w:r>
          </w:p>
        </w:tc>
        <w:tc>
          <w:tcPr>
            <w:tcW w:type="dxa" w:w="3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ARES Finding</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Benign failure</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41.6% consensus without adversaries</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61–67% accuracy in debate (below single-pass)</w:t>
            </w:r>
          </w:p>
        </w:tc>
      </w:tr>
      <w:tr>
        <w:tc>
          <w:tcPr>
            <w:tcW w:type="dxa" w:w="2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Stalled convergence</w:t>
            </w:r>
          </w:p>
        </w:tc>
        <w:tc>
          <w:tcPr>
            <w:tcW w:type="dxa" w:w="368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Agents time out; proposals freeze</w:t>
            </w:r>
          </w:p>
        </w:tc>
        <w:tc>
          <w:tcPr>
            <w:tcW w:type="dxa" w:w="368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Architect retreats, Skeptic refuses to move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Adversarial sensitivity</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One Byzantine agent collapses system</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Skeptic functionally acts as adversary via rigidity</w:t>
            </w:r>
          </w:p>
        </w:tc>
      </w:tr>
      <w:tr>
        <w:tc>
          <w:tcPr>
            <w:tcW w:type="dxa" w:w="2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Prompt cascading</w:t>
            </w:r>
          </w:p>
        </w:tc>
        <w:tc>
          <w:tcPr>
            <w:tcW w:type="dxa" w:w="368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Mentioning adversaries changes behavior</w:t>
            </w:r>
          </w:p>
        </w:tc>
        <w:tc>
          <w:tcPr>
            <w:tcW w:type="dxa" w:w="368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Fixing one agent’s prompts breaks the other’s</w:t>
            </w:r>
          </w:p>
        </w:tc>
      </w:tr>
    </w:tbl>
    <w:p>
      <w:pPr>
        <w:spacing w:before="80" w:after="0"/>
      </w:pPr>
    </w:p>
    <w:p>
      <w:pPr>
        <w:spacing w:after="180" w:line="300"/>
      </w:pPr>
      <w:r>
        <w:rPr>
          <w:rFonts w:ascii="Georgia" w:cs="Georgia" w:eastAsia="Georgia" w:hAnsi="Georgia"/>
          <w:color w:val="2C2C2C"/>
          <w:sz w:val="22"/>
          <w:szCs w:val="22"/>
        </w:rPr>
        <w:t xml:space="preserve">Both studies independently conclude that reliable agreement is not a dependable emergent capability of current LLM-agent groups.</w:t>
      </w:r>
    </w:p>
    <w:p>
      <w:pPr>
        <w:pBdr>
          <w:bottom w:val="single" w:color="C8963E" w:sz="2" w:space="8"/>
        </w:pBdr>
        <w:spacing w:before="280" w:after="280"/>
      </w:pPr>
    </w:p>
    <w:p>
      <w:pPr>
        <w:pStyle w:val="Heading1"/>
        <w:spacing w:before="400" w:after="240"/>
      </w:pPr>
      <w:r>
        <w:rPr>
          <w:rFonts w:ascii="Georgia" w:cs="Georgia" w:eastAsia="Georgia" w:hAnsi="Georgia"/>
        </w:rPr>
        <w:t xml:space="preserve">Section 4: Competitive Advantages</w:t>
      </w:r>
    </w:p>
    <w:p>
      <w:pPr>
        <w:spacing w:after="180" w:line="300"/>
      </w:pPr>
      <w:r>
        <w:rPr>
          <w:rFonts w:ascii="Georgia" w:cs="Georgia" w:eastAsia="Georgia" w:hAnsi="Georgia"/>
          <w:b/>
          <w:bCs/>
          <w:color w:val="2C2C2C"/>
          <w:sz w:val="22"/>
          <w:szCs w:val="22"/>
        </w:rPr>
        <w:t xml:space="preserve">Domain-specific testbed. </w:t>
      </w:r>
      <w:r>
        <w:rPr>
          <w:rFonts w:ascii="Georgia" w:cs="Georgia" w:eastAsia="Georgia" w:hAnsi="Georgia"/>
          <w:color w:val="2C2C2C"/>
          <w:sz w:val="22"/>
          <w:szCs w:val="22"/>
        </w:rPr>
        <w:t xml:space="preserve">Real cybersecurity telemetry with verifiable ground truth. Not an abstract number game. Findings are grounded in a domain where wrong answers have consequences.</w:t>
      </w:r>
    </w:p>
    <w:p>
      <w:pPr>
        <w:spacing w:after="180" w:line="300"/>
      </w:pPr>
      <w:r>
        <w:rPr>
          <w:rFonts w:ascii="Georgia" w:cs="Georgia" w:eastAsia="Georgia" w:hAnsi="Georgia"/>
          <w:b/>
          <w:bCs/>
          <w:color w:val="2C2C2C"/>
          <w:sz w:val="22"/>
          <w:szCs w:val="22"/>
        </w:rPr>
        <w:t xml:space="preserve">Mechanistic diagnosis. </w:t>
      </w:r>
      <w:r>
        <w:rPr>
          <w:rFonts w:ascii="Georgia" w:cs="Georgia" w:eastAsia="Georgia" w:hAnsi="Georgia"/>
          <w:color w:val="2C2C2C"/>
          <w:sz w:val="22"/>
          <w:szCs w:val="22"/>
        </w:rPr>
        <w:t xml:space="preserve">We didn’t just find that debate fails. We diagnosed WHY (asymmetric confidence dynamics), attempted a targeted fix, and proved the fix was insufficient — narrowing the solution space.</w:t>
      </w:r>
    </w:p>
    <w:p>
      <w:pPr>
        <w:spacing w:after="180" w:line="300"/>
      </w:pPr>
      <w:r>
        <w:rPr>
          <w:rFonts w:ascii="Georgia" w:cs="Georgia" w:eastAsia="Georgia" w:hAnsi="Georgia"/>
          <w:b/>
          <w:bCs/>
          <w:color w:val="2C2C2C"/>
          <w:sz w:val="22"/>
          <w:szCs w:val="22"/>
        </w:rPr>
        <w:t xml:space="preserve">Production-viable baseline. </w:t>
      </w:r>
      <w:r>
        <w:rPr>
          <w:rFonts w:ascii="Georgia" w:cs="Georgia" w:eastAsia="Georgia" w:hAnsi="Georgia"/>
          <w:color w:val="2C2C2C"/>
          <w:sz w:val="22"/>
          <w:szCs w:val="22"/>
        </w:rPr>
        <w:t xml:space="preserve">83% single-turn accuracy ships alongside the negative multi-turn result. Research and product coexist.</w:t>
      </w:r>
    </w:p>
    <w:p>
      <w:pPr>
        <w:spacing w:after="180" w:line="300"/>
      </w:pPr>
      <w:r>
        <w:rPr>
          <w:rFonts w:ascii="Georgia" w:cs="Georgia" w:eastAsia="Georgia" w:hAnsi="Georgia"/>
          <w:b/>
          <w:bCs/>
          <w:color w:val="2C2C2C"/>
          <w:sz w:val="22"/>
          <w:szCs w:val="22"/>
        </w:rPr>
        <w:t xml:space="preserve">Instrumented infrastructure. </w:t>
      </w:r>
      <w:r>
        <w:rPr>
          <w:rFonts w:ascii="Georgia" w:cs="Georgia" w:eastAsia="Georgia" w:hAnsi="Georgia"/>
          <w:color w:val="2C2C2C"/>
          <w:sz w:val="22"/>
          <w:szCs w:val="22"/>
        </w:rPr>
        <w:t xml:space="preserve">Frozen evidence chains, hash-chained audit trails, per-scenario benchmarks, cost tracking, three extractors. New experiments can run immediately against existing infrastructure.</w:t>
      </w:r>
    </w:p>
    <w:p>
      <w:pPr>
        <w:spacing w:after="180" w:line="300"/>
      </w:pPr>
      <w:r>
        <w:rPr>
          <w:rFonts w:ascii="Georgia" w:cs="Georgia" w:eastAsia="Georgia" w:hAnsi="Georgia"/>
          <w:b/>
          <w:bCs/>
          <w:color w:val="2C2C2C"/>
          <w:sz w:val="22"/>
          <w:szCs w:val="22"/>
        </w:rPr>
        <w:t xml:space="preserve">Longitudinal record. </w:t>
      </w:r>
      <w:r>
        <w:rPr>
          <w:rFonts w:ascii="Georgia" w:cs="Georgia" w:eastAsia="Georgia" w:hAnsi="Georgia"/>
          <w:color w:val="2C2C2C"/>
          <w:sz w:val="22"/>
          <w:szCs w:val="22"/>
        </w:rPr>
        <w:t xml:space="preserve">20 sessions documented. Every decision, every test count, every regression check. Reproducible from the ground up.</w:t>
      </w:r>
    </w:p>
    <w:p>
      <w:pPr>
        <w:spacing w:after="180" w:line="300"/>
      </w:pPr>
      <w:r>
        <w:rPr>
          <w:rFonts w:ascii="Georgia" w:cs="Georgia" w:eastAsia="Georgia" w:hAnsi="Georgia"/>
          <w:b/>
          <w:bCs/>
          <w:color w:val="2C2C2C"/>
          <w:sz w:val="22"/>
          <w:szCs w:val="22"/>
        </w:rPr>
        <w:t xml:space="preserve">Complementary mode strengths. </w:t>
      </w:r>
      <w:r>
        <w:rPr>
          <w:rFonts w:ascii="Georgia" w:cs="Georgia" w:eastAsia="Georgia" w:hAnsi="Georgia"/>
          <w:color w:val="2C2C2C"/>
          <w:sz w:val="22"/>
          <w:szCs w:val="22"/>
        </w:rPr>
        <w:t xml:space="preserve">The three modes (single-turn, original multi-turn, anchored multi-turn) get DIFFERENT scenarios right. An ensemble or meta-strategy might outperform all three.</w:t>
      </w:r>
    </w:p>
    <w:p>
      <w:pPr>
        <w:pBdr>
          <w:bottom w:val="single" w:color="C8963E" w:sz="2" w:space="8"/>
        </w:pBdr>
        <w:spacing w:before="280" w:after="280"/>
      </w:pPr>
    </w:p>
    <w:p>
      <w:pPr>
        <w:pStyle w:val="Heading1"/>
        <w:spacing w:before="400" w:after="240"/>
      </w:pPr>
      <w:r>
        <w:rPr>
          <w:rFonts w:ascii="Georgia" w:cs="Georgia" w:eastAsia="Georgia" w:hAnsi="Georgia"/>
        </w:rPr>
        <w:t xml:space="preserve">Section 5: Candidate Directions (Debate These)</w:t>
      </w:r>
    </w:p>
    <w:p>
      <w:pPr>
        <w:spacing w:after="180" w:line="300"/>
      </w:pPr>
      <w:r>
        <w:rPr>
          <w:rFonts w:ascii="Georgia" w:cs="Georgia" w:eastAsia="Georgia" w:hAnsi="Georgia"/>
          <w:color w:val="2C2C2C"/>
          <w:sz w:val="22"/>
          <w:szCs w:val="22"/>
        </w:rPr>
        <w:t xml:space="preserve">The following are directions we have identified. They are presented as options, not recommendations. Your job is to evaluate, challenge, rank, and propose alternatives.</w:t>
      </w:r>
    </w:p>
    <w:p>
      <w:pPr>
        <w:pStyle w:val="Heading2"/>
        <w:spacing w:before="320" w:after="200"/>
      </w:pPr>
      <w:r>
        <w:rPr>
          <w:rFonts w:ascii="Georgia" w:cs="Georgia" w:eastAsia="Georgia" w:hAnsi="Georgia"/>
        </w:rPr>
        <w:t xml:space="preserve">Direction A: Ensemble Meta-Judge</w:t>
      </w:r>
    </w:p>
    <w:p>
      <w:pPr>
        <w:spacing w:after="180" w:line="300"/>
      </w:pPr>
      <w:r>
        <w:rPr>
          <w:rFonts w:ascii="Georgia" w:cs="Georgia" w:eastAsia="Georgia" w:hAnsi="Georgia"/>
          <w:color w:val="2C2C2C"/>
          <w:sz w:val="22"/>
          <w:szCs w:val="22"/>
        </w:rPr>
        <w:t xml:space="preserve">Run all three modes (single-turn, original multi-turn, anchored multi-turn) and use a meta-judge to synthesize the best verdict. Each mode gets different scenarios right. A weighted ensemble could potentially exceed any individual mode’s accuracy.</w:t>
      </w:r>
    </w:p>
    <w:p>
      <w:pPr>
        <w:spacing w:after="180" w:line="300"/>
      </w:pPr>
      <w:r>
        <w:rPr>
          <w:rFonts w:ascii="Georgia" w:cs="Georgia" w:eastAsia="Georgia" w:hAnsi="Georgia"/>
          <w:b/>
          <w:bCs/>
          <w:color w:val="C0392B"/>
          <w:sz w:val="22"/>
          <w:szCs w:val="22"/>
        </w:rPr>
        <w:t xml:space="preserve">Risk: </w:t>
      </w:r>
      <w:r>
        <w:rPr>
          <w:rFonts w:ascii="Georgia" w:cs="Georgia" w:eastAsia="Georgia" w:hAnsi="Georgia"/>
          <w:color w:val="2C2C2C"/>
          <w:sz w:val="22"/>
          <w:szCs w:val="22"/>
        </w:rPr>
        <w:t xml:space="preserve">3x cost, added complexity, and the meta-judge might introduce its own failure modes.</w:t>
      </w:r>
    </w:p>
    <w:p>
      <w:pPr>
        <w:pStyle w:val="Heading2"/>
        <w:spacing w:before="320" w:after="200"/>
      </w:pPr>
      <w:r>
        <w:rPr>
          <w:rFonts w:ascii="Georgia" w:cs="Georgia" w:eastAsia="Georgia" w:hAnsi="Georgia"/>
        </w:rPr>
        <w:t xml:space="preserve">Direction B: Per-Claim Debate Architecture</w:t>
      </w:r>
    </w:p>
    <w:p>
      <w:pPr>
        <w:spacing w:after="180" w:line="300"/>
      </w:pPr>
      <w:r>
        <w:rPr>
          <w:rFonts w:ascii="Georgia" w:cs="Georgia" w:eastAsia="Georgia" w:hAnsi="Georgia"/>
          <w:color w:val="2C2C2C"/>
          <w:sz w:val="22"/>
          <w:szCs w:val="22"/>
        </w:rPr>
        <w:t xml:space="preserve">Instead of agents debating overall verdicts, force the debate onto specific disputed facts. Each round identifies specific claims in contention, presents evidence for/against each, and tracks per-claim confidence. Overall verdict emerges from the claim-level assessments.</w:t>
      </w:r>
    </w:p>
    <w:p>
      <w:pPr>
        <w:spacing w:after="180" w:line="300"/>
      </w:pPr>
      <w:r>
        <w:rPr>
          <w:rFonts w:ascii="Georgia" w:cs="Georgia" w:eastAsia="Georgia" w:hAnsi="Georgia"/>
          <w:b/>
          <w:bCs/>
          <w:color w:val="C0392B"/>
          <w:sz w:val="22"/>
          <w:szCs w:val="22"/>
        </w:rPr>
        <w:t xml:space="preserve">Risk: </w:t>
      </w:r>
      <w:r>
        <w:rPr>
          <w:rFonts w:ascii="Georgia" w:cs="Georgia" w:eastAsia="Georgia" w:hAnsi="Georgia"/>
          <w:color w:val="2C2C2C"/>
          <w:sz w:val="22"/>
          <w:szCs w:val="22"/>
        </w:rPr>
        <w:t xml:space="preserve">Significant architectural change. Requires new message formats, new Oracle logic, new benchmark methodology.</w:t>
      </w:r>
    </w:p>
    <w:p>
      <w:pPr>
        <w:pStyle w:val="Heading2"/>
        <w:spacing w:before="320" w:after="200"/>
      </w:pPr>
      <w:r>
        <w:rPr>
          <w:rFonts w:ascii="Georgia" w:cs="Georgia" w:eastAsia="Georgia" w:hAnsi="Georgia"/>
        </w:rPr>
        <w:t xml:space="preserve">Direction C: Heterogeneous Agent Models</w:t>
      </w:r>
    </w:p>
    <w:p>
      <w:pPr>
        <w:spacing w:after="180" w:line="300"/>
      </w:pPr>
      <w:r>
        <w:rPr>
          <w:rFonts w:ascii="Georgia" w:cs="Georgia" w:eastAsia="Georgia" w:hAnsi="Georgia"/>
          <w:color w:val="2C2C2C"/>
          <w:sz w:val="22"/>
          <w:szCs w:val="22"/>
        </w:rPr>
        <w:t xml:space="preserve">Use different LLM models for different agents (e.g., Claude for Architect, GPT for Skeptic, Gemini for Oracle). The asymmetric calibration might be model-specific. Different models might produce genuinely different analytical perspectives rather than the same model arguing with itself.</w:t>
      </w:r>
    </w:p>
    <w:p>
      <w:pPr>
        <w:spacing w:after="180" w:line="300"/>
      </w:pPr>
      <w:r>
        <w:rPr>
          <w:rFonts w:ascii="Georgia" w:cs="Georgia" w:eastAsia="Georgia" w:hAnsi="Georgia"/>
          <w:b/>
          <w:bCs/>
          <w:color w:val="C0392B"/>
          <w:sz w:val="22"/>
          <w:szCs w:val="22"/>
        </w:rPr>
        <w:t xml:space="preserve">Risk: </w:t>
      </w:r>
      <w:r>
        <w:rPr>
          <w:rFonts w:ascii="Georgia" w:cs="Georgia" w:eastAsia="Georgia" w:hAnsi="Georgia"/>
          <w:color w:val="2C2C2C"/>
          <w:sz w:val="22"/>
          <w:szCs w:val="22"/>
        </w:rPr>
        <w:t xml:space="preserve">Cost increases, latency increases, additional API integration work. Different models may have incompatible output formats.</w:t>
      </w:r>
    </w:p>
    <w:p>
      <w:pPr>
        <w:pStyle w:val="Heading2"/>
        <w:spacing w:before="320" w:after="200"/>
      </w:pPr>
      <w:r>
        <w:rPr>
          <w:rFonts w:ascii="Georgia" w:cs="Georgia" w:eastAsia="Georgia" w:hAnsi="Georgia"/>
        </w:rPr>
        <w:t xml:space="preserve">Direction D: AI Agent Behavior Research Platform</w:t>
      </w:r>
    </w:p>
    <w:p>
      <w:pPr>
        <w:spacing w:after="180" w:line="300"/>
      </w:pPr>
      <w:r>
        <w:rPr>
          <w:rFonts w:ascii="Georgia" w:cs="Georgia" w:eastAsia="Georgia" w:hAnsi="Georgia"/>
          <w:color w:val="2C2C2C"/>
          <w:sz w:val="22"/>
          <w:szCs w:val="22"/>
        </w:rPr>
        <w:t xml:space="preserve">Pivot ARES from “cybersecurity tool” to “empirical testbed for studying multi-agent LLM behavior.” The cybersecurity domain provides grounded, verifiable scenarios. The real product becomes the research methodology, the benchmark corpus, and the findings about how AI agents negotiate under structured pressure.</w:t>
      </w:r>
    </w:p>
    <w:p>
      <w:pPr>
        <w:spacing w:after="180" w:line="300"/>
      </w:pPr>
      <w:r>
        <w:rPr>
          <w:rFonts w:ascii="Georgia" w:cs="Georgia" w:eastAsia="Georgia" w:hAnsi="Georgia"/>
          <w:b/>
          <w:bCs/>
          <w:color w:val="C0392B"/>
          <w:sz w:val="22"/>
          <w:szCs w:val="22"/>
        </w:rPr>
        <w:t xml:space="preserve">Risk: </w:t>
      </w:r>
      <w:r>
        <w:rPr>
          <w:rFonts w:ascii="Georgia" w:cs="Georgia" w:eastAsia="Georgia" w:hAnsi="Georgia"/>
          <w:color w:val="2C2C2C"/>
          <w:sz w:val="22"/>
          <w:szCs w:val="22"/>
        </w:rPr>
        <w:t xml:space="preserve">Dilutes the original product thesis. Research platforms don’t generate revenue directly.</w:t>
      </w:r>
    </w:p>
    <w:p>
      <w:pPr>
        <w:pStyle w:val="Heading2"/>
        <w:spacing w:before="320" w:after="200"/>
      </w:pPr>
      <w:r>
        <w:rPr>
          <w:rFonts w:ascii="Georgia" w:cs="Georgia" w:eastAsia="Georgia" w:hAnsi="Georgia"/>
        </w:rPr>
        <w:t xml:space="preserve">Direction E: Production Hardening (Single-Turn)</w:t>
      </w:r>
    </w:p>
    <w:p>
      <w:pPr>
        <w:spacing w:after="180" w:line="300"/>
      </w:pPr>
      <w:r>
        <w:rPr>
          <w:rFonts w:ascii="Georgia" w:cs="Georgia" w:eastAsia="Georgia" w:hAnsi="Georgia"/>
          <w:color w:val="2C2C2C"/>
          <w:sz w:val="22"/>
          <w:szCs w:val="22"/>
        </w:rPr>
        <w:t xml:space="preserve">Accept the single-turn verdict. Spend the next phase hardening the 83% baseline: more scenarios, more evidence sources (DNS, PCAP, endpoint detection), better prompts, confidence calibration, production deployment pipeline. Ship what works.</w:t>
      </w:r>
    </w:p>
    <w:p>
      <w:pPr>
        <w:spacing w:after="180" w:line="300"/>
      </w:pPr>
      <w:r>
        <w:rPr>
          <w:rFonts w:ascii="Georgia" w:cs="Georgia" w:eastAsia="Georgia" w:hAnsi="Georgia"/>
          <w:b/>
          <w:bCs/>
          <w:color w:val="C0392B"/>
          <w:sz w:val="22"/>
          <w:szCs w:val="22"/>
        </w:rPr>
        <w:t xml:space="preserve">Risk: </w:t>
      </w:r>
      <w:r>
        <w:rPr>
          <w:rFonts w:ascii="Georgia" w:cs="Georgia" w:eastAsia="Georgia" w:hAnsi="Georgia"/>
          <w:color w:val="2C2C2C"/>
          <w:sz w:val="22"/>
          <w:szCs w:val="22"/>
        </w:rPr>
        <w:t xml:space="preserve">Abandons the most intellectually interesting part of the project. The debate thesis remains untested at the architectural level.</w:t>
      </w:r>
    </w:p>
    <w:p>
      <w:pPr>
        <w:pStyle w:val="Heading2"/>
        <w:spacing w:before="320" w:after="200"/>
      </w:pPr>
      <w:r>
        <w:rPr>
          <w:rFonts w:ascii="Georgia" w:cs="Georgia" w:eastAsia="Georgia" w:hAnsi="Georgia"/>
        </w:rPr>
        <w:t xml:space="preserve">Direction F: Structured Argumentation Frameworks</w:t>
      </w:r>
    </w:p>
    <w:p>
      <w:pPr>
        <w:spacing w:after="180" w:line="300"/>
      </w:pPr>
      <w:r>
        <w:rPr>
          <w:rFonts w:ascii="Georgia" w:cs="Georgia" w:eastAsia="Georgia" w:hAnsi="Georgia"/>
          <w:color w:val="2C2C2C"/>
          <w:sz w:val="22"/>
          <w:szCs w:val="22"/>
        </w:rPr>
        <w:t xml:space="preserve">Replace free-form LLM debate with a formal argumentation framework (Dung’s abstract argumentation, ASPIC+, or similar). Agents propose structured argument graphs with explicit attack/support relations. The Oracle evaluates using grounded extensions rather than confidence numbers. This moves the debate from “LLM vibes” to “computational argumentation.”</w:t>
      </w:r>
    </w:p>
    <w:p>
      <w:pPr>
        <w:spacing w:after="180" w:line="300"/>
      </w:pPr>
      <w:r>
        <w:rPr>
          <w:rFonts w:ascii="Georgia" w:cs="Georgia" w:eastAsia="Georgia" w:hAnsi="Georgia"/>
          <w:b/>
          <w:bCs/>
          <w:color w:val="C0392B"/>
          <w:sz w:val="22"/>
          <w:szCs w:val="22"/>
        </w:rPr>
        <w:t xml:space="preserve">Risk: </w:t>
      </w:r>
      <w:r>
        <w:rPr>
          <w:rFonts w:ascii="Georgia" w:cs="Georgia" w:eastAsia="Georgia" w:hAnsi="Georgia"/>
          <w:color w:val="2C2C2C"/>
          <w:sz w:val="22"/>
          <w:szCs w:val="22"/>
        </w:rPr>
        <w:t xml:space="preserve">Steep learning curve. Formal argumentation is a niche subfield. Integration with LLM outputs is non-trivial.</w:t>
      </w:r>
    </w:p>
    <w:p>
      <w:pPr>
        <w:pStyle w:val="Heading2"/>
        <w:spacing w:before="320" w:after="200"/>
      </w:pPr>
      <w:r>
        <w:rPr>
          <w:rFonts w:ascii="Georgia" w:cs="Georgia" w:eastAsia="Georgia" w:hAnsi="Georgia"/>
        </w:rPr>
        <w:t xml:space="preserve">Direction G: [Your Proposal]</w:t>
      </w:r>
    </w:p>
    <w:p>
      <w:pPr>
        <w:spacing w:after="180" w:line="300"/>
      </w:pPr>
      <w:r>
        <w:rPr>
          <w:rFonts w:ascii="Georgia" w:cs="Georgia" w:eastAsia="Georgia" w:hAnsi="Georgia"/>
          <w:color w:val="2C2C2C"/>
          <w:sz w:val="22"/>
          <w:szCs w:val="22"/>
        </w:rPr>
        <w:t xml:space="preserve">What are we not seeing? What direction would you propose that is not listed above? The most valuable output of this review may be a direction we haven’t imagined.</w:t>
      </w:r>
    </w:p>
    <w:p>
      <w:pPr>
        <w:pBdr>
          <w:bottom w:val="single" w:color="C8963E" w:sz="2" w:space="8"/>
        </w:pBdr>
        <w:spacing w:before="280" w:after="280"/>
      </w:pPr>
    </w:p>
    <w:p>
      <w:pPr>
        <w:pStyle w:val="Heading1"/>
        <w:spacing w:before="400" w:after="240"/>
      </w:pPr>
      <w:r>
        <w:rPr>
          <w:rFonts w:ascii="Georgia" w:cs="Georgia" w:eastAsia="Georgia" w:hAnsi="Georgia"/>
        </w:rPr>
        <w:t xml:space="preserve">Section 6: Specific Questions for the Tribunal</w:t>
      </w:r>
    </w:p>
    <w:p>
      <w:pPr>
        <w:spacing w:after="180" w:line="300"/>
      </w:pPr>
      <w:r>
        <w:rPr>
          <w:rFonts w:ascii="Georgia" w:cs="Georgia" w:eastAsia="Georgia" w:hAnsi="Georgia"/>
          <w:color w:val="2C2C2C"/>
          <w:sz w:val="22"/>
          <w:szCs w:val="22"/>
        </w:rPr>
        <w:t xml:space="preserve">In addition to the structured response format (Assessment, Blind Spots, Direction, Research Angle, Wild Card), please address any of the following that catch your attention:</w:t>
      </w:r>
    </w:p>
    <w:p>
      <w:pPr>
        <w:pStyle w:val="ListParagraph"/>
        <w:numPr>
          <w:ilvl w:val="0"/>
          <w:numId w:val="3"/>
        </w:numPr>
        <w:spacing w:after="120" w:line="300"/>
      </w:pPr>
      <w:r>
        <w:rPr>
          <w:rFonts w:ascii="Georgia" w:cs="Georgia" w:eastAsia="Georgia" w:hAnsi="Georgia"/>
          <w:color w:val="2C2C2C"/>
          <w:sz w:val="22"/>
          <w:szCs w:val="22"/>
        </w:rPr>
        <w:t xml:space="preserve">Is the complementary accuracy pattern across modes (different scenarios correct in each mode) a signal worth exploiting, or a statistical artifact of small corpus size?</w:t>
      </w:r>
    </w:p>
    <w:p>
      <w:pPr>
        <w:pStyle w:val="ListParagraph"/>
        <w:numPr>
          <w:ilvl w:val="0"/>
          <w:numId w:val="3"/>
        </w:numPr>
        <w:spacing w:after="120" w:line="300"/>
      </w:pPr>
      <w:r>
        <w:rPr>
          <w:rFonts w:ascii="Georgia" w:cs="Georgia" w:eastAsia="Georgia" w:hAnsi="Georgia"/>
          <w:color w:val="2C2C2C"/>
          <w:sz w:val="22"/>
          <w:szCs w:val="22"/>
        </w:rPr>
        <w:t xml:space="preserve">The Skeptic functionally behaves as a Byzantine agent (refuses to update, disrupts convergence). Should we lean into this — intentionally design the Skeptic as an adversary and use Byzantine fault tolerance techniques?</w:t>
      </w:r>
    </w:p>
    <w:p>
      <w:pPr>
        <w:pStyle w:val="ListParagraph"/>
        <w:numPr>
          <w:ilvl w:val="0"/>
          <w:numId w:val="3"/>
        </w:numPr>
        <w:spacing w:after="120" w:line="300"/>
      </w:pPr>
      <w:r>
        <w:rPr>
          <w:rFonts w:ascii="Georgia" w:cs="Georgia" w:eastAsia="Georgia" w:hAnsi="Georgia"/>
          <w:color w:val="2C2C2C"/>
          <w:sz w:val="22"/>
          <w:szCs w:val="22"/>
        </w:rPr>
        <w:t xml:space="preserve">Is the “debate” framing itself the problem? Would a different interaction paradigm (negotiation, arbitration, jury deliberation, peer review) produce better dynamics?</w:t>
      </w:r>
    </w:p>
    <w:p>
      <w:pPr>
        <w:pStyle w:val="ListParagraph"/>
        <w:numPr>
          <w:ilvl w:val="0"/>
          <w:numId w:val="3"/>
        </w:numPr>
        <w:spacing w:after="120" w:line="300"/>
      </w:pPr>
      <w:r>
        <w:rPr>
          <w:rFonts w:ascii="Georgia" w:cs="Georgia" w:eastAsia="Georgia" w:hAnsi="Georgia"/>
          <w:color w:val="2C2C2C"/>
          <w:sz w:val="22"/>
          <w:szCs w:val="22"/>
        </w:rPr>
        <w:t xml:space="preserve">SC-017 is the one scenario where debate worked. What’s structurally different about it? How would you design experiments to find more SC-017-type scenarios?</w:t>
      </w:r>
    </w:p>
    <w:p>
      <w:pPr>
        <w:pStyle w:val="ListParagraph"/>
        <w:numPr>
          <w:ilvl w:val="0"/>
          <w:numId w:val="3"/>
        </w:numPr>
        <w:spacing w:after="120" w:line="300"/>
      </w:pPr>
      <w:r>
        <w:rPr>
          <w:rFonts w:ascii="Georgia" w:cs="Georgia" w:eastAsia="Georgia" w:hAnsi="Georgia"/>
          <w:color w:val="2C2C2C"/>
          <w:sz w:val="22"/>
          <w:szCs w:val="22"/>
        </w:rPr>
        <w:t xml:space="preserve">The ETH paper used Qwen3 models. We use Claude Sonnet. Is the consensus failure model-specific? Would the same experiment with GPT-4, Gemini, or open-weight models produce different dynamics?</w:t>
      </w:r>
    </w:p>
    <w:p>
      <w:pPr>
        <w:pStyle w:val="ListParagraph"/>
        <w:numPr>
          <w:ilvl w:val="0"/>
          <w:numId w:val="3"/>
        </w:numPr>
        <w:spacing w:after="120" w:line="300"/>
      </w:pPr>
      <w:r>
        <w:rPr>
          <w:rFonts w:ascii="Georgia" w:cs="Georgia" w:eastAsia="Georgia" w:hAnsi="Georgia"/>
          <w:color w:val="2C2C2C"/>
          <w:sz w:val="22"/>
          <w:szCs w:val="22"/>
        </w:rPr>
        <w:t xml:space="preserve">Should ARES pursue formal publication? If so, what venue, what framing, and what additional experiments would strengthen the contribution?</w:t>
      </w:r>
    </w:p>
    <w:p>
      <w:pPr>
        <w:pStyle w:val="ListParagraph"/>
        <w:numPr>
          <w:ilvl w:val="0"/>
          <w:numId w:val="3"/>
        </w:numPr>
        <w:spacing w:after="120" w:line="300"/>
      </w:pPr>
      <w:r>
        <w:rPr>
          <w:rFonts w:ascii="Georgia" w:cs="Georgia" w:eastAsia="Georgia" w:hAnsi="Georgia"/>
          <w:color w:val="2C2C2C"/>
          <w:sz w:val="22"/>
          <w:szCs w:val="22"/>
        </w:rPr>
        <w:t xml:space="preserve">What is the content play? This project produces episodes, articles, and build documentation alongside code. How does the next phase maximize both research value AND content value?</w:t>
      </w:r>
    </w:p>
    <w:p>
      <w:pPr>
        <w:pStyle w:val="ListParagraph"/>
        <w:numPr>
          <w:ilvl w:val="0"/>
          <w:numId w:val="3"/>
        </w:numPr>
        <w:spacing w:after="120" w:line="300"/>
      </w:pPr>
      <w:r>
        <w:rPr>
          <w:rFonts w:ascii="Georgia" w:cs="Georgia" w:eastAsia="Georgia" w:hAnsi="Georgia"/>
          <w:color w:val="2C2C2C"/>
          <w:sz w:val="22"/>
          <w:szCs w:val="22"/>
        </w:rPr>
        <w:t xml:space="preserve">We have confidence traces for every agent in every round of every scenario. What analyses should we run on this data that we haven’t thought of?</w:t>
      </w:r>
    </w:p>
    <w:p>
      <w:pPr>
        <w:pBdr>
          <w:bottom w:val="single" w:color="C8963E" w:sz="2" w:space="8"/>
        </w:pBdr>
        <w:spacing w:before="280" w:after="280"/>
      </w:pPr>
    </w:p>
    <w:p>
      <w:pPr>
        <w:pStyle w:val="Heading1"/>
        <w:spacing w:before="400" w:after="240"/>
      </w:pPr>
      <w:r>
        <w:rPr>
          <w:rFonts w:ascii="Georgia" w:cs="Georgia" w:eastAsia="Georgia" w:hAnsi="Georgia"/>
        </w:rPr>
        <w:t xml:space="preserve">Section 7: Constraints and Non-Negotiables</w:t>
      </w:r>
    </w:p>
    <w:p>
      <w:pPr>
        <w:spacing w:after="180" w:line="300"/>
      </w:pPr>
      <w:r>
        <w:rPr>
          <w:rFonts w:ascii="Georgia" w:cs="Georgia" w:eastAsia="Georgia" w:hAnsi="Georgia"/>
          <w:color w:val="2C2C2C"/>
          <w:sz w:val="22"/>
          <w:szCs w:val="22"/>
        </w:rPr>
        <w:t xml:space="preserve">Whatever direction the next phase takes, these constraints hold:</w:t>
      </w:r>
    </w:p>
    <w:p>
      <w:pPr>
        <w:pStyle w:val="ListParagraph"/>
        <w:numPr>
          <w:ilvl w:val="0"/>
          <w:numId w:val="2"/>
        </w:numPr>
        <w:spacing w:after="100" w:line="300"/>
      </w:pPr>
      <w:r>
        <w:rPr>
          <w:rFonts w:ascii="Georgia" w:cs="Georgia" w:eastAsia="Georgia" w:hAnsi="Georgia"/>
          <w:color w:val="2C2C2C"/>
          <w:sz w:val="22"/>
          <w:szCs w:val="22"/>
        </w:rPr>
        <w:t xml:space="preserve">Zero regressions. All existing tests continue to pass.</w:t>
      </w:r>
    </w:p>
    <w:p>
      <w:pPr>
        <w:pStyle w:val="ListParagraph"/>
        <w:numPr>
          <w:ilvl w:val="0"/>
          <w:numId w:val="2"/>
        </w:numPr>
        <w:spacing w:after="100" w:line="300"/>
      </w:pPr>
      <w:r>
        <w:rPr>
          <w:rFonts w:ascii="Georgia" w:cs="Georgia" w:eastAsia="Georgia" w:hAnsi="Georgia"/>
          <w:color w:val="2C2C2C"/>
          <w:sz w:val="22"/>
          <w:szCs w:val="22"/>
        </w:rPr>
        <w:t xml:space="preserve">New files over modifications. Strict discipline maintained.</w:t>
      </w:r>
    </w:p>
    <w:p>
      <w:pPr>
        <w:pStyle w:val="ListParagraph"/>
        <w:numPr>
          <w:ilvl w:val="0"/>
          <w:numId w:val="2"/>
        </w:numPr>
        <w:spacing w:after="100" w:line="300"/>
      </w:pPr>
      <w:r>
        <w:rPr>
          <w:rFonts w:ascii="Georgia" w:cs="Georgia" w:eastAsia="Georgia" w:hAnsi="Georgia"/>
          <w:color w:val="2C2C2C"/>
          <w:sz w:val="22"/>
          <w:szCs w:val="22"/>
        </w:rPr>
        <w:t xml:space="preserve">Frozen dataclasses everywhere. Immutability is not optional.</w:t>
      </w:r>
    </w:p>
    <w:p>
      <w:pPr>
        <w:pStyle w:val="ListParagraph"/>
        <w:numPr>
          <w:ilvl w:val="0"/>
          <w:numId w:val="2"/>
        </w:numPr>
        <w:spacing w:after="100" w:line="300"/>
      </w:pPr>
      <w:r>
        <w:rPr>
          <w:rFonts w:ascii="Georgia" w:cs="Georgia" w:eastAsia="Georgia" w:hAnsi="Georgia"/>
          <w:color w:val="2C2C2C"/>
          <w:sz w:val="22"/>
          <w:szCs w:val="22"/>
        </w:rPr>
        <w:t xml:space="preserve">Measurement before optimization. Every change is benchmarked.</w:t>
      </w:r>
    </w:p>
    <w:p>
      <w:pPr>
        <w:pStyle w:val="ListParagraph"/>
        <w:numPr>
          <w:ilvl w:val="0"/>
          <w:numId w:val="2"/>
        </w:numPr>
        <w:spacing w:after="100" w:line="300"/>
      </w:pPr>
      <w:r>
        <w:rPr>
          <w:rFonts w:ascii="Georgia" w:cs="Georgia" w:eastAsia="Georgia" w:hAnsi="Georgia"/>
          <w:color w:val="2C2C2C"/>
          <w:sz w:val="22"/>
          <w:szCs w:val="22"/>
        </w:rPr>
        <w:t xml:space="preserve">Content pipeline stays active. Build process IS the content.</w:t>
      </w:r>
    </w:p>
    <w:p>
      <w:pPr>
        <w:pStyle w:val="ListParagraph"/>
        <w:numPr>
          <w:ilvl w:val="0"/>
          <w:numId w:val="2"/>
        </w:numPr>
        <w:spacing w:after="100" w:line="300"/>
      </w:pPr>
      <w:r>
        <w:rPr>
          <w:rFonts w:ascii="Georgia" w:cs="Georgia" w:eastAsia="Georgia" w:hAnsi="Georgia"/>
          <w:color w:val="2C2C2C"/>
          <w:sz w:val="22"/>
          <w:szCs w:val="22"/>
        </w:rPr>
        <w:t xml:space="preserve">Solo builder with AI pair-programming. No team. Speed comes from architecture discipline, not headcount.</w:t>
      </w:r>
    </w:p>
    <w:p>
      <w:pPr>
        <w:pStyle w:val="ListParagraph"/>
        <w:numPr>
          <w:ilvl w:val="0"/>
          <w:numId w:val="2"/>
        </w:numPr>
        <w:spacing w:after="100" w:line="300"/>
      </w:pPr>
      <w:r>
        <w:rPr>
          <w:rFonts w:ascii="Georgia" w:cs="Georgia" w:eastAsia="Georgia" w:hAnsi="Georgia"/>
          <w:color w:val="2C2C2C"/>
          <w:sz w:val="22"/>
          <w:szCs w:val="22"/>
        </w:rPr>
        <w:t xml:space="preserve">Session-based development. Each session has a brief, a deliverable, and a test count.</w:t>
      </w:r>
    </w:p>
    <w:p>
      <w:pPr>
        <w:pBdr>
          <w:bottom w:val="single" w:color="C8963E" w:sz="2" w:space="8"/>
        </w:pBdr>
        <w:spacing w:before="280" w:after="280"/>
      </w:pPr>
    </w:p>
    <w:p>
      <w:pPr>
        <w:pStyle w:val="Heading1"/>
        <w:spacing w:before="400" w:after="240"/>
      </w:pPr>
      <w:r>
        <w:rPr>
          <w:rFonts w:ascii="Georgia" w:cs="Georgia" w:eastAsia="Georgia" w:hAnsi="Georgia"/>
        </w:rPr>
        <w:t xml:space="preserve">Section 8: Closing</w:t>
      </w:r>
    </w:p>
    <w:p>
      <w:pPr>
        <w:spacing w:after="180" w:line="300"/>
      </w:pPr>
      <w:r>
        <w:rPr>
          <w:rFonts w:ascii="Georgia" w:cs="Georgia" w:eastAsia="Georgia" w:hAnsi="Georgia"/>
          <w:color w:val="2C2C2C"/>
          <w:sz w:val="22"/>
          <w:szCs w:val="22"/>
        </w:rPr>
        <w:t xml:space="preserve">This document is an invitation to think. The ARES project has produced an honest negative result alongside a working product, and has independently converged with formal academic research on one of the open questions in multi-agent AI.</w:t>
      </w:r>
    </w:p>
    <w:p>
      <w:pPr>
        <w:spacing w:after="180" w:line="300"/>
      </w:pPr>
      <w:r>
        <w:rPr>
          <w:rFonts w:ascii="Georgia" w:cs="Georgia" w:eastAsia="Georgia" w:hAnsi="Georgia"/>
          <w:color w:val="2C2C2C"/>
          <w:sz w:val="22"/>
          <w:szCs w:val="22"/>
        </w:rPr>
        <w:t xml:space="preserve">The infrastructure is built. The measurement system is operational. The next phase will be defined by the quality of the questions we ask, not the speed at which we build.</w:t>
      </w:r>
    </w:p>
    <w:p>
      <w:pPr>
        <w:pBdr>
          <w:left w:val="single" w:color="C8963E" w:sz="6" w:space="10"/>
        </w:pBdr>
        <w:spacing w:before="200" w:after="200" w:line="320"/>
        <w:ind w:left="600" w:right="600"/>
      </w:pPr>
      <w:r>
        <w:rPr>
          <w:rFonts w:ascii="Georgia" w:cs="Georgia" w:eastAsia="Georgia" w:hAnsi="Georgia"/>
          <w:i/>
          <w:iCs/>
          <w:color w:val="2E4A7A"/>
          <w:sz w:val="23"/>
          <w:szCs w:val="23"/>
        </w:rPr>
        <w:t xml:space="preserve">We are not looking for confirmation. We are looking for the question we have not yet thought to ask.</w:t>
      </w:r>
    </w:p>
    <w:p>
      <w:pPr>
        <w:spacing w:before="200" w:after="0"/>
      </w:pPr>
    </w:p>
    <w:p>
      <w:pPr>
        <w:spacing w:after="180" w:line="300"/>
      </w:pPr>
      <w:r>
        <w:rPr>
          <w:rFonts w:ascii="Georgia" w:cs="Georgia" w:eastAsia="Georgia" w:hAnsi="Georgia"/>
          <w:b/>
          <w:bCs/>
          <w:color w:val="2C2C2C"/>
          <w:sz w:val="22"/>
          <w:szCs w:val="22"/>
        </w:rPr>
        <w:t xml:space="preserve">End of brief. Awaiting Tribunal deliberation.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6"/>
      </w:pBdr>
      <w:jc w:val="center"/>
    </w:pPr>
    <w:r>
      <w:rPr>
        <w:rFonts w:ascii="Georgia" w:cs="Georgia" w:eastAsia="Georgia" w:hAnsi="Georgia"/>
        <w:color w:val="5A5A5A"/>
        <w:sz w:val="15"/>
        <w:szCs w:val="15"/>
      </w:rPr>
      <w:t xml:space="preserve">Skyframe Innovations  ·  CONFIDENTIAL DELIBERATION  ·  </w:t>
    </w:r>
    <w:r>
      <w:rPr>
        <w:rFonts w:ascii="Georgia" w:cs="Georgia" w:eastAsia="Georgia" w:hAnsi="Georgia"/>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6"/>
      </w:pBdr>
    </w:pPr>
    <w:r>
      <w:rPr>
        <w:rFonts w:ascii="Georgia" w:cs="Georgia" w:eastAsia="Georgia" w:hAnsi="Georgia"/>
        <w:color w:val="5A5A5A"/>
        <w:spacing w:val="150"/>
        <w:sz w:val="15"/>
        <w:szCs w:val="15"/>
      </w:rPr>
      <w:t xml:space="preserve">ARES TRIBUNAL BATTLE PLAN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color w:val="1B2A4A"/>
      <w:sz w:val="34"/>
      <w:szCs w:val="34"/>
    </w:rPr>
  </w:style>
  <w:style w:type="paragraph" w:styleId="Heading2">
    <w:name w:val="Heading 2"/>
    <w:basedOn w:val="Normal"/>
    <w:next w:val="Normal"/>
    <w:qFormat/>
    <w:pPr>
      <w:spacing w:before="320" w:after="200"/>
      <w:outlineLvl w:val="1"/>
    </w:pPr>
    <w:rPr>
      <w:rFonts w:ascii="Georgia" w:cs="Georgia" w:eastAsia="Georgia" w:hAnsi="Georgia"/>
      <w:b/>
      <w:bCs/>
      <w:color w:val="2E4A7A"/>
      <w:sz w:val="28"/>
      <w:szCs w:val="28"/>
    </w:rPr>
  </w:style>
  <w:style w:type="paragraph" w:styleId="Heading3">
    <w:name w:val="Heading 3"/>
    <w:basedOn w:val="Normal"/>
    <w:next w:val="Normal"/>
    <w:qFormat/>
    <w:pPr>
      <w:spacing w:before="240" w:after="160"/>
      <w:outlineLvl w:val="2"/>
    </w:pPr>
    <w:rPr>
      <w:rFonts w:ascii="Georgia" w:cs="Georgia" w:eastAsia="Georgia" w:hAnsi="Georgia"/>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2026-03-25T18:47:46.341Z</dcterms:created>
  <dcterms:modified xsi:type="dcterms:W3CDTF">2026-03-25T18:47:46.365Z</dcterms:modified>
</cp:coreProperties>
</file>

<file path=docProps/custom.xml><?xml version="1.0" encoding="utf-8"?>
<Properties xmlns="http://schemas.openxmlformats.org/officeDocument/2006/custom-properties" xmlns:vt="http://schemas.openxmlformats.org/officeDocument/2006/docPropsVTypes"/>
</file>