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goal Student has never approached; by failing to evaluate Student’s reading after a written request;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18.	That prior written notice explains the refusal: the team “determined that the goal remains appropriate and that Jordan is making progress toward it,”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19.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21.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22.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23.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24.	The goal the District adopted on September 8, 2025 was the goal from the previous program with its baseline rewritten, and Student began the year 65 words per minute below the end-of-second-grade benchmark on the same measure (paragraphs 6 and 7). Over three reporting periods the District recorded 21, 24 and 23 words per minute against a goal of 60, and its own March 6, 2026 report states that the goal was not met (paragraphs 11, 14 and 15).</w:t>
      </w:r>
    </w:p>
    <w:p>
      <w:pPr>
        <w:widowControl/>
        <w:tabs>
          <w:tab w:val="left" w:pos="720"/>
        </w:tabs>
        <w:spacing w:line="480"/>
      </w:pPr>
      <w:r>
        <w:rPr>
          <w:rFonts w:ascii="Times New Roman" w:cs="Times New Roman" w:eastAsia="Times New Roman" w:hAnsi="Times New Roman"/>
          <w:sz w:val="24"/>
          <w:szCs w:val="24"/>
        </w:rPr>
        <w:t xml:space="preserve">25.	The District answered that the goal “remains appropriate” and that Student “is making progress toward it” (paragraph 18). Its own three measurements move four words per minute across five months and end below where the second of them stood, and the report that records the goal as not met recommends continuing it unchanged. The program the District has offered since September 8, 2025 has produced no meaningful progress toward the one reading goal it sets, and the District proposes to leave it in place until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26.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27.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20), and had provided none by April 2, 2026 (paragraph 22).</w:t>
      </w:r>
    </w:p>
    <w:p>
      <w:pPr>
        <w:widowControl/>
        <w:tabs>
          <w:tab w:val="left" w:pos="720"/>
        </w:tabs>
        <w:spacing w:line="480"/>
      </w:pPr>
      <w:r>
        <w:rPr>
          <w:rFonts w:ascii="Times New Roman" w:cs="Times New Roman" w:eastAsia="Times New Roman" w:hAnsi="Times New Roman"/>
          <w:sz w:val="24"/>
          <w:szCs w:val="24"/>
        </w:rPr>
        <w:t xml:space="preserve">28.	The District has never refused the reevaluation. It accepted it twice in writing and did not begin it, so consent was never sought and no assessment has been conducted in the areas the Parent named. Student’s reading has been measured only by the fluency probe the disputed goal uses, and no assessment of decoding or phonological processing exists in the record from which an appropriate goal could be written.</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29.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30.	The lack of expected progress was on the District’s own documents before the Parent asked for anything: three progress reports, the last recording the goal as not met (paragraphs 11, 14 and 15). At the review on March 12, 2026 the team declined to revise the goal (paragraph 17), and the Parent’s written request of March 14, 2026 drew no reply (paragraphs 21 and 22).</w:t>
      </w:r>
    </w:p>
    <w:p>
      <w:pPr>
        <w:widowControl/>
        <w:tabs>
          <w:tab w:val="left" w:pos="720"/>
        </w:tabs>
        <w:spacing w:line="480"/>
      </w:pPr>
      <w:r>
        <w:rPr>
          <w:rFonts w:ascii="Times New Roman" w:cs="Times New Roman" w:eastAsia="Times New Roman" w:hAnsi="Times New Roman"/>
          <w:sz w:val="24"/>
          <w:szCs w:val="24"/>
        </w:rPr>
        <w:t xml:space="preserve">31.	The District’s stated reason is that it “will review the goal at the annual review in September 2026” (paragraph 18). That is the regular annual review the program already provided for, and it postpones any change until a full school year after the baseline was set. The obligation to revise arises from the lack of progress, not from the calendar.</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32.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33.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34.	The District acknowledges the discontinuation and its cause, and records that “Compensatory services were not proposed at this meeting” (paragraph 19). A staffing vacancy is the District’s to solve. Across the 20 weeks the log records below the required amount, Student received 1,320 of the 4,800 minutes the program required, a shortfall of 3,480 minutes.</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35.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individualized education program team meeting within 15 days to adopt measurable reading goals based on current assessment data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 including assessment of phonological processing and decoding (claim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3,480 minutes of compensatory specialized academic instruction in reading, being the shortfall between the 4,800 minutes the individualized education program required in the 20 weeks the District’s service delivery log records below 240 minutes and the 1,320 minutes the log records as delivered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month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36.	Petitioner reserves the right to amend this complaint, to raise additional issues disclosed by documents not yet produced, and to seek any other relief the hearing officer is authorized to grant.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revision>1</cp:revision>
  <dcterms:created xsi:type="dcterms:W3CDTF">2026-10-08T20:04:33.705Z</dcterms:created>
  <dcterms:modified xsi:type="dcterms:W3CDTF">2026-10-08T20:04:33.706Z</dcterms:modified>
</cp:coreProperties>
</file>

<file path=docProps/custom.xml><?xml version="1.0" encoding="utf-8"?>
<Properties xmlns="http://schemas.openxmlformats.org/officeDocument/2006/custom-properties" xmlns:vt="http://schemas.openxmlformats.org/officeDocument/2006/docPropsVTypes"/>
</file>