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53" w:rsidRDefault="006B24ED">
      <w:pPr>
        <w:rPr>
          <w:b/>
          <w:sz w:val="18"/>
        </w:rPr>
      </w:pPr>
      <w:r>
        <w:rPr>
          <w:noProof/>
          <w:sz w:val="18"/>
        </w:rPr>
        <w:pict>
          <v:rect id="_x0000_s1026" style="position:absolute;margin-left:-12.75pt;margin-top:-7.6pt;width:489.65pt;height:702pt;z-index:251657728" filled="f" strokeweight="4pt"/>
        </w:pict>
      </w:r>
    </w:p>
    <w:p w:rsidR="00024453" w:rsidRDefault="00024453">
      <w:pPr>
        <w:jc w:val="center"/>
        <w:rPr>
          <w:b/>
          <w:sz w:val="36"/>
        </w:rPr>
      </w:pPr>
      <w:r>
        <w:rPr>
          <w:b/>
          <w:sz w:val="36"/>
        </w:rPr>
        <w:t>POUR OUVRIR VOTRE PLAN D’EPARGNE</w:t>
      </w:r>
    </w:p>
    <w:p w:rsidR="00024453" w:rsidRDefault="00024453">
      <w:pPr>
        <w:jc w:val="center"/>
        <w:rPr>
          <w:sz w:val="36"/>
        </w:rPr>
      </w:pPr>
      <w:r>
        <w:rPr>
          <w:b/>
          <w:sz w:val="36"/>
        </w:rPr>
        <w:t>CHEQUE-VACANCES</w:t>
      </w:r>
    </w:p>
    <w:p w:rsidR="00024453" w:rsidRDefault="00024453">
      <w:pPr>
        <w:rPr>
          <w:sz w:val="24"/>
        </w:rPr>
      </w:pPr>
      <w:r>
        <w:rPr>
          <w:sz w:val="24"/>
        </w:rPr>
        <w:tab/>
      </w:r>
      <w:r>
        <w:rPr>
          <w:sz w:val="24"/>
        </w:rPr>
        <w:tab/>
      </w:r>
      <w:r>
        <w:rPr>
          <w:sz w:val="24"/>
        </w:rPr>
        <w:tab/>
      </w:r>
      <w:r>
        <w:rPr>
          <w:sz w:val="24"/>
        </w:rPr>
        <w:tab/>
      </w:r>
      <w:r>
        <w:rPr>
          <w:sz w:val="24"/>
        </w:rPr>
        <w:tab/>
      </w:r>
      <w:r>
        <w:rPr>
          <w:sz w:val="24"/>
        </w:rPr>
        <w:tab/>
      </w:r>
      <w:r>
        <w:rPr>
          <w:sz w:val="24"/>
        </w:rPr>
        <w:tab/>
      </w:r>
    </w:p>
    <w:p w:rsidR="00024453" w:rsidRDefault="00024453">
      <w:pPr>
        <w:jc w:val="both"/>
      </w:pPr>
      <w:r>
        <w:rPr>
          <w:b/>
          <w:sz w:val="24"/>
        </w:rPr>
        <w:t>MODALITES</w:t>
      </w:r>
      <w:r>
        <w:rPr>
          <w:b/>
          <w:sz w:val="24"/>
        </w:rPr>
        <w:tab/>
      </w:r>
      <w:r>
        <w:rPr>
          <w:sz w:val="24"/>
        </w:rPr>
        <w:tab/>
      </w:r>
      <w:r>
        <w:rPr>
          <w:sz w:val="24"/>
        </w:rPr>
        <w:tab/>
      </w:r>
      <w:r>
        <w:tab/>
      </w:r>
      <w:r>
        <w:tab/>
      </w:r>
      <w:r>
        <w:tab/>
      </w:r>
      <w:r>
        <w:tab/>
      </w:r>
      <w:r>
        <w:tab/>
      </w:r>
    </w:p>
    <w:p w:rsidR="00024453" w:rsidRDefault="00024453">
      <w:pPr>
        <w:jc w:val="both"/>
      </w:pPr>
      <w:r>
        <w:t xml:space="preserve">Le </w:t>
      </w:r>
      <w:r w:rsidR="003E6DED">
        <w:t xml:space="preserve">Comité d’Entreprise </w:t>
      </w:r>
      <w:r w:rsidR="00BE2EF0">
        <w:t>CGI</w:t>
      </w:r>
      <w:r w:rsidR="003E6DED">
        <w:t xml:space="preserve"> </w:t>
      </w:r>
      <w:r>
        <w:t>offre la possibilité, pour l’année 20</w:t>
      </w:r>
      <w:r w:rsidR="00C034A8">
        <w:t>1</w:t>
      </w:r>
      <w:r w:rsidR="00BE2EF0">
        <w:t>4</w:t>
      </w:r>
      <w:r>
        <w:t xml:space="preserve">, à ses adhérents de constituer un plan d’épargne Chèque-Vacances ouvrant droit à l’issue de la période d’épargne à une bonification. Le montant de cette bonification est indiqué dans le tableau </w:t>
      </w:r>
      <w:r w:rsidR="00BE2EF0">
        <w:t>page suivante</w:t>
      </w:r>
      <w:r>
        <w:t>.</w:t>
      </w:r>
    </w:p>
    <w:p w:rsidR="00024453" w:rsidRDefault="00024453">
      <w:pPr>
        <w:jc w:val="both"/>
      </w:pPr>
    </w:p>
    <w:p w:rsidR="00024453" w:rsidRDefault="00024453">
      <w:pPr>
        <w:jc w:val="both"/>
        <w:rPr>
          <w:b/>
          <w:sz w:val="24"/>
        </w:rPr>
      </w:pPr>
      <w:r>
        <w:rPr>
          <w:b/>
          <w:sz w:val="24"/>
        </w:rPr>
        <w:t>CRITERES</w:t>
      </w:r>
    </w:p>
    <w:p w:rsidR="00024453" w:rsidRDefault="00024453">
      <w:pPr>
        <w:jc w:val="both"/>
      </w:pPr>
    </w:p>
    <w:p w:rsidR="00024453" w:rsidRDefault="00161107">
      <w:pPr>
        <w:jc w:val="both"/>
      </w:pPr>
      <w:r>
        <w:t>Pour bénéficier du plan d’épargne 2014, vous devez être salarié au moment de l’ouverture du plan d’épargne (30 Août 2013). Le coefficient pris en compte pour le calcul est celui à la date d’ouverture du plan.</w:t>
      </w:r>
    </w:p>
    <w:p w:rsidR="00024453" w:rsidRDefault="00024453">
      <w:pPr>
        <w:jc w:val="both"/>
      </w:pPr>
    </w:p>
    <w:p w:rsidR="00024453" w:rsidRDefault="00024453">
      <w:pPr>
        <w:jc w:val="both"/>
        <w:rPr>
          <w:b/>
          <w:sz w:val="24"/>
        </w:rPr>
      </w:pPr>
      <w:r>
        <w:rPr>
          <w:b/>
          <w:sz w:val="24"/>
        </w:rPr>
        <w:t>CONSTITUTION DE L’EPARGNE</w:t>
      </w:r>
    </w:p>
    <w:p w:rsidR="00024453" w:rsidRDefault="00024453">
      <w:pPr>
        <w:jc w:val="both"/>
        <w:rPr>
          <w:sz w:val="24"/>
        </w:rPr>
      </w:pPr>
    </w:p>
    <w:p w:rsidR="00024453" w:rsidRDefault="00024453" w:rsidP="00161107">
      <w:pPr>
        <w:framePr w:w="4465" w:h="5225" w:hSpace="141" w:wrap="around" w:vAnchor="text" w:hAnchor="page" w:x="6106" w:y="1734"/>
        <w:jc w:val="center"/>
        <w:rPr>
          <w:b/>
          <w:sz w:val="24"/>
        </w:rP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center"/>
        <w:rPr>
          <w:b/>
          <w:sz w:val="24"/>
        </w:rPr>
      </w:pPr>
      <w:r>
        <w:rPr>
          <w:b/>
          <w:sz w:val="24"/>
        </w:rPr>
        <w:t>CONSTITUTION DU DOSSIER</w:t>
      </w: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center"/>
        <w:rPr>
          <w:b/>
          <w:sz w:val="24"/>
        </w:rPr>
      </w:pPr>
      <w:r>
        <w:rPr>
          <w:b/>
          <w:sz w:val="24"/>
        </w:rPr>
        <w:t>PIECES A FOURNIR</w:t>
      </w: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r>
        <w:sym w:font="Monotype Sorts" w:char="F06C"/>
      </w:r>
      <w:r>
        <w:t xml:space="preserve"> Demande d’ouverture d’un plan d’épargne.</w:t>
      </w: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r>
        <w:sym w:font="Monotype Sorts" w:char="F06C"/>
      </w:r>
      <w:r>
        <w:t xml:space="preserve"> </w:t>
      </w:r>
      <w:r w:rsidR="00334433">
        <w:t>4 chèques du montant trimestriel dû (suivant épargne complémentaire choisie) datés au 1</w:t>
      </w:r>
      <w:r w:rsidR="00334433" w:rsidRPr="00334433">
        <w:rPr>
          <w:vertAlign w:val="superscript"/>
        </w:rPr>
        <w:t>er</w:t>
      </w:r>
      <w:r w:rsidR="00334433">
        <w:t xml:space="preserve"> septembre 2013, 1</w:t>
      </w:r>
      <w:r w:rsidR="00334433" w:rsidRPr="00334433">
        <w:rPr>
          <w:vertAlign w:val="superscript"/>
        </w:rPr>
        <w:t>er</w:t>
      </w:r>
      <w:r w:rsidR="00334433">
        <w:t xml:space="preserve"> décembre 2013, 1</w:t>
      </w:r>
      <w:r w:rsidR="00334433" w:rsidRPr="00334433">
        <w:rPr>
          <w:vertAlign w:val="superscript"/>
        </w:rPr>
        <w:t>er</w:t>
      </w:r>
      <w:r w:rsidR="00334433">
        <w:t xml:space="preserve"> mars 2014 et 10 mai 2014</w:t>
      </w: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jc w:val="both"/>
      </w:pPr>
      <w:r>
        <w:t xml:space="preserve">Le dossier complet est à transmettre à votre </w:t>
      </w:r>
      <w:r>
        <w:br/>
        <w:t>correspondant</w:t>
      </w:r>
      <w:r>
        <w:rPr>
          <w:b/>
        </w:rPr>
        <w:t xml:space="preserve">  au  plus  tard  le  </w:t>
      </w:r>
      <w:r w:rsidR="006B24ED">
        <w:rPr>
          <w:b/>
        </w:rPr>
        <w:t>24</w:t>
      </w:r>
      <w:bookmarkStart w:id="0" w:name="_GoBack"/>
      <w:bookmarkEnd w:id="0"/>
      <w:r w:rsidR="00334433">
        <w:rPr>
          <w:b/>
        </w:rPr>
        <w:t xml:space="preserve"> Août 2013</w:t>
      </w:r>
      <w:r>
        <w:t>:</w:t>
      </w: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024453" w:rsidP="00161107">
      <w:pPr>
        <w:framePr w:w="4465" w:h="5225" w:hSpace="141" w:wrap="around" w:vAnchor="text" w:hAnchor="page" w:x="6106" w:y="1734"/>
        <w:pBdr>
          <w:top w:val="single" w:sz="6" w:space="2" w:color="auto"/>
          <w:left w:val="single" w:sz="6" w:space="2" w:color="auto"/>
          <w:bottom w:val="single" w:sz="6" w:space="2" w:color="auto"/>
          <w:right w:val="single" w:sz="6" w:space="2" w:color="auto"/>
        </w:pBdr>
      </w:pPr>
    </w:p>
    <w:p w:rsidR="00024453" w:rsidRDefault="00BE2EF0">
      <w:pPr>
        <w:jc w:val="both"/>
      </w:pPr>
      <w:r>
        <w:t>L’épargne sera composée par encaissement de 4 chèques les mois de septembre 2013, décembre 2013, mars 2014 et Mi-mai 2014.</w:t>
      </w:r>
      <w:r w:rsidR="00024453">
        <w:t xml:space="preserve"> Afin d’éviter tout incident, nous vous conseillons, </w:t>
      </w:r>
      <w:r w:rsidR="00024453">
        <w:rPr>
          <w:b/>
          <w:bCs/>
          <w:u w:val="single"/>
        </w:rPr>
        <w:t xml:space="preserve">dans la mesure du possible, de ne pas </w:t>
      </w:r>
      <w:r>
        <w:rPr>
          <w:b/>
          <w:bCs/>
          <w:u w:val="single"/>
        </w:rPr>
        <w:t>fermer</w:t>
      </w:r>
      <w:r w:rsidR="00024453">
        <w:rPr>
          <w:b/>
          <w:bCs/>
          <w:u w:val="single"/>
        </w:rPr>
        <w:t xml:space="preserve"> </w:t>
      </w:r>
      <w:r>
        <w:rPr>
          <w:b/>
          <w:bCs/>
          <w:u w:val="single"/>
        </w:rPr>
        <w:t>l</w:t>
      </w:r>
      <w:r w:rsidR="00024453">
        <w:rPr>
          <w:b/>
          <w:bCs/>
          <w:u w:val="single"/>
        </w:rPr>
        <w:t>e compte bancaire en cours d’épargne Chèque-Vacances</w:t>
      </w:r>
      <w:r>
        <w:t>. En cas de changement, merci de contacter le CE CGI et de fournir les règlements encore non encaissés sur un compte valide.</w:t>
      </w:r>
    </w:p>
    <w:p w:rsidR="00024453" w:rsidRDefault="00024453">
      <w:pPr>
        <w:jc w:val="both"/>
      </w:pPr>
    </w:p>
    <w:p w:rsidR="00161107" w:rsidRDefault="00161107" w:rsidP="00161107">
      <w:pPr>
        <w:jc w:val="both"/>
        <w:rPr>
          <w:b/>
          <w:sz w:val="24"/>
        </w:rPr>
      </w:pPr>
      <w:r>
        <w:rPr>
          <w:b/>
          <w:sz w:val="24"/>
        </w:rPr>
        <w:t xml:space="preserve">ARRET DU PLAN </w:t>
      </w:r>
    </w:p>
    <w:p w:rsidR="00161107" w:rsidRDefault="00161107" w:rsidP="00161107">
      <w:pPr>
        <w:jc w:val="both"/>
        <w:rPr>
          <w:b/>
          <w:sz w:val="24"/>
        </w:rPr>
      </w:pPr>
      <w:r>
        <w:rPr>
          <w:b/>
          <w:sz w:val="24"/>
        </w:rPr>
        <w:t>EN CAS DE FORCE MAJEURE</w:t>
      </w:r>
    </w:p>
    <w:p w:rsidR="00161107" w:rsidRDefault="00161107" w:rsidP="00161107">
      <w:pPr>
        <w:jc w:val="both"/>
      </w:pPr>
    </w:p>
    <w:p w:rsidR="00161107" w:rsidRDefault="00161107" w:rsidP="00161107">
      <w:pPr>
        <w:jc w:val="both"/>
      </w:pPr>
      <w:r>
        <w:t>Si en cours d’épargne, vous n’êtes plus en mesure de supporter les règlements, vous pouvez sur demande, obtenir le remboursement de votre épargne sans aucun intérêt ni bonification (en faisant la demande au CE CGI).</w:t>
      </w:r>
    </w:p>
    <w:p w:rsidR="00161107" w:rsidRDefault="00161107" w:rsidP="00161107">
      <w:pPr>
        <w:jc w:val="both"/>
      </w:pPr>
    </w:p>
    <w:p w:rsidR="00161107" w:rsidRDefault="00161107" w:rsidP="00161107">
      <w:pPr>
        <w:jc w:val="both"/>
        <w:rPr>
          <w:b/>
          <w:sz w:val="24"/>
        </w:rPr>
      </w:pPr>
      <w:r>
        <w:rPr>
          <w:b/>
          <w:sz w:val="24"/>
        </w:rPr>
        <w:t>DEMISSION - MUTATION</w:t>
      </w:r>
    </w:p>
    <w:p w:rsidR="00161107" w:rsidRDefault="00161107" w:rsidP="00161107">
      <w:pPr>
        <w:jc w:val="both"/>
      </w:pPr>
    </w:p>
    <w:p w:rsidR="00161107" w:rsidRDefault="00161107" w:rsidP="00161107">
      <w:pPr>
        <w:jc w:val="both"/>
      </w:pPr>
      <w:r>
        <w:t>Si en cours d’épargne, vous démissionnez ou êtes mutés dans une autre agence ne dépendant plus du CE CGI NORD, vous bénéficierez quand même des chèques vacances avec abondement si votre ancienneté au moment de l’épargne est supérieure à 6 mois et que cette démission-mutation intervient après le 1</w:t>
      </w:r>
      <w:r w:rsidRPr="00161107">
        <w:rPr>
          <w:vertAlign w:val="superscript"/>
        </w:rPr>
        <w:t>er</w:t>
      </w:r>
      <w:r>
        <w:t xml:space="preserve"> décembre 2013.</w:t>
      </w:r>
    </w:p>
    <w:p w:rsidR="00161107" w:rsidRDefault="00161107" w:rsidP="00161107">
      <w:pPr>
        <w:jc w:val="both"/>
      </w:pPr>
    </w:p>
    <w:p w:rsidR="00A71728" w:rsidRDefault="00A71728" w:rsidP="00161107">
      <w:pPr>
        <w:jc w:val="both"/>
      </w:pPr>
    </w:p>
    <w:p w:rsidR="00161107" w:rsidRDefault="00161107" w:rsidP="00161107">
      <w:pPr>
        <w:jc w:val="both"/>
      </w:pPr>
    </w:p>
    <w:p w:rsidR="00024453" w:rsidRDefault="00024453">
      <w:pPr>
        <w:jc w:val="both"/>
        <w:rPr>
          <w:sz w:val="24"/>
        </w:rPr>
      </w:pPr>
      <w:r>
        <w:rPr>
          <w:b/>
          <w:sz w:val="24"/>
        </w:rPr>
        <w:lastRenderedPageBreak/>
        <w:t>IMPAYES</w:t>
      </w:r>
    </w:p>
    <w:p w:rsidR="00024453" w:rsidRDefault="00024453">
      <w:pPr>
        <w:jc w:val="both"/>
        <w:rPr>
          <w:sz w:val="24"/>
        </w:rPr>
      </w:pPr>
    </w:p>
    <w:p w:rsidR="00024453" w:rsidRDefault="00024453">
      <w:pPr>
        <w:jc w:val="both"/>
      </w:pPr>
      <w:r>
        <w:rPr>
          <w:b/>
        </w:rPr>
        <w:t xml:space="preserve">En cas </w:t>
      </w:r>
      <w:r w:rsidR="00BE2EF0">
        <w:rPr>
          <w:b/>
        </w:rPr>
        <w:t>de problème d’encaissement</w:t>
      </w:r>
      <w:r>
        <w:rPr>
          <w:b/>
        </w:rPr>
        <w:t xml:space="preserve"> en cours de plan</w:t>
      </w:r>
      <w:r>
        <w:t xml:space="preserve">, </w:t>
      </w:r>
      <w:proofErr w:type="gramStart"/>
      <w:r w:rsidR="00BE2EF0">
        <w:t>le</w:t>
      </w:r>
      <w:proofErr w:type="gramEnd"/>
      <w:r w:rsidR="00BE2EF0">
        <w:t xml:space="preserve"> CE vous contactera pour essayer de résoudre la situation</w:t>
      </w:r>
      <w:r>
        <w:t xml:space="preserve">. </w:t>
      </w:r>
      <w:r w:rsidR="00BE2EF0">
        <w:t>Si aucune solution n’est trouvée rapidement</w:t>
      </w:r>
      <w:r>
        <w:t xml:space="preserve">, </w:t>
      </w:r>
      <w:r w:rsidR="00BE2EF0">
        <w:t>le CE CGI</w:t>
      </w:r>
      <w:r>
        <w:t xml:space="preserve"> clôture</w:t>
      </w:r>
      <w:r w:rsidR="00BE2EF0">
        <w:t>ra votre plan d’épargne par remboursement du</w:t>
      </w:r>
      <w:r>
        <w:t xml:space="preserve"> montant épargné  sans boni</w:t>
      </w:r>
      <w:r w:rsidR="00334433">
        <w:t>fication après avoir soustrait les éventuels frais bancaires occasionnés lors du refus d’encaissement du chèque.</w:t>
      </w:r>
    </w:p>
    <w:p w:rsidR="00024453" w:rsidRDefault="00024453">
      <w:pPr>
        <w:jc w:val="both"/>
      </w:pPr>
    </w:p>
    <w:p w:rsidR="00024453" w:rsidRDefault="00024453">
      <w:pPr>
        <w:jc w:val="both"/>
        <w:rPr>
          <w:b/>
          <w:sz w:val="24"/>
        </w:rPr>
      </w:pPr>
      <w:r>
        <w:rPr>
          <w:b/>
          <w:sz w:val="24"/>
        </w:rPr>
        <w:t>REMISE DE CHEQUE-VACANCES</w:t>
      </w:r>
    </w:p>
    <w:p w:rsidR="00024453" w:rsidRDefault="00024453">
      <w:pPr>
        <w:jc w:val="both"/>
      </w:pPr>
    </w:p>
    <w:p w:rsidR="00024453" w:rsidRDefault="00024453">
      <w:pPr>
        <w:jc w:val="both"/>
      </w:pPr>
      <w:r>
        <w:rPr>
          <w:b/>
        </w:rPr>
        <w:t>6 semaines après le dernier prélèvement,</w:t>
      </w:r>
      <w:r>
        <w:t xml:space="preserve"> votre correspondant vous remettra les Chèques-Vacances nominatifs sous forme de coupures de 10 €.</w:t>
      </w:r>
    </w:p>
    <w:p w:rsidR="00024453" w:rsidRDefault="00024453">
      <w:pPr>
        <w:jc w:val="both"/>
      </w:pPr>
      <w:r>
        <w:t>Les Chèques-Vacances sont valables deux années civiles après l’année d’émission. Ils sont utilisables par le titulaire, son conjoint, ses enfants et ascendants à charge pour payer des dépenses de transports, d’hébergement et de loisirs auprès des 135 000 prestataires de service agréés par l’Agence Nationale pour les Chèques-Vacances.</w:t>
      </w:r>
    </w:p>
    <w:p w:rsidR="00A71728" w:rsidRDefault="00A71728">
      <w:pPr>
        <w:jc w:val="both"/>
      </w:pPr>
    </w:p>
    <w:p w:rsidR="00A71728" w:rsidRDefault="00A71728" w:rsidP="00A71728">
      <w:pPr>
        <w:jc w:val="both"/>
        <w:rPr>
          <w:sz w:val="24"/>
        </w:rPr>
      </w:pPr>
      <w:r>
        <w:rPr>
          <w:b/>
          <w:sz w:val="24"/>
        </w:rPr>
        <w:t>CHANGEMENT D’ADRESSE</w:t>
      </w:r>
    </w:p>
    <w:p w:rsidR="00A71728" w:rsidRDefault="00A71728" w:rsidP="00A71728">
      <w:pPr>
        <w:jc w:val="both"/>
        <w:rPr>
          <w:sz w:val="24"/>
        </w:rPr>
      </w:pPr>
    </w:p>
    <w:p w:rsidR="00A71728" w:rsidRPr="00A71728" w:rsidRDefault="00A71728" w:rsidP="00A71728">
      <w:pPr>
        <w:jc w:val="both"/>
      </w:pPr>
      <w:r>
        <w:rPr>
          <w:b/>
        </w:rPr>
        <w:t>En cas de changement d’adresse</w:t>
      </w:r>
      <w:r>
        <w:t>, merci de contacter le CE en précisant votre nouvelle adresse ainsi que le fait que vous avez un plan d’épargne en cours.</w:t>
      </w:r>
    </w:p>
    <w:p w:rsidR="00A71728" w:rsidRDefault="00A71728">
      <w:pPr>
        <w:jc w:val="both"/>
      </w:pPr>
    </w:p>
    <w:p w:rsidR="00024453" w:rsidRDefault="00024453">
      <w:pPr>
        <w:jc w:val="both"/>
      </w:pPr>
    </w:p>
    <w:p w:rsidR="00161107" w:rsidRDefault="00024453" w:rsidP="004E38F3">
      <w:pPr>
        <w:rPr>
          <w:b/>
        </w:rPr>
      </w:pPr>
      <w:r>
        <w:rPr>
          <w:b/>
        </w:rPr>
        <w:t>Renseignements :</w:t>
      </w:r>
      <w:r w:rsidR="004E38F3">
        <w:rPr>
          <w:b/>
        </w:rPr>
        <w:t xml:space="preserve"> </w:t>
      </w:r>
      <w:proofErr w:type="gramStart"/>
      <w:r w:rsidR="004E38F3">
        <w:rPr>
          <w:b/>
        </w:rPr>
        <w:t>au</w:t>
      </w:r>
      <w:proofErr w:type="gramEnd"/>
      <w:r w:rsidR="004E38F3">
        <w:rPr>
          <w:b/>
        </w:rPr>
        <w:t xml:space="preserve"> CE le vendredi après midi</w:t>
      </w:r>
    </w:p>
    <w:p w:rsidR="00024453" w:rsidRDefault="00024453" w:rsidP="004E38F3">
      <w:pPr>
        <w:rPr>
          <w:b/>
        </w:rPr>
      </w:pPr>
    </w:p>
    <w:p w:rsidR="00161107" w:rsidRDefault="00161107" w:rsidP="004E38F3">
      <w:pPr>
        <w:rPr>
          <w:b/>
        </w:rPr>
      </w:pPr>
    </w:p>
    <w:p w:rsidR="00161107" w:rsidRPr="003E6DED" w:rsidRDefault="00161107" w:rsidP="004E38F3">
      <w:pPr>
        <w:rPr>
          <w:b/>
        </w:rPr>
        <w:sectPr w:rsidR="00161107" w:rsidRPr="003E6DED">
          <w:footerReference w:type="default" r:id="rId8"/>
          <w:type w:val="continuous"/>
          <w:pgSz w:w="11906" w:h="16838"/>
          <w:pgMar w:top="1417" w:right="1417" w:bottom="1417" w:left="1417" w:header="720" w:footer="720" w:gutter="0"/>
          <w:cols w:num="2" w:space="720"/>
        </w:sectPr>
      </w:pPr>
    </w:p>
    <w:p w:rsidR="00024453" w:rsidRDefault="00024453" w:rsidP="003E6DED">
      <w:pPr>
        <w:jc w:val="both"/>
      </w:pPr>
    </w:p>
    <w:p w:rsidR="00161107" w:rsidRPr="00FD2576" w:rsidRDefault="00FD2576" w:rsidP="00FD2576">
      <w:pPr>
        <w:jc w:val="center"/>
        <w:rPr>
          <w:b/>
          <w:u w:val="single"/>
        </w:rPr>
      </w:pPr>
      <w:r w:rsidRPr="00FD2576">
        <w:rPr>
          <w:b/>
          <w:u w:val="single"/>
        </w:rPr>
        <w:t>Tableau de l’épargne annuelle minimale donnant droit à une bonification du CE</w:t>
      </w:r>
    </w:p>
    <w:p w:rsidR="00FD2576" w:rsidRPr="00FD2576" w:rsidRDefault="00FD2576" w:rsidP="00FD2576">
      <w:pPr>
        <w:jc w:val="center"/>
        <w:rPr>
          <w:b/>
          <w:u w:val="single"/>
        </w:rPr>
      </w:pPr>
    </w:p>
    <w:p w:rsidR="00FD2576" w:rsidRDefault="00FD2576" w:rsidP="00FD2576">
      <w:pPr>
        <w:jc w:val="center"/>
      </w:pPr>
      <w:r>
        <w:object w:dxaOrig="5905"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5pt;height:73.65pt" o:ole="">
            <v:imagedata r:id="rId9" o:title=""/>
          </v:shape>
          <o:OLEObject Type="Embed" ProgID="Excel.Sheet.12" ShapeID="_x0000_i1025" DrawAspect="Content" ObjectID="_1433599499" r:id="rId10"/>
        </w:object>
      </w:r>
    </w:p>
    <w:p w:rsidR="00FD2576" w:rsidRDefault="00FD2576" w:rsidP="00FD2576">
      <w:pPr>
        <w:jc w:val="center"/>
      </w:pPr>
    </w:p>
    <w:p w:rsidR="00FD2576" w:rsidRDefault="00FD2576" w:rsidP="00FD2576">
      <w:pPr>
        <w:jc w:val="center"/>
      </w:pPr>
    </w:p>
    <w:p w:rsidR="00FD2576" w:rsidRPr="00FD2576" w:rsidRDefault="00FD2576" w:rsidP="00FD2576">
      <w:pPr>
        <w:jc w:val="center"/>
        <w:rPr>
          <w:b/>
          <w:u w:val="single"/>
        </w:rPr>
      </w:pPr>
      <w:r w:rsidRPr="00FD2576">
        <w:rPr>
          <w:b/>
          <w:u w:val="single"/>
        </w:rPr>
        <w:t>Tableau du montant total des chèques vacances suivant le montant de l’épargne complémentaire souscrit.</w:t>
      </w:r>
    </w:p>
    <w:p w:rsidR="00FD2576" w:rsidRDefault="00FD2576" w:rsidP="00FD2576">
      <w:pPr>
        <w:jc w:val="center"/>
      </w:pPr>
    </w:p>
    <w:p w:rsidR="00FD2576" w:rsidRDefault="00FD2576" w:rsidP="00FD2576">
      <w:pPr>
        <w:jc w:val="center"/>
      </w:pPr>
      <w:r>
        <w:object w:dxaOrig="12950" w:dyaOrig="1762">
          <v:shape id="_x0000_i1026" type="#_x0000_t75" style="width:647.15pt;height:87.9pt" o:ole="">
            <v:imagedata r:id="rId11" o:title=""/>
          </v:shape>
          <o:OLEObject Type="Embed" ProgID="Excel.Sheet.12" ShapeID="_x0000_i1026" DrawAspect="Content" ObjectID="_1433599500" r:id="rId12"/>
        </w:object>
      </w:r>
    </w:p>
    <w:p w:rsidR="00FD2576" w:rsidRDefault="00FD2576" w:rsidP="00FD2576">
      <w:pPr>
        <w:jc w:val="center"/>
      </w:pPr>
    </w:p>
    <w:p w:rsidR="00FD2576" w:rsidRDefault="00FD2576" w:rsidP="00FD2576">
      <w:pPr>
        <w:jc w:val="center"/>
      </w:pPr>
    </w:p>
    <w:p w:rsidR="00FD2576" w:rsidRDefault="00FD2576" w:rsidP="00FD2576">
      <w:pPr>
        <w:jc w:val="center"/>
      </w:pPr>
    </w:p>
    <w:p w:rsidR="00FD2576" w:rsidRPr="00FD2576" w:rsidRDefault="00FD2576" w:rsidP="00FD2576">
      <w:pPr>
        <w:jc w:val="center"/>
        <w:rPr>
          <w:b/>
          <w:u w:val="single"/>
        </w:rPr>
      </w:pPr>
      <w:r w:rsidRPr="00FD2576">
        <w:rPr>
          <w:b/>
          <w:u w:val="single"/>
        </w:rPr>
        <w:t xml:space="preserve">Tableau du montant </w:t>
      </w:r>
      <w:r>
        <w:rPr>
          <w:b/>
          <w:u w:val="single"/>
        </w:rPr>
        <w:t>des chèques à faire</w:t>
      </w:r>
      <w:r w:rsidRPr="00FD2576">
        <w:rPr>
          <w:b/>
          <w:u w:val="single"/>
        </w:rPr>
        <w:t xml:space="preserve"> suivant le montant de l’épargne complémentaire souscrit.</w:t>
      </w:r>
    </w:p>
    <w:p w:rsidR="00FD2576" w:rsidRDefault="00FD2576" w:rsidP="00FD2576">
      <w:pPr>
        <w:jc w:val="center"/>
      </w:pPr>
    </w:p>
    <w:p w:rsidR="00FD2576" w:rsidRDefault="00FD2576" w:rsidP="00FD2576">
      <w:pPr>
        <w:jc w:val="center"/>
      </w:pPr>
      <w:r>
        <w:object w:dxaOrig="12950" w:dyaOrig="1762">
          <v:shape id="_x0000_i1027" type="#_x0000_t75" style="width:647.15pt;height:87.9pt" o:ole="">
            <v:imagedata r:id="rId13" o:title=""/>
          </v:shape>
          <o:OLEObject Type="Embed" ProgID="Excel.Sheet.12" ShapeID="_x0000_i1027" DrawAspect="Content" ObjectID="_1433599501" r:id="rId14"/>
        </w:object>
      </w:r>
    </w:p>
    <w:sectPr w:rsidR="00FD2576" w:rsidSect="00FD2576">
      <w:headerReference w:type="even" r:id="rId15"/>
      <w:headerReference w:type="default" r:id="rId16"/>
      <w:footerReference w:type="even" r:id="rId17"/>
      <w:footerReference w:type="default" r:id="rId18"/>
      <w:pgSz w:w="16840" w:h="11907" w:orient="landscape" w:code="9"/>
      <w:pgMar w:top="851" w:right="567"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187" w:rsidRDefault="00766187">
      <w:r>
        <w:separator/>
      </w:r>
    </w:p>
  </w:endnote>
  <w:endnote w:type="continuationSeparator" w:id="0">
    <w:p w:rsidR="00766187" w:rsidRDefault="0076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notype Sorts">
    <w:altName w:val="ZapfDingba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453" w:rsidRDefault="00024453">
    <w:pPr>
      <w:tabs>
        <w:tab w:val="right" w:pos="9072"/>
      </w:tabs>
      <w:jc w:val="right"/>
      <w:rPr>
        <w:rFonts w:ascii="Arial" w:hAnsi="Arial" w:cs="Arial"/>
        <w:sz w:val="16"/>
      </w:rPr>
    </w:pPr>
    <w:r>
      <w:rPr>
        <w:rFonts w:ascii="Arial" w:hAnsi="Arial" w:cs="Arial"/>
        <w:sz w:val="16"/>
      </w:rPr>
      <w:t>Notice d’information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453" w:rsidRDefault="00024453">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453" w:rsidRDefault="000244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187" w:rsidRDefault="00766187">
      <w:r>
        <w:separator/>
      </w:r>
    </w:p>
  </w:footnote>
  <w:footnote w:type="continuationSeparator" w:id="0">
    <w:p w:rsidR="00766187" w:rsidRDefault="00766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453" w:rsidRDefault="00B37A9F">
    <w:pPr>
      <w:pStyle w:val="En-tte"/>
      <w:framePr w:wrap="around" w:vAnchor="text" w:hAnchor="margin" w:xAlign="right" w:y="1"/>
      <w:rPr>
        <w:rStyle w:val="Numrodepage"/>
      </w:rPr>
    </w:pPr>
    <w:r>
      <w:rPr>
        <w:rStyle w:val="Numrodepage"/>
      </w:rPr>
      <w:fldChar w:fldCharType="begin"/>
    </w:r>
    <w:r w:rsidR="00024453">
      <w:rPr>
        <w:rStyle w:val="Numrodepage"/>
      </w:rPr>
      <w:instrText xml:space="preserve">PAGE  </w:instrText>
    </w:r>
    <w:r>
      <w:rPr>
        <w:rStyle w:val="Numrodepage"/>
      </w:rPr>
      <w:fldChar w:fldCharType="end"/>
    </w:r>
  </w:p>
  <w:p w:rsidR="00024453" w:rsidRDefault="00024453">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453" w:rsidRDefault="0002445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4453"/>
    <w:rsid w:val="00024453"/>
    <w:rsid w:val="001322B7"/>
    <w:rsid w:val="00161107"/>
    <w:rsid w:val="002F4548"/>
    <w:rsid w:val="00334433"/>
    <w:rsid w:val="003E1C7A"/>
    <w:rsid w:val="003E6DED"/>
    <w:rsid w:val="004E2460"/>
    <w:rsid w:val="004E38F3"/>
    <w:rsid w:val="006B24ED"/>
    <w:rsid w:val="00760D79"/>
    <w:rsid w:val="00766187"/>
    <w:rsid w:val="0080308B"/>
    <w:rsid w:val="00915ECB"/>
    <w:rsid w:val="00A71728"/>
    <w:rsid w:val="00B226EF"/>
    <w:rsid w:val="00B37A9F"/>
    <w:rsid w:val="00BE2EF0"/>
    <w:rsid w:val="00C034A8"/>
    <w:rsid w:val="00C7580B"/>
    <w:rsid w:val="00CF56A4"/>
    <w:rsid w:val="00E3269F"/>
    <w:rsid w:val="00FD2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7A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B37A9F"/>
  </w:style>
  <w:style w:type="paragraph" w:styleId="En-tte">
    <w:name w:val="header"/>
    <w:basedOn w:val="Normal"/>
    <w:rsid w:val="00B37A9F"/>
    <w:pPr>
      <w:tabs>
        <w:tab w:val="center" w:pos="4536"/>
        <w:tab w:val="right" w:pos="9072"/>
      </w:tabs>
    </w:pPr>
  </w:style>
  <w:style w:type="paragraph" w:styleId="Pieddepage">
    <w:name w:val="footer"/>
    <w:basedOn w:val="Normal"/>
    <w:rsid w:val="00B37A9F"/>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901331">
      <w:bodyDiv w:val="1"/>
      <w:marLeft w:val="0"/>
      <w:marRight w:val="0"/>
      <w:marTop w:val="0"/>
      <w:marBottom w:val="0"/>
      <w:divBdr>
        <w:top w:val="none" w:sz="0" w:space="0" w:color="auto"/>
        <w:left w:val="none" w:sz="0" w:space="0" w:color="auto"/>
        <w:bottom w:val="none" w:sz="0" w:space="0" w:color="auto"/>
        <w:right w:val="none" w:sz="0" w:space="0" w:color="auto"/>
      </w:divBdr>
    </w:div>
    <w:div w:id="11384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Excel_Worksheet2.xlsx"/><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1.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Excel_Worksheet3.xls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5312C-7450-4865-840E-2A09E870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POUR OUVRIR VOTRE PLAN D’EPARGNE CHEQUE-VACANCES</vt:lpstr>
    </vt:vector>
  </TitlesOfParts>
  <Company>ANCV</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OUVRIR VOTRE PLAN D’EPARGNE CHEQUE-VACANCES</dc:title>
  <dc:creator>ANCV</dc:creator>
  <cp:lastModifiedBy>SCHWARSHAUPT Julien Prestataire</cp:lastModifiedBy>
  <cp:revision>4</cp:revision>
  <cp:lastPrinted>2009-06-05T08:45:00Z</cp:lastPrinted>
  <dcterms:created xsi:type="dcterms:W3CDTF">2013-06-21T08:24:00Z</dcterms:created>
  <dcterms:modified xsi:type="dcterms:W3CDTF">2013-06-24T15:19:00Z</dcterms:modified>
</cp:coreProperties>
</file>