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These included </w:t>
      </w:r>
      <w:r>
        <w:rPr>
          <w:rFonts w:ascii="Arial" w:hAnsi="Arial" w:cs="Arial"/>
          <w:color w:val="000000"/>
          <w:sz w:val="24"/>
          <w:szCs w:val="24"/>
        </w:rPr>
        <w:t xml:space="preserve">{included_types_sentence}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{monthly_narrative_paragraphs}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Throughout the month, the four (4) teams of the MDRRMO emergency responders, radio operators, and operations personnel diligently and effectively performed their duties in responding to all reported incidents.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