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emergency responders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These included </w:t>
      </w:r>
      <w:r>
        <w:rPr>
          <w:rFonts w:ascii="Arial" w:hAnsi="Arial" w:cs="Arial"/>
          <w:color w:val="000000"/>
          <w:sz w:val="24"/>
          <w:szCs w:val="24"/>
        </w:rPr>
        <w:t xml:space="preserve">{included_types_sentence}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{monthly_narrative_paragraphs}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Throughout the month, the four (4) teams of the MDRRMO emergency responders, radio operators, and operations personnel diligently and effectively performed their duties in responding to all reported incidents.</w:t>
      </w:r>
    </w:p>
    <w:p>
      <w:pPr>
        <w:spacing w:after="120" w:line="240" w:lineRule="auto"/>
      </w:pPr>
    </w:p>
    <w:p>
      <w:pPr>
        <w:spacing w:after="120" w:line="240" w:lineRule="auto"/>
      </w:pP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jc w:val="center"/>
      <w:tblBorders>
        <w:top w:val="none"/>
        <w:left w:val="none"/>
        <w:bottom w:val="none"/>
        <w:right w:val="none"/>
        <w:insideH w:val="none"/>
        <w:insideV w:val="none"/>
      </w:tblBorders>
      <w:tblCellMar>
        <w:top w:w="0" w:type="dxa"/>
        <w:bottom w:w="0" w:type="dxa"/>
        <w:left w:w="40" w:type="dxa"/>
        <w:right w:w="40" w:type="dxa"/>
      </w:tblCellMar>
    </w:tblPr>
    <w:tr>
      <w:tc>
        <w:tcPr>
          <w:tcW w:w="3120" w:type="dxa"/>
        </w:tcPr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Prepared by:</w:t>
          </w:r>
        </w:p>
      </w:tc>
      <w:tc>
        <w:tcPr>
          <w:tcW w:w="3120" w:type="dxa"/>
        </w:tcPr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Checked by:</w:t>
          </w:r>
        </w:p>
      </w:tc>
      <w:tc>
        <w:tcPr>
          <w:tcW w:w="3120" w:type="dxa"/>
        </w:tcPr>
        <w:p>
          <w:pPr>
            <w:jc w:val="center"/>
            <w:spacing w:before="20" w:after="20" w:line="240" w:lineRule="auto"/>
          </w:pPr>
          <w:r>
            <w:rPr>
              <w:rFonts w:ascii="Arial" w:hAnsi="Arial" w:cs="Arial"/>
              <w:color w:val="000000"/>
              <w:sz w:val="20"/>
              <w:szCs w:val="20"/>
            </w:rPr>
            <w:t xml:space="preserve">Noted by:</w:t>
          </w:r>
        </w:p>
      </w:tc>
    </w:tr>
    <w:tr>
      <w:tc>
        <w:tcPr>
          <w:tcW w:w="3120" w:type="dxa"/>
        </w:tcPr>
        <w:p>
          <w:pPr>
            <w:spacing w:after="30" w:line="240" w:lineRule="auto"/>
          </w:pPr>
        </w:p>
        <w:p>
          <w:pPr>
            <w:jc w:val="center"/>
            <w:spacing w:before="10" w:after="1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Rosalinda Espinar</w:t>
          </w:r>
        </w:p>
        <w:p>
          <w:pPr>
            <w:jc w:val="center"/>
            <w:spacing w:before="0" w:after="1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Incident Documentation Staff</w:t>
          </w:r>
        </w:p>
      </w:tc>
      <w:tc>
        <w:tcPr>
          <w:tcW w:w="3120" w:type="dxa"/>
        </w:tcPr>
        <w:p>
          <w:pPr>
            <w:spacing w:after="30" w:line="240" w:lineRule="auto"/>
          </w:pPr>
        </w:p>
        <w:p>
          <w:pPr>
            <w:jc w:val="center"/>
            <w:spacing w:before="10" w:after="1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Giovanni Marco</w:t>
          </w:r>
        </w:p>
        <w:p>
          <w:pPr>
            <w:jc w:val="center"/>
            <w:spacing w:before="0" w:after="1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Operations-In-Charge</w:t>
          </w:r>
        </w:p>
      </w:tc>
      <w:tc>
        <w:tcPr>
          <w:tcW w:w="3120" w:type="dxa"/>
        </w:tcPr>
        <w:p>
          <w:pPr>
            <w:spacing w:after="30" w:line="240" w:lineRule="auto"/>
          </w:pPr>
        </w:p>
        <w:p>
          <w:pPr>
            <w:jc w:val="center"/>
            <w:spacing w:before="10" w:after="10" w:line="240" w:lineRule="auto"/>
          </w:pPr>
          <w:r>
            <w:rPr>
              <w:rFonts w:ascii="Arial" w:hAnsi="Arial" w:cs="Arial"/>
              <w:b/>
              <w:bCs/>
              <w:color w:val="000000"/>
              <w:sz w:val="22"/>
              <w:szCs w:val="22"/>
            </w:rPr>
            <w:t xml:space="preserve">Christian Noel Villanueva</w:t>
          </w:r>
        </w:p>
        <w:p>
          <w:pPr>
            <w:jc w:val="center"/>
            <w:spacing w:before="0" w:after="10" w:line="240" w:lineRule="auto"/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MGDH I – LDRRMO</w:t>
          </w:r>
        </w:p>
      </w:tc>
    </w:tr>
  </w:tbl>
  <w:p>
    <w:pPr>
      <w:pStyle w:val="Footer"/>
      <w:spacing w:before="140" w:after="0" w:line="240" w:lineRule="auto"/>
    </w:pPr>
    <w:r>
      <w:rPr>
        <w:noProof/>
        <w:lang w:eastAsia="en-PH"/>
      </w:rPr>
      <w:drawing>
        <wp:anchor distT="0" distB="0" distL="114300" distR="114300" simplePos="0" relativeHeight="251656192" behindDoc="1" locked="0" layoutInCell="1" allowOverlap="1" wp14:anchorId="03B7B224" wp14:editId="41AAECDD">
          <wp:simplePos x="0" y="0"/>
          <wp:positionH relativeFrom="page">
            <wp:align>right</wp:align>
          </wp:positionH>
          <wp:positionV relativeFrom="paragraph">
            <wp:posOffset>0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color w:val="808080"/>
        <w:sz w:val="20"/>
        <w:szCs w:val="20"/>
      </w:rPr>
      <w:t>Hotline no. (0906) 636 4019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