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{month_name_upper}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{year}</w:t>
      </w:r>
      <w:r>
        <w:rPr>
          <w:rFonts w:ascii="Arial" w:hAnsi="Arial" w:cs="Arial"/>
          <w:color w:val="000000"/>
          <w:sz w:val="24"/>
          <w:szCs w:val="24"/>
        </w:rPr>
        <w:t xml:space="preserve">,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{total_incidents_text}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These included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{trauma_count_text}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{medical_count_text}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 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{conduction_count_text}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, while some patients were under alcohol intoxication. </w:t>
      </w:r>
      <w:r>
        <w:rPr>
          <w:rFonts w:ascii="Arial" w:hAnsi="Arial" w:cs="Arial"/>
          <w:color w:val="000000"/>
          <w:sz w:val="24"/>
          <w:szCs w:val="24"/>
        </w:rPr>
        <w:t xml:space="preserve">{trauma_disposition_narrative}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Medical emergencies commonly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Medical conduction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Throughout the month, the four (4) teams of the MDRRMO emergency responders, radio operators, and operations personnel diligently and effectively performed their duties in responding to all reported incidents.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