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These included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,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 while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were transported after receiving proper care, except for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{refused_count}</w:t>
      </w:r>
      <w:r>
        <w:rPr>
          <w:rFonts w:ascii="Arial" w:hAnsi="Arial" w:cs="Arial"/>
          <w:color w:val="000000"/>
          <w:sz w:val="24"/>
          <w:szCs w:val="24"/>
        </w:rPr>
        <w:t xml:space="preserve"> patient who refused transport.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emergencies commonly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conduction cases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Throughout the month,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{team_count}</w:t>
      </w:r>
      <w:r>
        <w:rPr>
          <w:rFonts w:ascii="Arial" w:hAnsi="Arial" w:cs="Arial"/>
          <w:color w:val="000000"/>
          <w:sz w:val="24"/>
          <w:szCs w:val="24"/>
        </w:rPr>
        <w:t xml:space="preserve"> MDRRMO teams effectively responded to all reported incidents.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