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spacing w:before="120" w:after="120" w:line="240" w:lineRule="auto"/>
      </w:pPr>
      <w:r>
        <w:rPr>
          <w:rFonts w:ascii="Arial" w:hAnsi="Arial" w:cs="Arial"/>
          <w:b/>
          <w:bCs/>
          <w:color w:val="000000"/>
          <w:sz w:val="24"/>
          <w:szCs w:val="24"/>
        </w:rPr>
        <w:t xml:space="preserve">MONTHLY INCIDENT REPORT</w:t>
      </w:r>
    </w:p>
    <w:p>
      <w:pPr>
        <w:spacing w:after="120" w:line="240" w:lineRule="auto"/>
      </w:pPr>
    </w:p>
    <w:p>
      <w:pPr>
        <w:jc w:val="both"/>
        <w:spacing w:before="120" w:after="120" w:line="240" w:lineRule="auto"/>
      </w:pPr>
      <w:r>
        <w:rPr>
          <w:rFonts w:ascii="Arial" w:hAnsi="Arial" w:cs="Arial"/>
          <w:color w:val="000000"/>
          <w:sz w:val="24"/>
          <w:szCs w:val="24"/>
        </w:rPr>
        <w:t xml:space="preserve">       For the month of </w:t>
      </w:r>
      <w:r>
        <w:rPr>
          <w:rFonts w:ascii="Arial" w:hAnsi="Arial" w:cs="Arial"/>
          <w:b/>
          <w:bCs/>
          <w:color w:val="000000"/>
          <w:sz w:val="24"/>
          <w:szCs w:val="24"/>
        </w:rPr>
        <w:t xml:space="preserve">March 2026</w:t>
      </w:r>
      <w:r>
        <w:rPr>
          <w:rFonts w:ascii="Arial" w:hAnsi="Arial" w:cs="Arial"/>
          <w:color w:val="000000"/>
          <w:sz w:val="24"/>
          <w:szCs w:val="24"/>
        </w:rPr>
        <w:t xml:space="preserve">, the Municipal Disaster Risk Reduction and Management Office (</w:t>
      </w:r>
      <w:r>
        <w:rPr>
          <w:rFonts w:ascii="Arial" w:hAnsi="Arial" w:cs="Arial"/>
          <w:b/>
          <w:bCs/>
          <w:color w:val="000000"/>
          <w:sz w:val="24"/>
          <w:szCs w:val="24"/>
        </w:rPr>
        <w:t xml:space="preserve">MDRRMO</w:t>
      </w:r>
      <w:r>
        <w:rPr>
          <w:rFonts w:ascii="Arial" w:hAnsi="Arial" w:cs="Arial"/>
          <w:color w:val="000000"/>
          <w:sz w:val="24"/>
          <w:szCs w:val="24"/>
        </w:rPr>
        <w:t xml:space="preserve">) emergency responders handled a total of </w:t>
      </w:r>
      <w:r>
        <w:rPr>
          <w:rFonts w:ascii="Arial" w:hAnsi="Arial" w:cs="Arial"/>
          <w:b/>
          <w:bCs/>
          <w:color w:val="000000"/>
          <w:sz w:val="24"/>
          <w:szCs w:val="24"/>
        </w:rPr>
        <w:t xml:space="preserve">Forty-Two (42)</w:t>
      </w:r>
      <w:r>
        <w:rPr>
          <w:rFonts w:ascii="Arial" w:hAnsi="Arial" w:cs="Arial"/>
          <w:color w:val="000000"/>
          <w:sz w:val="24"/>
          <w:szCs w:val="24"/>
        </w:rPr>
        <w:t xml:space="preserve"> incidents.</w:t>
      </w:r>
    </w:p>
    <w:p>
      <w:pPr>
        <w:spacing w:after="120" w:line="240" w:lineRule="auto"/>
      </w:pPr>
    </w:p>
    <w:p>
      <w:pPr>
        <w:jc w:val="both"/>
        <w:spacing w:before="120" w:after="120" w:line="240" w:lineRule="auto"/>
      </w:pPr>
      <w:r>
        <w:rPr>
          <w:rFonts w:ascii="Arial" w:hAnsi="Arial" w:cs="Arial"/>
          <w:color w:val="000000"/>
          <w:sz w:val="24"/>
          <w:szCs w:val="24"/>
        </w:rPr>
        <w:t xml:space="preserve">       These included </w:t>
      </w:r>
      <w:r>
        <w:rPr>
          <w:rFonts w:ascii="Arial" w:hAnsi="Arial" w:cs="Arial"/>
          <w:color w:val="000000"/>
          <w:sz w:val="24"/>
          <w:szCs w:val="24"/>
        </w:rPr>
        <w:t xml:space="preserve">Twenty-Five (25) Trauma Emergencies, Thirteen (13) Medical Emergencies, and Four (4) Medical Conductions</w:t>
      </w:r>
      <w:r>
        <w:rPr>
          <w:rFonts w:ascii="Arial" w:hAnsi="Arial" w:cs="Arial"/>
          <w:color w:val="000000"/>
          <w:sz w:val="24"/>
          <w:szCs w:val="24"/>
        </w:rPr>
        <w:t xml:space="preserve">.</w:t>
      </w:r>
    </w:p>
    <w:p>
      <w:pPr>
        <w:spacing w:after="120" w:line="240" w:lineRule="auto"/>
      </w:pPr>
    </w:p>
    <w:p>
      <w:pPr>
        <w:jc w:val="both"/>
        <w:spacing w:before="120" w:after="120" w:line="240" w:lineRule="auto"/>
      </w:pPr>
      <w:r>
        <w:rPr>
          <w:rFonts w:ascii="Arial" w:hAnsi="Arial" w:cs="Arial"/>
          <w:color w:val="000000"/>
          <w:sz w:val="24"/>
          <w:szCs w:val="24"/>
        </w:rPr>
        <w:t xml:space="preserve">Most trauma cases involved vehicular accidents and falls resulting in abrasions, lacerations, contusions, swelling, body pain, and possible fractures, while three (3) patients were under alcohol intoxication. Emergency responders performed wound cleaning, dressing, and splinting. Three (3) patients were reported dead on the spot, while Thirty-Eight (38) patients were given care management and transported to hospitals such as Balayan Medicare Hospital for further evaluation and treatment, except for One (1) patient who refused transport.</w:t>
      </w:r>
      <w:r>
        <w:br/>
      </w:r>
      <w:r>
        <w:rPr>
          <w:rFonts w:ascii="Arial" w:hAnsi="Arial" w:cs="Arial"/>
          <w:color w:val="000000"/>
          <w:sz w:val="24"/>
          <w:szCs w:val="24"/>
        </w:rPr>
        <w:t/>
      </w:r>
      <w:r>
        <w:br/>
      </w:r>
      <w:r>
        <w:rPr>
          <w:rFonts w:ascii="Arial" w:hAnsi="Arial" w:cs="Arial"/>
          <w:color w:val="000000"/>
          <w:sz w:val="24"/>
          <w:szCs w:val="24"/>
        </w:rPr>
        <w:t xml:space="preserve">       Medical emergencies commonly involved dizziness, hypertension, asthma attacks, difficulty of breathing, loss of consciousness, vomiting, body weakness, and other related conditions. Emergency responders performed patient evaluation, oxygen administration, and vital sign monitoring. All Thirteen (13) patients were given care management and transported to medical facilities for further treatment.</w:t>
      </w:r>
      <w:r>
        <w:br/>
      </w:r>
      <w:r>
        <w:rPr>
          <w:rFonts w:ascii="Arial" w:hAnsi="Arial" w:cs="Arial"/>
          <w:color w:val="000000"/>
          <w:sz w:val="24"/>
          <w:szCs w:val="24"/>
        </w:rPr>
        <w:t/>
      </w:r>
      <w:r>
        <w:br/>
      </w:r>
      <w:r>
        <w:rPr>
          <w:rFonts w:ascii="Arial" w:hAnsi="Arial" w:cs="Arial"/>
          <w:color w:val="000000"/>
          <w:sz w:val="24"/>
          <w:szCs w:val="24"/>
        </w:rPr>
        <w:t xml:space="preserve">       Medical conduction cases involved providing transportation assistance to elderly and other patients for hospital check-ups and transfers. Emergency responders performed patient transport assistance and vital sign monitoring. All Four (4) patients were safely transported to destination hospitals.</w:t>
      </w:r>
    </w:p>
    <w:p>
      <w:pPr>
        <w:spacing w:after="120" w:line="240" w:lineRule="auto"/>
      </w:pPr>
    </w:p>
    <w:p>
      <w:pPr>
        <w:jc w:val="both"/>
        <w:spacing w:before="120" w:after="120" w:line="240" w:lineRule="auto"/>
      </w:pPr>
      <w:r>
        <w:rPr>
          <w:rFonts w:ascii="Arial" w:hAnsi="Arial" w:cs="Arial"/>
          <w:color w:val="000000"/>
          <w:sz w:val="24"/>
          <w:szCs w:val="24"/>
        </w:rPr>
        <w:t xml:space="preserve">       Throughout the month, the four (4) teams of the MDRRMO emergency responders, radio operators, and operations personnel diligently and effectively performed their duties in responding to all reported incidents.</w:t>
      </w:r>
    </w:p>
    <w:p>
      <w:pPr>
        <w:spacing w:after="120" w:line="240" w:lineRule="auto"/>
      </w:pPr>
    </w:p>
    <w:tbl>
      <w:tblPr>
        <w:tblW w:w="9360" w:type="dxa"/>
        <w:tblBorders>
          <w:top w:val="none"/>
          <w:left w:val="none"/>
          <w:bottom w:val="none"/>
          <w:right w:val="none"/>
          <w:insideH w:val="none"/>
          <w:insideV w:val="none"/>
        </w:tblBorders>
      </w:tblPr>
      <w:tr>
        <w:tc>
          <w:tcPr>
            <w:tcW w:w="3120" w:type="dxa"/>
          </w:tcPr>
          <w:p>
            <w:pPr>
              <w:jc w:val="center"/>
              <w:spacing w:before="120" w:after="120" w:line="240" w:lineRule="auto"/>
            </w:pPr>
            <w:r>
              <w:rPr>
                <w:rFonts w:ascii="Arial" w:hAnsi="Arial" w:cs="Arial"/>
                <w:color w:val="000000"/>
                <w:sz w:val="22"/>
                <w:szCs w:val="22"/>
              </w:rPr>
              <w:t xml:space="preserve">Prepared by:</w:t>
            </w:r>
          </w:p>
        </w:tc>
        <w:tc>
          <w:tcPr>
            <w:tcW w:w="3120" w:type="dxa"/>
          </w:tcPr>
          <w:p>
            <w:pPr>
              <w:jc w:val="center"/>
              <w:spacing w:before="120" w:after="120" w:line="240" w:lineRule="auto"/>
            </w:pPr>
            <w:r>
              <w:rPr>
                <w:rFonts w:ascii="Arial" w:hAnsi="Arial" w:cs="Arial"/>
                <w:color w:val="000000"/>
                <w:sz w:val="22"/>
                <w:szCs w:val="22"/>
              </w:rPr>
              <w:t xml:space="preserve">Checked by:</w:t>
            </w:r>
          </w:p>
        </w:tc>
        <w:tc>
          <w:tcPr>
            <w:tcW w:w="3120" w:type="dxa"/>
          </w:tcPr>
          <w:p>
            <w:pPr>
              <w:jc w:val="center"/>
              <w:spacing w:before="120" w:after="120" w:line="240" w:lineRule="auto"/>
            </w:pPr>
            <w:r>
              <w:rPr>
                <w:rFonts w:ascii="Arial" w:hAnsi="Arial" w:cs="Arial"/>
                <w:color w:val="000000"/>
                <w:sz w:val="22"/>
                <w:szCs w:val="22"/>
              </w:rPr>
              <w:t xml:space="preserve">Noted by:</w:t>
            </w:r>
          </w:p>
        </w:tc>
      </w:tr>
      <w:tr>
        <w:tc>
          <w:tcPr>
            <w:tcW w:w="3120" w:type="dxa"/>
          </w:tcPr>
          <w:p>
            <w:pPr>
              <w:spacing w:after="120" w:line="240" w:lineRule="auto"/>
            </w:pPr>
          </w:p>
          <w:p>
            <w:pPr>
              <w:spacing w:after="120" w:line="240" w:lineRule="auto"/>
            </w:pPr>
          </w:p>
          <w:p>
            <w:pPr>
              <w:jc w:val="center"/>
              <w:spacing w:before="120" w:after="120" w:line="240" w:lineRule="auto"/>
            </w:pPr>
            <w:r>
              <w:rPr>
                <w:rFonts w:ascii="Arial" w:hAnsi="Arial" w:cs="Arial"/>
                <w:b/>
                <w:bCs/>
                <w:color w:val="000000"/>
                <w:sz w:val="22"/>
                <w:szCs w:val="22"/>
              </w:rPr>
              <w:t xml:space="preserve">Rosalinda Espinar</w:t>
            </w:r>
          </w:p>
          <w:p>
            <w:pPr>
              <w:jc w:val="center"/>
              <w:spacing w:before="120" w:after="120" w:line="240" w:lineRule="auto"/>
            </w:pPr>
            <w:r>
              <w:rPr>
                <w:rFonts w:ascii="Arial" w:hAnsi="Arial" w:cs="Arial"/>
                <w:color w:val="000000"/>
                <w:sz w:val="22"/>
                <w:szCs w:val="22"/>
              </w:rPr>
              <w:t xml:space="preserve">Incident Documentation Staff</w:t>
            </w:r>
          </w:p>
        </w:tc>
        <w:tc>
          <w:tcPr>
            <w:tcW w:w="3120" w:type="dxa"/>
          </w:tcPr>
          <w:p>
            <w:pPr>
              <w:spacing w:after="120" w:line="240" w:lineRule="auto"/>
            </w:pPr>
          </w:p>
          <w:p>
            <w:pPr>
              <w:spacing w:after="120" w:line="240" w:lineRule="auto"/>
            </w:pPr>
          </w:p>
          <w:p>
            <w:pPr>
              <w:jc w:val="center"/>
              <w:spacing w:before="120" w:after="120" w:line="240" w:lineRule="auto"/>
            </w:pPr>
            <w:r>
              <w:rPr>
                <w:rFonts w:ascii="Arial" w:hAnsi="Arial" w:cs="Arial"/>
                <w:b/>
                <w:bCs/>
                <w:color w:val="000000"/>
                <w:sz w:val="22"/>
                <w:szCs w:val="22"/>
              </w:rPr>
              <w:t xml:space="preserve">Giovanni Marco</w:t>
            </w:r>
          </w:p>
          <w:p>
            <w:pPr>
              <w:jc w:val="center"/>
              <w:spacing w:before="120" w:after="120" w:line="240" w:lineRule="auto"/>
            </w:pPr>
            <w:r>
              <w:rPr>
                <w:rFonts w:ascii="Arial" w:hAnsi="Arial" w:cs="Arial"/>
                <w:color w:val="000000"/>
                <w:sz w:val="22"/>
                <w:szCs w:val="22"/>
              </w:rPr>
              <w:t xml:space="preserve">Operations-In-Charge</w:t>
            </w:r>
          </w:p>
        </w:tc>
        <w:tc>
          <w:tcPr>
            <w:tcW w:w="3120" w:type="dxa"/>
          </w:tcPr>
          <w:p>
            <w:pPr>
              <w:spacing w:after="120" w:line="240" w:lineRule="auto"/>
            </w:pPr>
          </w:p>
          <w:p>
            <w:pPr>
              <w:spacing w:after="120" w:line="240" w:lineRule="auto"/>
            </w:pPr>
          </w:p>
          <w:p>
            <w:pPr>
              <w:jc w:val="center"/>
              <w:spacing w:before="120" w:after="120" w:line="240" w:lineRule="auto"/>
            </w:pPr>
            <w:r>
              <w:rPr>
                <w:rFonts w:ascii="Arial" w:hAnsi="Arial" w:cs="Arial"/>
                <w:b/>
                <w:bCs/>
                <w:color w:val="000000"/>
                <w:sz w:val="22"/>
                <w:szCs w:val="22"/>
              </w:rPr>
              <w:t xml:space="preserve">Christian Noel Villanueva</w:t>
            </w:r>
          </w:p>
          <w:p>
            <w:pPr>
              <w:jc w:val="center"/>
              <w:spacing w:before="120" w:after="120" w:line="240" w:lineRule="auto"/>
            </w:pPr>
            <w:r>
              <w:rPr>
                <w:rFonts w:ascii="Arial" w:hAnsi="Arial" w:cs="Arial"/>
                <w:color w:val="000000"/>
                <w:sz w:val="22"/>
                <w:szCs w:val="22"/>
              </w:rPr>
              <w:t xml:space="preserve">MGDH I – LDRRMO</w:t>
            </w:r>
          </w:p>
        </w:tc>
      </w:tr>
    </w:tbl>
    <w:p>
      <w:pPr>
        <w:spacing w:after="120" w:line="240" w:lineRule="auto"/>
      </w:pPr>
    </w:p>
    <w:sectPr w:rsidR="000F37E8" w:rsidRPr="006956CB" w:rsidSect="00251E48">
      <w:headerReference w:type="default" r:id="rId7"/>
      <w:footerReference w:type="default" r:id="rId8"/>
      <w:pgSz w:w="12240" w:h="18720" w:code="14"/>
      <w:pgMar w:top="269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491C1" w14:textId="77777777" w:rsidR="004D5E36" w:rsidRDefault="004D5E36" w:rsidP="00251E48">
      <w:pPr>
        <w:spacing w:after="0" w:line="240" w:lineRule="auto"/>
      </w:pPr>
      <w:r>
        <w:separator/>
      </w:r>
    </w:p>
  </w:endnote>
  <w:endnote w:type="continuationSeparator" w:id="0">
    <w:p w14:paraId="3D39CF6B" w14:textId="77777777" w:rsidR="004D5E36" w:rsidRDefault="004D5E36" w:rsidP="0025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17FC3" w14:textId="77777777" w:rsidR="00251E48" w:rsidRPr="00671732" w:rsidRDefault="00251E48" w:rsidP="00251E48">
    <w:pPr>
      <w:pStyle w:val="Footer"/>
    </w:pPr>
    <w:bookmarkStart w:id="0" w:name="_Hlk220927823"/>
    <w:bookmarkStart w:id="1" w:name="_Hlk220927824"/>
    <w:r w:rsidRPr="00671732">
      <w:rPr>
        <w:noProof/>
        <w:lang w:eastAsia="en-PH"/>
      </w:rPr>
      <w:drawing>
        <wp:anchor distT="0" distB="0" distL="114300" distR="114300" simplePos="0" relativeHeight="251661312" behindDoc="1" locked="0" layoutInCell="1" allowOverlap="1" wp14:anchorId="6FC6BD63" wp14:editId="365C749A">
          <wp:simplePos x="0" y="0"/>
          <wp:positionH relativeFrom="page">
            <wp:posOffset>-6985</wp:posOffset>
          </wp:positionH>
          <wp:positionV relativeFrom="paragraph">
            <wp:posOffset>-57640</wp:posOffset>
          </wp:positionV>
          <wp:extent cx="7780867" cy="817988"/>
          <wp:effectExtent l="0" t="0" r="0" b="127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867" cy="8179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1732">
      <w:t>Hotline no. (0906) 636 4019</w:t>
    </w:r>
    <w:bookmarkEnd w:id="0"/>
    <w:bookmarkEnd w:id="1"/>
  </w:p>
  <w:p w14:paraId="378F3CA6" w14:textId="77777777" w:rsidR="00251E48" w:rsidRDefault="00251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55C1D" w14:textId="77777777" w:rsidR="004D5E36" w:rsidRDefault="004D5E36" w:rsidP="00251E48">
      <w:pPr>
        <w:spacing w:after="0" w:line="240" w:lineRule="auto"/>
      </w:pPr>
      <w:r>
        <w:separator/>
      </w:r>
    </w:p>
  </w:footnote>
  <w:footnote w:type="continuationSeparator" w:id="0">
    <w:p w14:paraId="18D99064" w14:textId="77777777" w:rsidR="004D5E36" w:rsidRDefault="004D5E36" w:rsidP="0025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71BD5" w14:textId="77777777" w:rsidR="00251E48" w:rsidRDefault="00251E48">
    <w:pPr>
      <w:pStyle w:val="Header"/>
    </w:pPr>
    <w:r>
      <w:rPr>
        <w:noProof/>
        <w:lang w:eastAsia="en-PH"/>
      </w:rPr>
      <w:drawing>
        <wp:anchor distT="0" distB="0" distL="114300" distR="114300" simplePos="0" relativeHeight="251659264" behindDoc="1" locked="0" layoutInCell="1" allowOverlap="1" wp14:anchorId="670C5ADB" wp14:editId="60066111">
          <wp:simplePos x="0" y="0"/>
          <wp:positionH relativeFrom="page">
            <wp:posOffset>-11575</wp:posOffset>
          </wp:positionH>
          <wp:positionV relativeFrom="paragraph">
            <wp:posOffset>-417324</wp:posOffset>
          </wp:positionV>
          <wp:extent cx="7764780" cy="1554950"/>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4780" cy="15549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E0B2C"/>
    <w:multiLevelType w:val="hybridMultilevel"/>
    <w:tmpl w:val="698CBD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EB95194"/>
    <w:multiLevelType w:val="hybridMultilevel"/>
    <w:tmpl w:val="A998C9E4"/>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2" w15:restartNumberingAfterBreak="0">
    <w:nsid w:val="70234569"/>
    <w:multiLevelType w:val="hybridMultilevel"/>
    <w:tmpl w:val="5E66DD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48"/>
    <w:rsid w:val="000B6502"/>
    <w:rsid w:val="000F37E8"/>
    <w:rsid w:val="00251E48"/>
    <w:rsid w:val="003F20D1"/>
    <w:rsid w:val="00404264"/>
    <w:rsid w:val="00413018"/>
    <w:rsid w:val="00444306"/>
    <w:rsid w:val="00447FEE"/>
    <w:rsid w:val="00480E22"/>
    <w:rsid w:val="004D5E36"/>
    <w:rsid w:val="00571B2D"/>
    <w:rsid w:val="005D0C90"/>
    <w:rsid w:val="006208B9"/>
    <w:rsid w:val="006956CB"/>
    <w:rsid w:val="00855158"/>
    <w:rsid w:val="00B505D0"/>
    <w:rsid w:val="00BB7242"/>
    <w:rsid w:val="00C87578"/>
    <w:rsid w:val="00E954F0"/>
    <w:rsid w:val="00F63F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A991CB"/>
  <w15:chartTrackingRefBased/>
  <w15:docId w15:val="{809F10AD-32EF-4AA1-A9CE-5E997DE5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E48"/>
  </w:style>
  <w:style w:type="paragraph" w:styleId="Footer">
    <w:name w:val="footer"/>
    <w:basedOn w:val="Normal"/>
    <w:link w:val="FooterChar"/>
    <w:uiPriority w:val="99"/>
    <w:unhideWhenUsed/>
    <w:rsid w:val="0025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E48"/>
  </w:style>
  <w:style w:type="paragraph" w:styleId="ListParagraph">
    <w:name w:val="List Paragraph"/>
    <w:basedOn w:val="Normal"/>
    <w:uiPriority w:val="34"/>
    <w:qFormat/>
    <w:rsid w:val="00251E48"/>
    <w:pPr>
      <w:spacing w:after="200" w:line="276" w:lineRule="auto"/>
      <w:ind w:left="720"/>
      <w:contextualSpacing/>
    </w:pPr>
  </w:style>
  <w:style w:type="paragraph" w:styleId="NormalWeb">
    <w:name w:val="Normal (Web)"/>
    <w:basedOn w:val="Normal"/>
    <w:uiPriority w:val="99"/>
    <w:unhideWhenUsed/>
    <w:rsid w:val="00447FEE"/>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47F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2026-07-09T01:47:00Z</cp:lastPrinted>
  <dcterms:created xsi:type="dcterms:W3CDTF">2026-05-09T04:19:00Z</dcterms:created>
  <dcterms:modified xsi:type="dcterms:W3CDTF">2026-07-16T07:40:00Z</dcterms:modified>
</cp:coreProperties>
</file>