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X"/>
      </w:pPr>
      <w:r>
        <w:t xml:space="preserve">CivicPulse</w:t>
      </w:r>
    </w:p>
    <w:p>
      <w:pPr>
        <w:pStyle w:val="SubtitleX"/>
      </w:pPr>
      <w:r>
        <w:t xml:space="preserve">Test Cases Performed  ·  Verification Record</w:t>
      </w:r>
    </w:p>
    <w:p>
      <w:pPr>
        <w:pStyle w:val="MetaX"/>
      </w:pPr>
      <w:r>
        <w:t xml:space="preserve">11 August 2026  ·  B4 Group 11 Capstone  ·  Executed against the deployed project</w:t>
      </w:r>
    </w:p>
    <w:p>
      <w:pPr>
        <w:pStyle w:val="SpacerX"/>
      </w:pPr>
    </w:p>
    <w:p>
      <w:pPr>
        <w:pStyle w:val="BodyX"/>
      </w:pPr>
      <w:r>
        <w:rPr>
          <w:b/>
        </w:rPr>
        <w:t xml:space="preserve">What this is.</w:t>
      </w:r>
      <w:r>
        <w:t xml:space="preserve"> This records the checks actually run during development and the results actually observed. It is a verification log, not a test plan: nothing here is aspirational, and no case is listed that was not executed.</w:t>
      </w:r>
    </w:p>
    <w:p>
      <w:pPr>
        <w:pStyle w:val="NoteX"/>
      </w:pPr>
      <w:r>
        <w:t xml:space="preserve">The repository has no automated test framework. These were run as one-off scripts, SQL against the live database, and browser checks. They are therefore evidence that a feature worked when it was built — they do not re-run on every change, and nothing here guards against a future regression.</w:t>
      </w:r>
    </w:p>
    <w:p>
      <w:pPr>
        <w:pStyle w:val="SpacerX"/>
      </w:pPr>
    </w:p>
    <w:p>
      <w:pPr>
        <w:pStyle w:val="Heading1"/>
      </w:pPr>
      <w:r>
        <w:t xml:space="preserve">1. How These Were Run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3200"/>
        <w:gridCol w:w="3600"/>
      </w:tblGrid>
      <w:tr>
        <w:tc>
          <w:tcPr>
            <w:tcW w:w="2200" w:type="dxa"/>
            <w:shd w:val="clear" w:color="auto" w:fill="F1F5F9"/>
            <w:vAlign w:val="center"/>
          </w:tcPr>
          <w:p>
            <w:pPr>
              <w:pStyle w:val="TableTextX"/>
            </w:pPr>
            <w:r>
              <w:rPr>
                <w:b/>
              </w:rPr>
              <w:t xml:space="preserve">Method</w:t>
            </w:r>
          </w:p>
        </w:tc>
        <w:tc>
          <w:tcPr>
            <w:tcW w:w="3200" w:type="dxa"/>
            <w:shd w:val="clear" w:color="auto" w:fill="F1F5F9"/>
            <w:vAlign w:val="center"/>
          </w:tcPr>
          <w:p>
            <w:pPr>
              <w:pStyle w:val="TableTextX"/>
            </w:pPr>
            <w:r>
              <w:rPr>
                <w:b/>
              </w:rPr>
              <w:t xml:space="preserve">Used for</w:t>
            </w:r>
          </w:p>
        </w:tc>
        <w:tc>
          <w:tcPr>
            <w:tcW w:w="3600" w:type="dxa"/>
            <w:shd w:val="clear" w:color="auto" w:fill="F1F5F9"/>
            <w:vAlign w:val="center"/>
          </w:tcPr>
          <w:p>
            <w:pPr>
              <w:pStyle w:val="TableTextX"/>
            </w:pPr>
            <w:r>
              <w:rPr>
                <w:b/>
              </w:rPr>
              <w:t xml:space="preserve">Why</w:t>
            </w:r>
          </w:p>
        </w:tc>
      </w:tr>
      <w:tr>
        <w:tc>
          <w:tcPr>
            <w:tcW w:w="2200" w:type="dxa"/>
            <w:vAlign w:val="center"/>
          </w:tcPr>
          <w:p>
            <w:pPr>
              <w:pStyle w:val="TableTextX"/>
            </w:pPr>
            <w:r>
              <w:t xml:space="preserve">Rolled-back transaction</w:t>
            </w:r>
          </w:p>
        </w:tc>
        <w:tc>
          <w:tcPr>
            <w:tcW w:w="3200" w:type="dxa"/>
            <w:vAlign w:val="center"/>
          </w:tcPr>
          <w:p>
            <w:pPr>
              <w:pStyle w:val="TableTextX"/>
            </w:pPr>
            <w:r>
              <w:t xml:space="preserve">Triggers, RPCs, constraint changes</w:t>
            </w:r>
          </w:p>
        </w:tc>
        <w:tc>
          <w:tcPr>
            <w:tcW w:w="3600" w:type="dxa"/>
            <w:vAlign w:val="center"/>
          </w:tcPr>
          <w:p>
            <w:pPr>
              <w:pStyle w:val="TableTextX"/>
            </w:pPr>
            <w:r>
              <w:t xml:space="preserve">Exercises real behaviour on production data and leaves nothing behind</w:t>
            </w:r>
          </w:p>
        </w:tc>
      </w:tr>
      <w:tr>
        <w:tc>
          <w:tcPr>
            <w:tcW w:w="2200" w:type="dxa"/>
            <w:vAlign w:val="center"/>
          </w:tcPr>
          <w:p>
            <w:pPr>
              <w:pStyle w:val="TableTextX"/>
            </w:pPr>
            <w:r>
              <w:t xml:space="preserve">Live REST call with the anon key</w:t>
            </w:r>
          </w:p>
        </w:tc>
        <w:tc>
          <w:tcPr>
            <w:tcW w:w="3200" w:type="dxa"/>
            <w:vAlign w:val="center"/>
          </w:tcPr>
          <w:p>
            <w:pPr>
              <w:pStyle w:val="TableTextX"/>
            </w:pPr>
            <w:r>
              <w:t xml:space="preserve">Access control</w:t>
            </w:r>
          </w:p>
        </w:tc>
        <w:tc>
          <w:tcPr>
            <w:tcW w:w="3600" w:type="dxa"/>
            <w:vAlign w:val="center"/>
          </w:tcPr>
          <w:p>
            <w:pPr>
              <w:pStyle w:val="TableTextX"/>
            </w:pPr>
            <w:r>
              <w:t xml:space="preserve">Tests the boundary a real browser hits, not an assumption about it</w:t>
            </w:r>
          </w:p>
        </w:tc>
      </w:tr>
      <w:tr>
        <w:tc>
          <w:tcPr>
            <w:tcW w:w="2200" w:type="dxa"/>
            <w:vAlign w:val="center"/>
          </w:tcPr>
          <w:p>
            <w:pPr>
              <w:pStyle w:val="TableTextX"/>
            </w:pPr>
            <w:r>
              <w:t xml:space="preserve">has_function_privilege / column grants</w:t>
            </w:r>
          </w:p>
        </w:tc>
        <w:tc>
          <w:tcPr>
            <w:tcW w:w="3200" w:type="dxa"/>
            <w:vAlign w:val="center"/>
          </w:tcPr>
          <w:p>
            <w:pPr>
              <w:pStyle w:val="TableTextX"/>
            </w:pPr>
            <w:r>
              <w:t xml:space="preserve">Permissions</w:t>
            </w:r>
          </w:p>
        </w:tc>
        <w:tc>
          <w:tcPr>
            <w:tcW w:w="3600" w:type="dxa"/>
            <w:vAlign w:val="center"/>
          </w:tcPr>
          <w:p>
            <w:pPr>
              <w:pStyle w:val="TableTextX"/>
            </w:pPr>
            <w:r>
              <w:t xml:space="preserve">Authoritative; a refused call could mean the wrong thing</w:t>
            </w:r>
          </w:p>
        </w:tc>
      </w:tr>
      <w:tr>
        <w:tc>
          <w:tcPr>
            <w:tcW w:w="2200" w:type="dxa"/>
            <w:vAlign w:val="center"/>
          </w:tcPr>
          <w:p>
            <w:pPr>
              <w:pStyle w:val="TableTextX"/>
            </w:pPr>
            <w:r>
              <w:t xml:space="preserve">Before/after payload hashing</w:t>
            </w:r>
          </w:p>
        </w:tc>
        <w:tc>
          <w:tcPr>
            <w:tcW w:w="3200" w:type="dxa"/>
            <w:vAlign w:val="center"/>
          </w:tcPr>
          <w:p>
            <w:pPr>
              <w:pStyle w:val="TableTextX"/>
            </w:pPr>
            <w:r>
              <w:t xml:space="preserve">Regression on shared code</w:t>
            </w:r>
          </w:p>
        </w:tc>
        <w:tc>
          <w:tcPr>
            <w:tcW w:w="3600" w:type="dxa"/>
            <w:vAlign w:val="center"/>
          </w:tcPr>
          <w:p>
            <w:pPr>
              <w:pStyle w:val="TableTextX"/>
            </w:pPr>
            <w:r>
              <w:t xml:space="preserve">Proves a change altered nothing, rather than appearing to</w:t>
            </w:r>
          </w:p>
        </w:tc>
      </w:tr>
      <w:tr>
        <w:tc>
          <w:tcPr>
            <w:tcW w:w="2200" w:type="dxa"/>
            <w:vAlign w:val="center"/>
          </w:tcPr>
          <w:p>
            <w:pPr>
              <w:pStyle w:val="TableTextX"/>
            </w:pPr>
            <w:r>
              <w:t xml:space="preserve">Deployed-bundle inspection</w:t>
            </w:r>
          </w:p>
        </w:tc>
        <w:tc>
          <w:tcPr>
            <w:tcW w:w="3200" w:type="dxa"/>
            <w:vAlign w:val="center"/>
          </w:tcPr>
          <w:p>
            <w:pPr>
              <w:pStyle w:val="TableTextX"/>
            </w:pPr>
            <w:r>
              <w:t xml:space="preserve">Frontend releases</w:t>
            </w:r>
          </w:p>
        </w:tc>
        <w:tc>
          <w:tcPr>
            <w:tcW w:w="3600" w:type="dxa"/>
            <w:vAlign w:val="center"/>
          </w:tcPr>
          <w:p>
            <w:pPr>
              <w:pStyle w:val="TableTextX"/>
            </w:pPr>
            <w:r>
              <w:t xml:space="preserve">Confirms the built artefact contains the change, not just the source</w:t>
            </w:r>
          </w:p>
        </w:tc>
      </w:tr>
      <w:tr>
        <w:tc>
          <w:tcPr>
            <w:tcW w:w="2200" w:type="dxa"/>
            <w:vAlign w:val="center"/>
          </w:tcPr>
          <w:p>
            <w:pPr>
              <w:pStyle w:val="TableTextX"/>
            </w:pPr>
            <w:r>
              <w:t xml:space="preserve">Manual confirmation by the user</w:t>
            </w:r>
          </w:p>
        </w:tc>
        <w:tc>
          <w:tcPr>
            <w:tcW w:w="3200" w:type="dxa"/>
            <w:vAlign w:val="center"/>
          </w:tcPr>
          <w:p>
            <w:pPr>
              <w:pStyle w:val="TableTextX"/>
            </w:pPr>
            <w:r>
              <w:t xml:space="preserve">Email and Telegram receipt</w:t>
            </w:r>
          </w:p>
        </w:tc>
        <w:tc>
          <w:tcPr>
            <w:tcW w:w="3600" w:type="dxa"/>
            <w:vAlign w:val="center"/>
          </w:tcPr>
          <w:p>
            <w:pPr>
              <w:pStyle w:val="TableTextX"/>
            </w:pPr>
            <w:r>
              <w:t xml:space="preserve">Only the recipient can confirm a message arrived</w:t>
            </w:r>
          </w:p>
        </w:tc>
      </w:tr>
      <w:tr>
        <w:tc>
          <w:tcPr>
            <w:tcW w:w="2200" w:type="dxa"/>
            <w:vAlign w:val="center"/>
          </w:tcPr>
          <w:p>
            <w:pPr>
              <w:pStyle w:val="TableTextX"/>
            </w:pPr>
            <w:r>
              <w:t xml:space="preserve">Extracting the deployed function’s source and running it</w:t>
            </w:r>
          </w:p>
        </w:tc>
        <w:tc>
          <w:tcPr>
            <w:tcW w:w="3200" w:type="dxa"/>
            <w:vAlign w:val="center"/>
          </w:tcPr>
          <w:p>
            <w:pPr>
              <w:pStyle w:val="TableTextX"/>
            </w:pPr>
            <w:r>
              <w:t xml:space="preserve">Email validation</w:t>
            </w:r>
          </w:p>
        </w:tc>
        <w:tc>
          <w:tcPr>
            <w:tcW w:w="3600" w:type="dxa"/>
            <w:vAlign w:val="center"/>
          </w:tcPr>
          <w:p>
            <w:pPr>
              <w:pStyle w:val="TableTextX"/>
            </w:pPr>
            <w:r>
              <w:t xml:space="preserve">Tests the real bytes; a retyped copy would have hidden the double-@ bug</w:t>
            </w:r>
          </w:p>
        </w:tc>
      </w:tr>
      <w:tr>
        <w:tc>
          <w:tcPr>
            <w:tcW w:w="2200" w:type="dxa"/>
            <w:vAlign w:val="center"/>
          </w:tcPr>
          <w:p>
            <w:pPr>
              <w:pStyle w:val="TableTextX"/>
            </w:pPr>
            <w:r>
              <w:t xml:space="preserve">Testing the assumption before writing the feature</w:t>
            </w:r>
          </w:p>
        </w:tc>
        <w:tc>
          <w:tcPr>
            <w:tcW w:w="3200" w:type="dxa"/>
            <w:vAlign w:val="center"/>
          </w:tcPr>
          <w:p>
            <w:pPr>
              <w:pStyle w:val="TableTextX"/>
            </w:pPr>
            <w:r>
              <w:t xml:space="preserve">The abandoned MX check</w:t>
            </w:r>
          </w:p>
        </w:tc>
        <w:tc>
          <w:tcPr>
            <w:tcW w:w="3600" w:type="dxa"/>
            <w:vAlign w:val="center"/>
          </w:tcPr>
          <w:p>
            <w:pPr>
              <w:pStyle w:val="TableTextX"/>
            </w:pPr>
            <w:r>
              <w:t xml:space="preserve">Cheaper to disprove a design than to build and then remove it</w:t>
            </w:r>
          </w:p>
        </w:tc>
      </w:tr>
    </w:tbl>
    <w:p>
      <w:pPr>
        <w:pStyle w:val="NoteX"/>
      </w:pPr>
      <w:r>
        <w:t xml:space="preserve">One methodology error is worth recording, because it produced a wrong result before it was caught. Postgres reports an UPDATE or DELETE filtered to zero rows by RLS as a success. An early read-only-role check therefore reported four failures that were not failures. It was rewritten to count affected rows, with a control proving a privileged user does change one row.</w:t>
      </w:r>
    </w:p>
    <w:p>
      <w:pPr>
        <w:pStyle w:val="SpacerX"/>
      </w:pPr>
    </w:p>
    <w:p>
      <w:pPr>
        <w:pStyle w:val="Heading1"/>
      </w:pPr>
      <w:r>
        <w:t xml:space="preserve">2. Duplicate Detection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DEDUP-01</w:t>
            </w:r>
          </w:p>
        </w:tc>
        <w:tc>
          <w:tcPr>
            <w:tcW w:w="4600" w:type="dxa"/>
            <w:vAlign w:val="center"/>
          </w:tcPr>
          <w:p>
            <w:pPr>
              <w:pStyle w:val="TableTextX"/>
            </w:pPr>
            <w:r>
              <w:t xml:space="preserve">Whether the perceptual image hash could separate same-object photos from unrelated ones</w:t>
            </w:r>
          </w:p>
        </w:tc>
        <w:tc>
          <w:tcPr>
            <w:tcW w:w="3500" w:type="dxa"/>
            <w:vAlign w:val="center"/>
          </w:tcPr>
          <w:p>
            <w:pPr>
              <w:pStyle w:val="TableTextX"/>
            </w:pPr>
            <w:r>
              <w:t xml:space="preserve">Failed by design. Same object differed by 29 of 64 bits; unrelated averaged 32. No threshold separates them — hash matching was removed</w:t>
            </w:r>
          </w:p>
        </w:tc>
      </w:tr>
      <w:tr>
        <w:tc>
          <w:tcPr>
            <w:tcW w:w="900" w:type="dxa"/>
            <w:vAlign w:val="center"/>
          </w:tcPr>
          <w:p>
            <w:pPr>
              <w:pStyle w:val="TableTextX"/>
            </w:pPr>
            <w:r>
              <w:t xml:space="preserve">DEDUP-02</w:t>
            </w:r>
          </w:p>
        </w:tc>
        <w:tc>
          <w:tcPr>
            <w:tcW w:w="4600" w:type="dxa"/>
            <w:vAlign w:val="center"/>
          </w:tcPr>
          <w:p>
            <w:pPr>
              <w:pStyle w:val="TableTextX"/>
            </w:pPr>
            <w:r>
              <w:t xml:space="preserve">Classification stability: one photo and comment classified repeatedly</w:t>
            </w:r>
          </w:p>
        </w:tc>
        <w:tc>
          <w:tcPr>
            <w:tcW w:w="3500" w:type="dxa"/>
            <w:vAlign w:val="center"/>
          </w:tcPr>
          <w:p>
            <w:pPr>
              <w:pStyle w:val="TableTextX"/>
            </w:pPr>
            <w:r>
              <w:t xml:space="preserve">issue_type varied across 6 runs (streetlight, other, damaged_infrastructure); department_slug was stable 6/6. Keying moved off issue_type</w:t>
            </w:r>
          </w:p>
        </w:tc>
      </w:tr>
      <w:tr>
        <w:tc>
          <w:tcPr>
            <w:tcW w:w="900" w:type="dxa"/>
            <w:vAlign w:val="center"/>
          </w:tcPr>
          <w:p>
            <w:pPr>
              <w:pStyle w:val="TableTextX"/>
            </w:pPr>
            <w:r>
              <w:t xml:space="preserve">DEDUP-03</w:t>
            </w:r>
          </w:p>
        </w:tc>
        <w:tc>
          <w:tcPr>
            <w:tcW w:w="4600" w:type="dxa"/>
            <w:vAlign w:val="center"/>
          </w:tcPr>
          <w:p>
            <w:pPr>
              <w:pStyle w:val="TableTextX"/>
            </w:pPr>
            <w:r>
              <w:t xml:space="preserve">Same issue reported twice from the same spot</w:t>
            </w:r>
          </w:p>
        </w:tc>
        <w:tc>
          <w:tcPr>
            <w:tcW w:w="3500" w:type="dxa"/>
            <w:vAlign w:val="center"/>
          </w:tcPr>
          <w:p>
            <w:pPr>
              <w:pStyle w:val="TableTextX"/>
            </w:pPr>
            <w:r>
              <w:t xml:space="preserve">Merged into the original ticket; the correct ticket number shown</w:t>
            </w:r>
          </w:p>
        </w:tc>
      </w:tr>
      <w:tr>
        <w:tc>
          <w:tcPr>
            <w:tcW w:w="900" w:type="dxa"/>
            <w:vAlign w:val="center"/>
          </w:tcPr>
          <w:p>
            <w:pPr>
              <w:pStyle w:val="TableTextX"/>
            </w:pPr>
            <w:r>
              <w:t xml:space="preserve">DEDUP-04</w:t>
            </w:r>
          </w:p>
        </w:tc>
        <w:tc>
          <w:tcPr>
            <w:tcW w:w="4600" w:type="dxa"/>
            <w:vAlign w:val="center"/>
          </w:tcPr>
          <w:p>
            <w:pPr>
              <w:pStyle w:val="TableTextX"/>
            </w:pPr>
            <w:r>
              <w:t xml:space="preserve">Same issue reported from a different city</w:t>
            </w:r>
          </w:p>
        </w:tc>
        <w:tc>
          <w:tcPr>
            <w:tcW w:w="3500" w:type="dxa"/>
            <w:vAlign w:val="center"/>
          </w:tcPr>
          <w:p>
            <w:pPr>
              <w:pStyle w:val="TableTextX"/>
            </w:pPr>
            <w:r>
              <w:t xml:space="preserve">New ticket created. Location is a hard gate</w:t>
            </w:r>
          </w:p>
        </w:tc>
      </w:tr>
      <w:tr>
        <w:tc>
          <w:tcPr>
            <w:tcW w:w="900" w:type="dxa"/>
            <w:vAlign w:val="center"/>
          </w:tcPr>
          <w:p>
            <w:pPr>
              <w:pStyle w:val="TableTextX"/>
            </w:pPr>
            <w:r>
              <w:t xml:space="preserve">DEDUP-05</w:t>
            </w:r>
          </w:p>
        </w:tc>
        <w:tc>
          <w:tcPr>
            <w:tcW w:w="4600" w:type="dxa"/>
            <w:vAlign w:val="center"/>
          </w:tcPr>
          <w:p>
            <w:pPr>
              <w:pStyle w:val="TableTextX"/>
            </w:pPr>
            <w:r>
              <w:t xml:space="preserve">Two different issues reported metres apart</w:t>
            </w:r>
          </w:p>
        </w:tc>
        <w:tc>
          <w:tcPr>
            <w:tcW w:w="3500" w:type="dxa"/>
            <w:vAlign w:val="center"/>
          </w:tcPr>
          <w:p>
            <w:pPr>
              <w:pStyle w:val="TableTextX"/>
            </w:pPr>
            <w:r>
              <w:t xml:space="preserve">Both kept as separate tickets</w:t>
            </w:r>
          </w:p>
        </w:tc>
      </w:tr>
      <w:tr>
        <w:tc>
          <w:tcPr>
            <w:tcW w:w="900" w:type="dxa"/>
            <w:vAlign w:val="center"/>
          </w:tcPr>
          <w:p>
            <w:pPr>
              <w:pStyle w:val="TableTextX"/>
            </w:pPr>
            <w:r>
              <w:t xml:space="preserve">DEDUP-06</w:t>
            </w:r>
          </w:p>
        </w:tc>
        <w:tc>
          <w:tcPr>
            <w:tcW w:w="4600" w:type="dxa"/>
            <w:vAlign w:val="center"/>
          </w:tcPr>
          <w:p>
            <w:pPr>
              <w:pStyle w:val="TableTextX"/>
            </w:pPr>
            <w:r>
              <w:t xml:space="preserve">Replay of historical reports through the rewritten matcher</w:t>
            </w:r>
          </w:p>
        </w:tc>
        <w:tc>
          <w:tcPr>
            <w:tcW w:w="3500" w:type="dxa"/>
            <w:vAlign w:val="center"/>
          </w:tcPr>
          <w:p>
            <w:pPr>
              <w:pStyle w:val="TableTextX"/>
            </w:pPr>
            <w:r>
              <w:t xml:space="preserve">Two previously merged pairs shown to have been wrong merges; the rule that caused them was withdrawn</w:t>
            </w:r>
          </w:p>
        </w:tc>
      </w:tr>
    </w:tbl>
    <w:p>
      <w:pPr>
        <w:pStyle w:val="SpacerX"/>
      </w:pPr>
    </w:p>
    <w:p>
      <w:pPr>
        <w:pStyle w:val="Heading1"/>
      </w:pPr>
      <w:r>
        <w:t xml:space="preserve">3. Roles and Access Control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ROLE-01</w:t>
            </w:r>
          </w:p>
        </w:tc>
        <w:tc>
          <w:tcPr>
            <w:tcW w:w="4600" w:type="dxa"/>
            <w:vAlign w:val="center"/>
          </w:tcPr>
          <w:p>
            <w:pPr>
              <w:pStyle w:val="TableTextX"/>
            </w:pPr>
            <w:r>
              <w:t xml:space="preserve">Read-only admin against every write path, by impersonating the role in a rolled-back transaction</w:t>
            </w:r>
          </w:p>
        </w:tc>
        <w:tc>
          <w:tcPr>
            <w:tcW w:w="3500" w:type="dxa"/>
            <w:vAlign w:val="center"/>
          </w:tcPr>
          <w:p>
            <w:pPr>
              <w:pStyle w:val="TableTextX"/>
            </w:pPr>
            <w:r>
              <w:t xml:space="preserve">16 of 16 writes affected zero rows; a control proved a super admin changed one</w:t>
            </w:r>
          </w:p>
        </w:tc>
      </w:tr>
      <w:tr>
        <w:tc>
          <w:tcPr>
            <w:tcW w:w="900" w:type="dxa"/>
            <w:vAlign w:val="center"/>
          </w:tcPr>
          <w:p>
            <w:pPr>
              <w:pStyle w:val="TableTextX"/>
            </w:pPr>
            <w:r>
              <w:t xml:space="preserve">ROLE-02</w:t>
            </w:r>
          </w:p>
        </w:tc>
        <w:tc>
          <w:tcPr>
            <w:tcW w:w="4600" w:type="dxa"/>
            <w:vAlign w:val="center"/>
          </w:tcPr>
          <w:p>
            <w:pPr>
              <w:pStyle w:val="TableTextX"/>
            </w:pPr>
            <w:r>
              <w:t xml:space="preserve">Whether a field engineer could raise their own role to super_admin</w:t>
            </w:r>
          </w:p>
        </w:tc>
        <w:tc>
          <w:tcPr>
            <w:tcW w:w="3500" w:type="dxa"/>
            <w:vAlign w:val="center"/>
          </w:tcPr>
          <w:p>
            <w:pPr>
              <w:pStyle w:val="TableTextX"/>
            </w:pPr>
            <w:r>
              <w:t xml:space="preserve">Succeeded — a real privilege-escalation hole. Fixed with a BEFORE UPDATE trigger, then re-tested and refused</w:t>
            </w:r>
          </w:p>
        </w:tc>
      </w:tr>
      <w:tr>
        <w:tc>
          <w:tcPr>
            <w:tcW w:w="900" w:type="dxa"/>
            <w:vAlign w:val="center"/>
          </w:tcPr>
          <w:p>
            <w:pPr>
              <w:pStyle w:val="TableTextX"/>
            </w:pPr>
            <w:r>
              <w:t xml:space="preserve">ROLE-03</w:t>
            </w:r>
          </w:p>
        </w:tc>
        <w:tc>
          <w:tcPr>
            <w:tcW w:w="4600" w:type="dxa"/>
            <w:vAlign w:val="center"/>
          </w:tcPr>
          <w:p>
            <w:pPr>
              <w:pStyle w:val="TableTextX"/>
            </w:pPr>
            <w:r>
              <w:t xml:space="preserve">Read-only admin visibility in the AI assistant</w:t>
            </w:r>
          </w:p>
        </w:tc>
        <w:tc>
          <w:tcPr>
            <w:tcW w:w="3500" w:type="dxa"/>
            <w:vAlign w:val="center"/>
          </w:tcPr>
          <w:p>
            <w:pPr>
              <w:pStyle w:val="TableTextX"/>
            </w:pPr>
            <w:r>
              <w:t xml:space="preserve">Initially saw nothing; the scope helper fell through to a field-engineer filter. Fixed and re-tested</w:t>
            </w:r>
          </w:p>
        </w:tc>
      </w:tr>
      <w:tr>
        <w:tc>
          <w:tcPr>
            <w:tcW w:w="900" w:type="dxa"/>
            <w:vAlign w:val="center"/>
          </w:tcPr>
          <w:p>
            <w:pPr>
              <w:pStyle w:val="TableTextX"/>
            </w:pPr>
            <w:r>
              <w:t xml:space="preserve">ROLE-04</w:t>
            </w:r>
          </w:p>
        </w:tc>
        <w:tc>
          <w:tcPr>
            <w:tcW w:w="4600" w:type="dxa"/>
            <w:vAlign w:val="center"/>
          </w:tcPr>
          <w:p>
            <w:pPr>
              <w:pStyle w:val="TableTextX"/>
            </w:pPr>
            <w:r>
              <w:t xml:space="preserve">Kanban drag disabled for a read-only viewer</w:t>
            </w:r>
          </w:p>
        </w:tc>
        <w:tc>
          <w:tcPr>
            <w:tcW w:w="3500" w:type="dxa"/>
            <w:vAlign w:val="center"/>
          </w:tcPr>
          <w:p>
            <w:pPr>
              <w:pStyle w:val="TableTextX"/>
            </w:pPr>
            <w:r>
              <w:t xml:space="preserve">Cards undraggable in the UI, and the handler returns early even if a drag is synthesised</w:t>
            </w:r>
          </w:p>
        </w:tc>
      </w:tr>
    </w:tbl>
    <w:p>
      <w:pPr>
        <w:pStyle w:val="SpacerX"/>
      </w:pPr>
    </w:p>
    <w:p>
      <w:pPr>
        <w:pStyle w:val="Heading1"/>
      </w:pPr>
      <w:r>
        <w:t xml:space="preserve">4. Board and Ticket UI</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UI-01</w:t>
            </w:r>
          </w:p>
        </w:tc>
        <w:tc>
          <w:tcPr>
            <w:tcW w:w="4600" w:type="dxa"/>
            <w:vAlign w:val="center"/>
          </w:tcPr>
          <w:p>
            <w:pPr>
              <w:pStyle w:val="TableTextX"/>
            </w:pPr>
            <w:r>
              <w:t xml:space="preserve">Two consecutive status changes on one open ticket</w:t>
            </w:r>
          </w:p>
        </w:tc>
        <w:tc>
          <w:tcPr>
            <w:tcW w:w="3500" w:type="dxa"/>
            <w:vAlign w:val="center"/>
          </w:tcPr>
          <w:p>
            <w:pPr>
              <w:pStyle w:val="TableTextX"/>
            </w:pPr>
            <w:r>
              <w:t xml:space="preserve">Second change was silently swallowed before the fix — the modal held a stale snapshot. After the fix both applied</w:t>
            </w:r>
          </w:p>
        </w:tc>
      </w:tr>
      <w:tr>
        <w:tc>
          <w:tcPr>
            <w:tcW w:w="900" w:type="dxa"/>
            <w:vAlign w:val="center"/>
          </w:tcPr>
          <w:p>
            <w:pPr>
              <w:pStyle w:val="TableTextX"/>
            </w:pPr>
            <w:r>
              <w:t xml:space="preserve">UI-02</w:t>
            </w:r>
          </w:p>
        </w:tc>
        <w:tc>
          <w:tcPr>
            <w:tcW w:w="4600" w:type="dxa"/>
            <w:vAlign w:val="center"/>
          </w:tcPr>
          <w:p>
            <w:pPr>
              <w:pStyle w:val="TableTextX"/>
            </w:pPr>
            <w:r>
              <w:t xml:space="preserve">Audit trail refresh after a status change with the modal open</w:t>
            </w:r>
          </w:p>
        </w:tc>
        <w:tc>
          <w:tcPr>
            <w:tcW w:w="3500" w:type="dxa"/>
            <w:vAlign w:val="center"/>
          </w:tcPr>
          <w:p>
            <w:pPr>
              <w:pStyle w:val="TableTextX"/>
            </w:pPr>
            <w:r>
              <w:t xml:space="preserve">Timeline was stale before the fix; refreshes after</w:t>
            </w:r>
          </w:p>
        </w:tc>
      </w:tr>
      <w:tr>
        <w:tc>
          <w:tcPr>
            <w:tcW w:w="900" w:type="dxa"/>
            <w:vAlign w:val="center"/>
          </w:tcPr>
          <w:p>
            <w:pPr>
              <w:pStyle w:val="TableTextX"/>
            </w:pPr>
            <w:r>
              <w:t xml:space="preserve">UI-03</w:t>
            </w:r>
          </w:p>
        </w:tc>
        <w:tc>
          <w:tcPr>
            <w:tcW w:w="4600" w:type="dxa"/>
            <w:vAlign w:val="center"/>
          </w:tcPr>
          <w:p>
            <w:pPr>
              <w:pStyle w:val="TableTextX"/>
            </w:pPr>
            <w:r>
              <w:t xml:space="preserve">Coordinates shown on capture and on the ticket modal</w:t>
            </w:r>
          </w:p>
        </w:tc>
        <w:tc>
          <w:tcPr>
            <w:tcW w:w="3500" w:type="dxa"/>
            <w:vAlign w:val="center"/>
          </w:tcPr>
          <w:p>
            <w:pPr>
              <w:pStyle w:val="TableTextX"/>
            </w:pPr>
            <w:r>
              <w:t xml:space="preserve">Displayed to six decimals; present even when reverse geocoding returns nothing</w:t>
            </w:r>
          </w:p>
        </w:tc>
      </w:tr>
      <w:tr>
        <w:tc>
          <w:tcPr>
            <w:tcW w:w="900" w:type="dxa"/>
            <w:vAlign w:val="center"/>
          </w:tcPr>
          <w:p>
            <w:pPr>
              <w:pStyle w:val="TableTextX"/>
            </w:pPr>
            <w:r>
              <w:t xml:space="preserve">UI-04</w:t>
            </w:r>
          </w:p>
        </w:tc>
        <w:tc>
          <w:tcPr>
            <w:tcW w:w="4600" w:type="dxa"/>
            <w:vAlign w:val="center"/>
          </w:tcPr>
          <w:p>
            <w:pPr>
              <w:pStyle w:val="TableTextX"/>
            </w:pPr>
            <w:r>
              <w:t xml:space="preserve">Google Maps link on three tickets, checked against each ticket’s own stored coordinates</w:t>
            </w:r>
          </w:p>
        </w:tc>
        <w:tc>
          <w:tcPr>
            <w:tcW w:w="3500" w:type="dxa"/>
            <w:vAlign w:val="center"/>
          </w:tcPr>
          <w:p>
            <w:pPr>
              <w:pStyle w:val="TableTextX"/>
            </w:pPr>
            <w:r>
              <w:t xml:space="preserve">Correct destination per ticket, opens in a new tab, rel blocks tab-nabbing and referrer leakage, positioned below the coordinates</w:t>
            </w:r>
          </w:p>
        </w:tc>
      </w:tr>
      <w:tr>
        <w:tc>
          <w:tcPr>
            <w:tcW w:w="900" w:type="dxa"/>
            <w:vAlign w:val="center"/>
          </w:tcPr>
          <w:p>
            <w:pPr>
              <w:pStyle w:val="TableTextX"/>
            </w:pPr>
            <w:r>
              <w:t xml:space="preserve">UI-05</w:t>
            </w:r>
          </w:p>
        </w:tc>
        <w:tc>
          <w:tcPr>
            <w:tcW w:w="4600" w:type="dxa"/>
            <w:vAlign w:val="center"/>
          </w:tcPr>
          <w:p>
            <w:pPr>
              <w:pStyle w:val="TableTextX"/>
            </w:pPr>
            <w:r>
              <w:t xml:space="preserve">Whether the maps-link browser run wrote anything</w:t>
            </w:r>
          </w:p>
        </w:tc>
        <w:tc>
          <w:tcPr>
            <w:tcW w:w="3500" w:type="dxa"/>
            <w:vAlign w:val="center"/>
          </w:tcPr>
          <w:p>
            <w:pPr>
              <w:pStyle w:val="TableTextX"/>
            </w:pPr>
            <w:r>
              <w:t xml:space="preserve">Zero writes — every non-GET was blocked at the network layer during the run</w:t>
            </w:r>
          </w:p>
        </w:tc>
      </w:tr>
    </w:tbl>
    <w:p>
      <w:pPr>
        <w:pStyle w:val="SpacerX"/>
      </w:pPr>
    </w:p>
    <w:p>
      <w:pPr>
        <w:pStyle w:val="Heading1"/>
      </w:pPr>
      <w:r>
        <w:t xml:space="preserve">5. Notifications — Security Prerequisites</w:t>
      </w:r>
    </w:p>
    <w:p>
      <w:pPr>
        <w:pStyle w:val="BodyX"/>
      </w:pPr>
      <w:r>
        <w:t xml:space="preserve">Two defects were harmless while notifications were only a log, and would have become incidents once anything drained the table. Both were tested before and after the fix.</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SEC-01</w:t>
            </w:r>
          </w:p>
        </w:tc>
        <w:tc>
          <w:tcPr>
            <w:tcW w:w="4600" w:type="dxa"/>
            <w:vAlign w:val="center"/>
          </w:tcPr>
          <w:p>
            <w:pPr>
              <w:pStyle w:val="TableTextX"/>
            </w:pPr>
            <w:r>
              <w:t xml:space="preserve">Whether an anonymous caller could read reporter contact details</w:t>
            </w:r>
          </w:p>
        </w:tc>
        <w:tc>
          <w:tcPr>
            <w:tcW w:w="3500" w:type="dxa"/>
            <w:vAlign w:val="center"/>
          </w:tcPr>
          <w:p>
            <w:pPr>
              <w:pStyle w:val="TableTextX"/>
            </w:pPr>
            <w:r>
              <w:t xml:space="preserve">Before: yes — a resident’s phone number returned in plain text. After: refused</w:t>
            </w:r>
          </w:p>
        </w:tc>
      </w:tr>
      <w:tr>
        <w:tc>
          <w:tcPr>
            <w:tcW w:w="900" w:type="dxa"/>
            <w:vAlign w:val="center"/>
          </w:tcPr>
          <w:p>
            <w:pPr>
              <w:pStyle w:val="TableTextX"/>
            </w:pPr>
            <w:r>
              <w:t xml:space="preserve">SEC-02</w:t>
            </w:r>
          </w:p>
        </w:tc>
        <w:tc>
          <w:tcPr>
            <w:tcW w:w="4600" w:type="dxa"/>
            <w:vAlign w:val="center"/>
          </w:tcPr>
          <w:p>
            <w:pPr>
              <w:pStyle w:val="TableTextX"/>
            </w:pPr>
            <w:r>
              <w:t xml:space="preserve">Anonymous select=* on issues</w:t>
            </w:r>
          </w:p>
        </w:tc>
        <w:tc>
          <w:tcPr>
            <w:tcW w:w="3500" w:type="dxa"/>
            <w:vAlign w:val="center"/>
          </w:tcPr>
          <w:p>
            <w:pPr>
              <w:pStyle w:val="TableTextX"/>
            </w:pPr>
            <w:r>
              <w:t xml:space="preserve">Refused after the column grant. This is why the frontend was deployed before the migration</w:t>
            </w:r>
          </w:p>
        </w:tc>
      </w:tr>
      <w:tr>
        <w:tc>
          <w:tcPr>
            <w:tcW w:w="900" w:type="dxa"/>
            <w:vAlign w:val="center"/>
          </w:tcPr>
          <w:p>
            <w:pPr>
              <w:pStyle w:val="TableTextX"/>
            </w:pPr>
            <w:r>
              <w:t xml:space="preserve">SEC-03</w:t>
            </w:r>
          </w:p>
        </w:tc>
        <w:tc>
          <w:tcPr>
            <w:tcW w:w="4600" w:type="dxa"/>
            <w:vAlign w:val="center"/>
          </w:tcPr>
          <w:p>
            <w:pPr>
              <w:pStyle w:val="TableTextX"/>
            </w:pPr>
            <w:r>
              <w:t xml:space="preserve">Anonymous read of reporter_channel and of issue_subscribers</w:t>
            </w:r>
          </w:p>
        </w:tc>
        <w:tc>
          <w:tcPr>
            <w:tcW w:w="3500" w:type="dxa"/>
            <w:vAlign w:val="center"/>
          </w:tcPr>
          <w:p>
            <w:pPr>
              <w:pStyle w:val="TableTextX"/>
            </w:pPr>
            <w:r>
              <w:t xml:space="preserve">Both refused</w:t>
            </w:r>
          </w:p>
        </w:tc>
      </w:tr>
      <w:tr>
        <w:tc>
          <w:tcPr>
            <w:tcW w:w="900" w:type="dxa"/>
            <w:vAlign w:val="center"/>
          </w:tcPr>
          <w:p>
            <w:pPr>
              <w:pStyle w:val="TableTextX"/>
            </w:pPr>
            <w:r>
              <w:t xml:space="preserve">SEC-04</w:t>
            </w:r>
          </w:p>
        </w:tc>
        <w:tc>
          <w:tcPr>
            <w:tcW w:w="4600" w:type="dxa"/>
            <w:vAlign w:val="center"/>
          </w:tcPr>
          <w:p>
            <w:pPr>
              <w:pStyle w:val="TableTextX"/>
            </w:pPr>
            <w:r>
              <w:t xml:space="preserve">Anonymous insert into notifications — the open-relay case</w:t>
            </w:r>
          </w:p>
        </w:tc>
        <w:tc>
          <w:tcPr>
            <w:tcW w:w="3500" w:type="dxa"/>
            <w:vAlign w:val="center"/>
          </w:tcPr>
          <w:p>
            <w:pPr>
              <w:pStyle w:val="TableTextX"/>
            </w:pPr>
            <w:r>
              <w:t xml:space="preserve">Refused after the insert policy was dropped</w:t>
            </w:r>
          </w:p>
        </w:tc>
      </w:tr>
      <w:tr>
        <w:tc>
          <w:tcPr>
            <w:tcW w:w="900" w:type="dxa"/>
            <w:vAlign w:val="center"/>
          </w:tcPr>
          <w:p>
            <w:pPr>
              <w:pStyle w:val="TableTextX"/>
            </w:pPr>
            <w:r>
              <w:t xml:space="preserve">SEC-05</w:t>
            </w:r>
          </w:p>
        </w:tc>
        <w:tc>
          <w:tcPr>
            <w:tcW w:w="4600" w:type="dxa"/>
            <w:vAlign w:val="center"/>
          </w:tcPr>
          <w:p>
            <w:pPr>
              <w:pStyle w:val="TableTextX"/>
            </w:pPr>
            <w:r>
              <w:t xml:space="preserve">Whether anonymous callers could run the queue functions</w:t>
            </w:r>
          </w:p>
        </w:tc>
        <w:tc>
          <w:tcPr>
            <w:tcW w:w="3500" w:type="dxa"/>
            <w:vAlign w:val="center"/>
          </w:tcPr>
          <w:p>
            <w:pPr>
              <w:pStyle w:val="TableTextX"/>
            </w:pPr>
            <w:r>
              <w:t xml:space="preserve">Initially yes — claim_notifications and requeue_stuck_notifications both executed. Fixed in 0008 and re-verified</w:t>
            </w:r>
          </w:p>
        </w:tc>
      </w:tr>
      <w:tr>
        <w:tc>
          <w:tcPr>
            <w:tcW w:w="900" w:type="dxa"/>
            <w:vAlign w:val="center"/>
          </w:tcPr>
          <w:p>
            <w:pPr>
              <w:pStyle w:val="TableTextX"/>
            </w:pPr>
            <w:r>
              <w:t xml:space="preserve">SEC-06</w:t>
            </w:r>
          </w:p>
        </w:tc>
        <w:tc>
          <w:tcPr>
            <w:tcW w:w="4600" w:type="dxa"/>
            <w:vAlign w:val="center"/>
          </w:tcPr>
          <w:p>
            <w:pPr>
              <w:pStyle w:val="TableTextX"/>
            </w:pPr>
            <w:r>
              <w:t xml:space="preserve">EXECUTE privilege per role on all queue functions</w:t>
            </w:r>
          </w:p>
        </w:tc>
        <w:tc>
          <w:tcPr>
            <w:tcW w:w="3500" w:type="dxa"/>
            <w:vAlign w:val="center"/>
          </w:tcPr>
          <w:p>
            <w:pPr>
              <w:pStyle w:val="TableTextX"/>
            </w:pPr>
            <w:r>
              <w:t xml:space="preserve">anon=false, authenticated=false, service_role=true. rate_issue and subscribe_to_ticket remain resident-callable</w:t>
            </w:r>
          </w:p>
        </w:tc>
      </w:tr>
      <w:tr>
        <w:tc>
          <w:tcPr>
            <w:tcW w:w="900" w:type="dxa"/>
            <w:vAlign w:val="center"/>
          </w:tcPr>
          <w:p>
            <w:pPr>
              <w:pStyle w:val="TableTextX"/>
            </w:pPr>
            <w:r>
              <w:t xml:space="preserve">SEC-07</w:t>
            </w:r>
          </w:p>
        </w:tc>
        <w:tc>
          <w:tcPr>
            <w:tcW w:w="4600" w:type="dxa"/>
            <w:vAlign w:val="center"/>
          </w:tcPr>
          <w:p>
            <w:pPr>
              <w:pStyle w:val="TableTextX"/>
            </w:pPr>
            <w:r>
              <w:t xml:space="preserve">Column grant list against the live schema, in both directions</w:t>
            </w:r>
          </w:p>
        </w:tc>
        <w:tc>
          <w:tcPr>
            <w:tcW w:w="3500" w:type="dxa"/>
            <w:vAlign w:val="center"/>
          </w:tcPr>
          <w:p>
            <w:pPr>
              <w:pStyle w:val="TableTextX"/>
            </w:pPr>
            <w:r>
              <w:t xml:space="preserve">31 live columns, 3 withheld, 28 granted; no live column missing and no granted name non-existent</w:t>
            </w:r>
          </w:p>
        </w:tc>
      </w:tr>
      <w:tr>
        <w:tc>
          <w:tcPr>
            <w:tcW w:w="900" w:type="dxa"/>
            <w:vAlign w:val="center"/>
          </w:tcPr>
          <w:p>
            <w:pPr>
              <w:pStyle w:val="TableTextX"/>
            </w:pPr>
            <w:r>
              <w:t xml:space="preserve">SEC-08</w:t>
            </w:r>
          </w:p>
        </w:tc>
        <w:tc>
          <w:tcPr>
            <w:tcW w:w="4600" w:type="dxa"/>
            <w:vAlign w:val="center"/>
          </w:tcPr>
          <w:p>
            <w:pPr>
              <w:pStyle w:val="TableTextX"/>
            </w:pPr>
            <w:r>
              <w:t xml:space="preserve">Telegram webhook with no secret header and with a wrong one</w:t>
            </w:r>
          </w:p>
        </w:tc>
        <w:tc>
          <w:tcPr>
            <w:tcW w:w="3500" w:type="dxa"/>
            <w:vAlign w:val="center"/>
          </w:tcPr>
          <w:p>
            <w:pPr>
              <w:pStyle w:val="TableTextX"/>
            </w:pPr>
            <w:r>
              <w:t xml:space="preserve">403 in both cases; the check also fails closed when the secret is unset</w:t>
            </w:r>
          </w:p>
        </w:tc>
      </w:tr>
    </w:tbl>
    <w:p>
      <w:pPr>
        <w:pStyle w:val="SpacerX"/>
      </w:pPr>
    </w:p>
    <w:p>
      <w:pPr>
        <w:pStyle w:val="Heading1"/>
      </w:pPr>
      <w:r>
        <w:t xml:space="preserve">6. Notifications — Event Coverage</w:t>
      </w:r>
    </w:p>
    <w:p>
      <w:pPr>
        <w:pStyle w:val="BodyX"/>
      </w:pPr>
      <w:r>
        <w:t xml:space="preserve">The point of moving the decision into a database trigger was that only two of roughly eight status-change paths previously produced a notification. Each path was exercised in a rolled-back transaction.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EVT-01</w:t>
            </w:r>
          </w:p>
        </w:tc>
        <w:tc>
          <w:tcPr>
            <w:tcW w:w="4600" w:type="dxa"/>
            <w:vAlign w:val="center"/>
          </w:tcPr>
          <w:p>
            <w:pPr>
              <w:pStyle w:val="TableTextX"/>
            </w:pPr>
            <w:r>
              <w:t xml:space="preserve">Plain UPDATE of status (Kanban drag, My Work, detail modal)</w:t>
            </w:r>
          </w:p>
        </w:tc>
        <w:tc>
          <w:tcPr>
            <w:tcW w:w="3500" w:type="dxa"/>
            <w:vAlign w:val="center"/>
          </w:tcPr>
          <w:p>
            <w:pPr>
              <w:pStyle w:val="TableTextX"/>
            </w:pPr>
            <w:r>
              <w:t xml:space="preserve">status_changed queued, in_progress → assigned, addressed to the subscriber</w:t>
            </w:r>
          </w:p>
        </w:tc>
      </w:tr>
      <w:tr>
        <w:tc>
          <w:tcPr>
            <w:tcW w:w="900" w:type="dxa"/>
            <w:vAlign w:val="center"/>
          </w:tcPr>
          <w:p>
            <w:pPr>
              <w:pStyle w:val="TableTextX"/>
            </w:pPr>
            <w:r>
              <w:t xml:space="preserve">EVT-02</w:t>
            </w:r>
          </w:p>
        </w:tc>
        <w:tc>
          <w:tcPr>
            <w:tcW w:w="4600" w:type="dxa"/>
            <w:vAlign w:val="center"/>
          </w:tcPr>
          <w:p>
            <w:pPr>
              <w:pStyle w:val="TableTextX"/>
            </w:pPr>
            <w:r>
              <w:t xml:space="preserve">rate_issue with a 1/5 rating — the reopen path, never covered by the old client</w:t>
            </w:r>
          </w:p>
        </w:tc>
        <w:tc>
          <w:tcPr>
            <w:tcW w:w="3500" w:type="dxa"/>
            <w:vAlign w:val="center"/>
          </w:tcPr>
          <w:p>
            <w:pPr>
              <w:pStyle w:val="TableTextX"/>
            </w:pPr>
            <w:r>
              <w:t xml:space="preserve">Two events queued: in_progress → resolved, then resolved → reopened carrying rating 1</w:t>
            </w:r>
          </w:p>
        </w:tc>
      </w:tr>
      <w:tr>
        <w:tc>
          <w:tcPr>
            <w:tcW w:w="900" w:type="dxa"/>
            <w:vAlign w:val="center"/>
          </w:tcPr>
          <w:p>
            <w:pPr>
              <w:pStyle w:val="TableTextX"/>
            </w:pPr>
            <w:r>
              <w:t xml:space="preserve">EVT-03</w:t>
            </w:r>
          </w:p>
        </w:tc>
        <w:tc>
          <w:tcPr>
            <w:tcW w:w="4600" w:type="dxa"/>
            <w:vAlign w:val="center"/>
          </w:tcPr>
          <w:p>
            <w:pPr>
              <w:pStyle w:val="TableTextX"/>
            </w:pPr>
            <w:r>
              <w:t xml:space="preserve">New report with an email address</w:t>
            </w:r>
          </w:p>
        </w:tc>
        <w:tc>
          <w:tcPr>
            <w:tcW w:w="3500" w:type="dxa"/>
            <w:vAlign w:val="center"/>
          </w:tcPr>
          <w:p>
            <w:pPr>
              <w:pStyle w:val="TableTextX"/>
            </w:pPr>
            <w:r>
              <w:t xml:space="preserve">ticket_created queued; the address normalised from "  Probe.Person@Example.COM  " to lower case and trimmed</w:t>
            </w:r>
          </w:p>
        </w:tc>
      </w:tr>
      <w:tr>
        <w:tc>
          <w:tcPr>
            <w:tcW w:w="900" w:type="dxa"/>
            <w:vAlign w:val="center"/>
          </w:tcPr>
          <w:p>
            <w:pPr>
              <w:pStyle w:val="TableTextX"/>
            </w:pPr>
            <w:r>
              <w:t xml:space="preserve">EVT-04</w:t>
            </w:r>
          </w:p>
        </w:tc>
        <w:tc>
          <w:tcPr>
            <w:tcW w:w="4600" w:type="dxa"/>
            <w:vAlign w:val="center"/>
          </w:tcPr>
          <w:p>
            <w:pPr>
              <w:pStyle w:val="TableTextX"/>
            </w:pPr>
            <w:r>
              <w:t xml:space="preserve">New report from an anonymous resident</w:t>
            </w:r>
          </w:p>
        </w:tc>
        <w:tc>
          <w:tcPr>
            <w:tcW w:w="3500" w:type="dxa"/>
            <w:vAlign w:val="center"/>
          </w:tcPr>
          <w:p>
            <w:pPr>
              <w:pStyle w:val="TableTextX"/>
            </w:pPr>
            <w:r>
              <w:t xml:space="preserve">Zero rows queued</w:t>
            </w:r>
          </w:p>
        </w:tc>
      </w:tr>
      <w:tr>
        <w:tc>
          <w:tcPr>
            <w:tcW w:w="900" w:type="dxa"/>
            <w:vAlign w:val="center"/>
          </w:tcPr>
          <w:p>
            <w:pPr>
              <w:pStyle w:val="TableTextX"/>
            </w:pPr>
            <w:r>
              <w:t xml:space="preserve">EVT-05</w:t>
            </w:r>
          </w:p>
        </w:tc>
        <w:tc>
          <w:tcPr>
            <w:tcW w:w="4600" w:type="dxa"/>
            <w:vAlign w:val="center"/>
          </w:tcPr>
          <w:p>
            <w:pPr>
              <w:pStyle w:val="TableTextX"/>
            </w:pPr>
            <w:r>
              <w:t xml:space="preserve">Writing the same status again</w:t>
            </w:r>
          </w:p>
        </w:tc>
        <w:tc>
          <w:tcPr>
            <w:tcW w:w="3500" w:type="dxa"/>
            <w:vAlign w:val="center"/>
          </w:tcPr>
          <w:p>
            <w:pPr>
              <w:pStyle w:val="TableTextX"/>
            </w:pPr>
            <w:r>
              <w:t xml:space="preserve">No event — the trigger fires only on a real transition</w:t>
            </w:r>
          </w:p>
        </w:tc>
      </w:tr>
    </w:tbl>
    <w:p>
      <w:pPr>
        <w:pStyle w:val="SpacerX"/>
      </w:pPr>
    </w:p>
    <w:p>
      <w:pPr>
        <w:pStyle w:val="Heading1"/>
      </w:pPr>
      <w:r>
        <w:t xml:space="preserve">7. Notifications — Delivery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DEL-01</w:t>
            </w:r>
          </w:p>
        </w:tc>
        <w:tc>
          <w:tcPr>
            <w:tcW w:w="4600" w:type="dxa"/>
            <w:vAlign w:val="center"/>
          </w:tcPr>
          <w:p>
            <w:pPr>
              <w:pStyle w:val="TableTextX"/>
            </w:pPr>
            <w:r>
              <w:t xml:space="preserve">First dispatch attempt after wiring pg_cron and pg_net</w:t>
            </w:r>
          </w:p>
        </w:tc>
        <w:tc>
          <w:tcPr>
            <w:tcW w:w="3500" w:type="dxa"/>
            <w:vAlign w:val="center"/>
          </w:tcPr>
          <w:p>
            <w:pPr>
              <w:pStyle w:val="TableTextX"/>
            </w:pPr>
            <w:r>
              <w:t xml:space="preserve">Failed: two 403s logged by pg_net, row never claimed. The function compared the bearer token byte-for-byte against one service key; the project has more than one. Re-authorised on the role claim</w:t>
            </w:r>
          </w:p>
        </w:tc>
      </w:tr>
      <w:tr>
        <w:tc>
          <w:tcPr>
            <w:tcW w:w="900" w:type="dxa"/>
            <w:vAlign w:val="center"/>
          </w:tcPr>
          <w:p>
            <w:pPr>
              <w:pStyle w:val="TableTextX"/>
            </w:pPr>
            <w:r>
              <w:t xml:space="preserve">DEL-02</w:t>
            </w:r>
          </w:p>
        </w:tc>
        <w:tc>
          <w:tcPr>
            <w:tcW w:w="4600" w:type="dxa"/>
            <w:vAlign w:val="center"/>
          </w:tcPr>
          <w:p>
            <w:pPr>
              <w:pStyle w:val="TableTextX"/>
            </w:pPr>
            <w:r>
              <w:t xml:space="preserve">End-to-end send after that fix</w:t>
            </w:r>
          </w:p>
        </w:tc>
        <w:tc>
          <w:tcPr>
            <w:tcW w:w="3500" w:type="dxa"/>
            <w:vAlign w:val="center"/>
          </w:tcPr>
          <w:p>
            <w:pPr>
              <w:pStyle w:val="TableTextX"/>
            </w:pPr>
            <w:r>
              <w:t xml:space="preserve">{"claimed":1,"sent":1,"failed":0} and the row marked sent</w:t>
            </w:r>
          </w:p>
        </w:tc>
      </w:tr>
      <w:tr>
        <w:tc>
          <w:tcPr>
            <w:tcW w:w="900" w:type="dxa"/>
            <w:vAlign w:val="center"/>
          </w:tcPr>
          <w:p>
            <w:pPr>
              <w:pStyle w:val="TableTextX"/>
            </w:pPr>
            <w:r>
              <w:t xml:space="preserve">DEL-03</w:t>
            </w:r>
          </w:p>
        </w:tc>
        <w:tc>
          <w:tcPr>
            <w:tcW w:w="4600" w:type="dxa"/>
            <w:vAlign w:val="center"/>
          </w:tcPr>
          <w:p>
            <w:pPr>
              <w:pStyle w:val="TableTextX"/>
            </w:pPr>
            <w:r>
              <w:t xml:space="preserve">Whether the edge runtime permits raw SMTP on port 465</w:t>
            </w:r>
          </w:p>
        </w:tc>
        <w:tc>
          <w:tcPr>
            <w:tcW w:w="3500" w:type="dxa"/>
            <w:vAlign w:val="center"/>
          </w:tcPr>
          <w:p>
            <w:pPr>
              <w:pStyle w:val="TableTextX"/>
            </w:pPr>
            <w:r>
              <w:t xml:space="preserve">It does — this was the main risk in choosing Gmail over an HTTP API</w:t>
            </w:r>
          </w:p>
        </w:tc>
      </w:tr>
      <w:tr>
        <w:tc>
          <w:tcPr>
            <w:tcW w:w="900" w:type="dxa"/>
            <w:vAlign w:val="center"/>
          </w:tcPr>
          <w:p>
            <w:pPr>
              <w:pStyle w:val="TableTextX"/>
            </w:pPr>
            <w:r>
              <w:t xml:space="preserve">DEL-04</w:t>
            </w:r>
          </w:p>
        </w:tc>
        <w:tc>
          <w:tcPr>
            <w:tcW w:w="4600" w:type="dxa"/>
            <w:vAlign w:val="center"/>
          </w:tcPr>
          <w:p>
            <w:pPr>
              <w:pStyle w:val="TableTextX"/>
            </w:pPr>
            <w:r>
              <w:t xml:space="preserve">A genuine resident report, unprompted by testing</w:t>
            </w:r>
          </w:p>
        </w:tc>
        <w:tc>
          <w:tcPr>
            <w:tcW w:w="3500" w:type="dxa"/>
            <w:vAlign w:val="center"/>
          </w:tcPr>
          <w:p>
            <w:pPr>
              <w:pStyle w:val="TableTextX"/>
            </w:pPr>
            <w:r>
              <w:t xml:space="preserve">CP-000029 filed 09:04:02, email sent 09:05:04 — 62 seconds, most of it waiting for the next cron tick</w:t>
            </w:r>
          </w:p>
        </w:tc>
      </w:tr>
      <w:tr>
        <w:tc>
          <w:tcPr>
            <w:tcW w:w="900" w:type="dxa"/>
            <w:vAlign w:val="center"/>
          </w:tcPr>
          <w:p>
            <w:pPr>
              <w:pStyle w:val="TableTextX"/>
            </w:pPr>
            <w:r>
              <w:t xml:space="preserve">DEL-05</w:t>
            </w:r>
          </w:p>
        </w:tc>
        <w:tc>
          <w:tcPr>
            <w:tcW w:w="4600" w:type="dxa"/>
            <w:vAlign w:val="center"/>
          </w:tcPr>
          <w:p>
            <w:pPr>
              <w:pStyle w:val="TableTextX"/>
            </w:pPr>
            <w:r>
              <w:t xml:space="preserve">Full lifecycle on one ticket</w:t>
            </w:r>
          </w:p>
        </w:tc>
        <w:tc>
          <w:tcPr>
            <w:tcW w:w="3500" w:type="dxa"/>
            <w:vAlign w:val="center"/>
          </w:tcPr>
          <w:p>
            <w:pPr>
              <w:pStyle w:val="TableTextX"/>
            </w:pPr>
            <w:r>
              <w:t xml:space="preserve">CP-000030 produced ticket_created on filing and status_changed on resolution; both delivered</w:t>
            </w:r>
          </w:p>
        </w:tc>
      </w:tr>
      <w:tr>
        <w:tc>
          <w:tcPr>
            <w:tcW w:w="900" w:type="dxa"/>
            <w:vAlign w:val="center"/>
          </w:tcPr>
          <w:p>
            <w:pPr>
              <w:pStyle w:val="TableTextX"/>
            </w:pPr>
            <w:r>
              <w:t xml:space="preserve">DEL-06</w:t>
            </w:r>
          </w:p>
        </w:tc>
        <w:tc>
          <w:tcPr>
            <w:tcW w:w="4600" w:type="dxa"/>
            <w:vAlign w:val="center"/>
          </w:tcPr>
          <w:p>
            <w:pPr>
              <w:pStyle w:val="TableTextX"/>
            </w:pPr>
            <w:r>
              <w:t xml:space="preserve">The deduplication path end to end</w:t>
            </w:r>
          </w:p>
        </w:tc>
        <w:tc>
          <w:tcPr>
            <w:tcW w:w="3500" w:type="dxa"/>
            <w:vAlign w:val="center"/>
          </w:tcPr>
          <w:p>
            <w:pPr>
              <w:pStyle w:val="TableTextX"/>
            </w:pPr>
            <w:r>
              <w:t xml:space="preserve">CP-000017 produced ticket_followed — a merged reporter was subscribed to the original ticket and messaged</w:t>
            </w:r>
          </w:p>
        </w:tc>
      </w:tr>
      <w:tr>
        <w:tc>
          <w:tcPr>
            <w:tcW w:w="900" w:type="dxa"/>
            <w:vAlign w:val="center"/>
          </w:tcPr>
          <w:p>
            <w:pPr>
              <w:pStyle w:val="TableTextX"/>
            </w:pPr>
            <w:r>
              <w:t xml:space="preserve">DEL-07</w:t>
            </w:r>
          </w:p>
        </w:tc>
        <w:tc>
          <w:tcPr>
            <w:tcW w:w="4600" w:type="dxa"/>
            <w:vAlign w:val="center"/>
          </w:tcPr>
          <w:p>
            <w:pPr>
              <w:pStyle w:val="TableTextX"/>
            </w:pPr>
            <w:r>
              <w:t xml:space="preserve">Legacy notification rows from before delivery existed</w:t>
            </w:r>
          </w:p>
        </w:tc>
        <w:tc>
          <w:tcPr>
            <w:tcW w:w="3500" w:type="dxa"/>
            <w:vAlign w:val="center"/>
          </w:tcPr>
          <w:p>
            <w:pPr>
              <w:pStyle w:val="TableTextX"/>
            </w:pPr>
            <w:r>
              <w:t xml:space="preserve">18 rows remain status “logged” and can never be sent; claim_notifications only takes “queued”</w:t>
            </w:r>
          </w:p>
        </w:tc>
      </w:tr>
    </w:tbl>
    <w:p>
      <w:pPr>
        <w:pStyle w:val="SpacerX"/>
      </w:pPr>
    </w:p>
    <w:p>
      <w:pPr>
        <w:pStyle w:val="Heading1"/>
      </w:pPr>
      <w:r>
        <w:t xml:space="preserve">8. Report Submission Reliability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SUB-01</w:t>
            </w:r>
          </w:p>
        </w:tc>
        <w:tc>
          <w:tcPr>
            <w:tcW w:w="4600" w:type="dxa"/>
            <w:vAlign w:val="center"/>
          </w:tcPr>
          <w:p>
            <w:pPr>
              <w:pStyle w:val="TableTextX"/>
            </w:pPr>
            <w:r>
              <w:t xml:space="preserve">analyze-issue reachability with a small image</w:t>
            </w:r>
          </w:p>
        </w:tc>
        <w:tc>
          <w:tcPr>
            <w:tcW w:w="3500" w:type="dxa"/>
            <w:vAlign w:val="center"/>
          </w:tcPr>
          <w:p>
            <w:pPr>
              <w:pStyle w:val="TableTextX"/>
            </w:pPr>
            <w:r>
              <w:t xml:space="preserve">Responded correctly — the function was not down when the form was failing</w:t>
            </w:r>
          </w:p>
        </w:tc>
      </w:tr>
      <w:tr>
        <w:tc>
          <w:tcPr>
            <w:tcW w:w="900" w:type="dxa"/>
            <w:vAlign w:val="center"/>
          </w:tcPr>
          <w:p>
            <w:pPr>
              <w:pStyle w:val="TableTextX"/>
            </w:pPr>
            <w:r>
              <w:t xml:space="preserve">SUB-02</w:t>
            </w:r>
          </w:p>
        </w:tc>
        <w:tc>
          <w:tcPr>
            <w:tcW w:w="4600" w:type="dxa"/>
            <w:vAlign w:val="center"/>
          </w:tcPr>
          <w:p>
            <w:pPr>
              <w:pStyle w:val="TableTextX"/>
            </w:pPr>
            <w:r>
              <w:t xml:space="preserve">The same call with the exact coordinates and comment from the failing report</w:t>
            </w:r>
          </w:p>
        </w:tc>
        <w:tc>
          <w:tcPr>
            <w:tcW w:w="3500" w:type="dxa"/>
            <w:vAlign w:val="center"/>
          </w:tcPr>
          <w:p>
            <w:pPr>
              <w:pStyle w:val="TableTextX"/>
            </w:pPr>
            <w:r>
              <w:t xml:space="preserve">Classified correctly. The only remaining variable was the photo itself</w:t>
            </w:r>
          </w:p>
        </w:tc>
      </w:tr>
      <w:tr>
        <w:tc>
          <w:tcPr>
            <w:tcW w:w="900" w:type="dxa"/>
            <w:vAlign w:val="center"/>
          </w:tcPr>
          <w:p>
            <w:pPr>
              <w:pStyle w:val="TableTextX"/>
            </w:pPr>
            <w:r>
              <w:t xml:space="preserve">SUB-03</w:t>
            </w:r>
          </w:p>
        </w:tc>
        <w:tc>
          <w:tcPr>
            <w:tcW w:w="4600" w:type="dxa"/>
            <w:vAlign w:val="center"/>
          </w:tcPr>
          <w:p>
            <w:pPr>
              <w:pStyle w:val="TableTextX"/>
            </w:pPr>
            <w:r>
              <w:t xml:space="preserve">Whether report submission was broken by that day’s migrations</w:t>
            </w:r>
          </w:p>
        </w:tc>
        <w:tc>
          <w:tcPr>
            <w:tcW w:w="3500" w:type="dxa"/>
            <w:vAlign w:val="center"/>
          </w:tcPr>
          <w:p>
            <w:pPr>
              <w:pStyle w:val="TableTextX"/>
            </w:pPr>
            <w:r>
              <w:t xml:space="preserve">It was not — two reports succeeded after them, including one with an email address</w:t>
            </w:r>
          </w:p>
        </w:tc>
      </w:tr>
      <w:tr>
        <w:tc>
          <w:tcPr>
            <w:tcW w:w="900" w:type="dxa"/>
            <w:vAlign w:val="center"/>
          </w:tcPr>
          <w:p>
            <w:pPr>
              <w:pStyle w:val="TableTextX"/>
            </w:pPr>
            <w:r>
              <w:t xml:space="preserve">SUB-04</w:t>
            </w:r>
          </w:p>
        </w:tc>
        <w:tc>
          <w:tcPr>
            <w:tcW w:w="4600" w:type="dxa"/>
            <w:vAlign w:val="center"/>
          </w:tcPr>
          <w:p>
            <w:pPr>
              <w:pStyle w:val="TableTextX"/>
            </w:pPr>
            <w:r>
              <w:t xml:space="preserve">Submission after downscaling the analysed photo to 1600px</w:t>
            </w:r>
          </w:p>
        </w:tc>
        <w:tc>
          <w:tcPr>
            <w:tcW w:w="3500" w:type="dxa"/>
            <w:vAlign w:val="center"/>
          </w:tcPr>
          <w:p>
            <w:pPr>
              <w:pStyle w:val="TableTextX"/>
            </w:pPr>
            <w:r>
              <w:t xml:space="preserve">Confirmed working by the user. Payload reduced roughly tenfold</w:t>
            </w:r>
          </w:p>
        </w:tc>
      </w:tr>
    </w:tbl>
    <w:p>
      <w:pPr>
        <w:pStyle w:val="NoteX"/>
      </w:pPr>
      <w:r>
        <w:t xml:space="preserve">The exact status code from the user’s failing request was never captured — Supabase’s log window had aged past it. The diagnosis rests on the two failure signatures observed (a request that never completed, then one that completed and was rejected) and on eliminating every other variable. It is inference, not a confirmed root cause.</w:t>
      </w:r>
    </w:p>
    <w:p>
      <w:pPr>
        <w:pStyle w:val="SpacerX"/>
      </w:pPr>
    </w:p>
    <w:p>
      <w:pPr>
        <w:pStyle w:val="Heading1"/>
      </w:pPr>
      <w:r>
        <w:t xml:space="preserve">9. Telegram Channel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TG-01</w:t>
            </w:r>
          </w:p>
        </w:tc>
        <w:tc>
          <w:tcPr>
            <w:tcW w:w="4600" w:type="dxa"/>
            <w:vAlign w:val="center"/>
          </w:tcPr>
          <w:p>
            <w:pPr>
              <w:pStyle w:val="TableTextX"/>
            </w:pPr>
            <w:r>
              <w:t xml:space="preserve">Link token shape</w:t>
            </w:r>
          </w:p>
        </w:tc>
        <w:tc>
          <w:tcPr>
            <w:tcW w:w="3500" w:type="dxa"/>
            <w:vAlign w:val="center"/>
          </w:tcPr>
          <w:p>
            <w:pPr>
              <w:pStyle w:val="TableTextX"/>
            </w:pPr>
            <w:r>
              <w:t xml:space="preserve">22 characters, matches [A-Za-z0-9_-], inside Telegram’s 64-character deep-link limit</w:t>
            </w:r>
          </w:p>
        </w:tc>
      </w:tr>
      <w:tr>
        <w:tc>
          <w:tcPr>
            <w:tcW w:w="900" w:type="dxa"/>
            <w:vAlign w:val="center"/>
          </w:tcPr>
          <w:p>
            <w:pPr>
              <w:pStyle w:val="TableTextX"/>
            </w:pPr>
            <w:r>
              <w:t xml:space="preserve">TG-02</w:t>
            </w:r>
          </w:p>
        </w:tc>
        <w:tc>
          <w:tcPr>
            <w:tcW w:w="4600" w:type="dxa"/>
            <w:vAlign w:val="center"/>
          </w:tcPr>
          <w:p>
            <w:pPr>
              <w:pStyle w:val="TableTextX"/>
            </w:pPr>
            <w:r>
              <w:t xml:space="preserve">Redeeming a token</w:t>
            </w:r>
          </w:p>
        </w:tc>
        <w:tc>
          <w:tcPr>
            <w:tcW w:w="3500" w:type="dxa"/>
            <w:vAlign w:val="center"/>
          </w:tcPr>
          <w:p>
            <w:pPr>
              <w:pStyle w:val="TableTextX"/>
            </w:pPr>
            <w:r>
              <w:t xml:space="preserve">Returned the ticket number and created the subscriber</w:t>
            </w:r>
          </w:p>
        </w:tc>
      </w:tr>
      <w:tr>
        <w:tc>
          <w:tcPr>
            <w:tcW w:w="900" w:type="dxa"/>
            <w:vAlign w:val="center"/>
          </w:tcPr>
          <w:p>
            <w:pPr>
              <w:pStyle w:val="TableTextX"/>
            </w:pPr>
            <w:r>
              <w:t xml:space="preserve">TG-03</w:t>
            </w:r>
          </w:p>
        </w:tc>
        <w:tc>
          <w:tcPr>
            <w:tcW w:w="4600" w:type="dxa"/>
            <w:vAlign w:val="center"/>
          </w:tcPr>
          <w:p>
            <w:pPr>
              <w:pStyle w:val="TableTextX"/>
            </w:pPr>
            <w:r>
              <w:t xml:space="preserve">The same token redeemed twice by the same chat — Telegram’s retry behaviour</w:t>
            </w:r>
          </w:p>
        </w:tc>
        <w:tc>
          <w:tcPr>
            <w:tcW w:w="3500" w:type="dxa"/>
            <w:vAlign w:val="center"/>
          </w:tcPr>
          <w:p>
            <w:pPr>
              <w:pStyle w:val="TableTextX"/>
            </w:pPr>
            <w:r>
              <w:t xml:space="preserve">Identical answer both times; no duplicate subscription</w:t>
            </w:r>
          </w:p>
        </w:tc>
      </w:tr>
      <w:tr>
        <w:tc>
          <w:tcPr>
            <w:tcW w:w="900" w:type="dxa"/>
            <w:vAlign w:val="center"/>
          </w:tcPr>
          <w:p>
            <w:pPr>
              <w:pStyle w:val="TableTextX"/>
            </w:pPr>
            <w:r>
              <w:t xml:space="preserve">TG-04</w:t>
            </w:r>
          </w:p>
        </w:tc>
        <w:tc>
          <w:tcPr>
            <w:tcW w:w="4600" w:type="dxa"/>
            <w:vAlign w:val="center"/>
          </w:tcPr>
          <w:p>
            <w:pPr>
              <w:pStyle w:val="TableTextX"/>
            </w:pPr>
            <w:r>
              <w:t xml:space="preserve">A different chat replaying a spent token</w:t>
            </w:r>
          </w:p>
        </w:tc>
        <w:tc>
          <w:tcPr>
            <w:tcW w:w="3500" w:type="dxa"/>
            <w:vAlign w:val="center"/>
          </w:tcPr>
          <w:p>
            <w:pPr>
              <w:pStyle w:val="TableTextX"/>
            </w:pPr>
            <w:r>
              <w:t xml:space="preserve">Refused</w:t>
            </w:r>
          </w:p>
        </w:tc>
      </w:tr>
      <w:tr>
        <w:tc>
          <w:tcPr>
            <w:tcW w:w="900" w:type="dxa"/>
            <w:vAlign w:val="center"/>
          </w:tcPr>
          <w:p>
            <w:pPr>
              <w:pStyle w:val="TableTextX"/>
            </w:pPr>
            <w:r>
              <w:t xml:space="preserve">TG-05</w:t>
            </w:r>
          </w:p>
        </w:tc>
        <w:tc>
          <w:tcPr>
            <w:tcW w:w="4600" w:type="dxa"/>
            <w:vAlign w:val="center"/>
          </w:tcPr>
          <w:p>
            <w:pPr>
              <w:pStyle w:val="TableTextX"/>
            </w:pPr>
            <w:r>
              <w:t xml:space="preserve">One event on a ticket followed by both an email and a Telegram subscriber</w:t>
            </w:r>
          </w:p>
        </w:tc>
        <w:tc>
          <w:tcPr>
            <w:tcW w:w="3500" w:type="dxa"/>
            <w:vAlign w:val="center"/>
          </w:tcPr>
          <w:p>
            <w:pPr>
              <w:pStyle w:val="TableTextX"/>
            </w:pPr>
            <w:r>
              <w:t xml:space="preserve">Two rows queued, one per channel, from a single trigger</w:t>
            </w:r>
          </w:p>
        </w:tc>
      </w:tr>
      <w:tr>
        <w:tc>
          <w:tcPr>
            <w:tcW w:w="900" w:type="dxa"/>
            <w:vAlign w:val="center"/>
          </w:tcPr>
          <w:p>
            <w:pPr>
              <w:pStyle w:val="TableTextX"/>
            </w:pPr>
            <w:r>
              <w:t xml:space="preserve">TG-06</w:t>
            </w:r>
          </w:p>
        </w:tc>
        <w:tc>
          <w:tcPr>
            <w:tcW w:w="4600" w:type="dxa"/>
            <w:vAlign w:val="center"/>
          </w:tcPr>
          <w:p>
            <w:pPr>
              <w:pStyle w:val="TableTextX"/>
            </w:pPr>
            <w:r>
              <w:t xml:space="preserve">/stop with a queued Telegram message outstanding</w:t>
            </w:r>
          </w:p>
        </w:tc>
        <w:tc>
          <w:tcPr>
            <w:tcW w:w="3500" w:type="dxa"/>
            <w:vAlign w:val="center"/>
          </w:tcPr>
          <w:p>
            <w:pPr>
              <w:pStyle w:val="TableTextX"/>
            </w:pPr>
            <w:r>
              <w:t xml:space="preserve">Telegram row skipped, email row left queued and untouched</w:t>
            </w:r>
          </w:p>
        </w:tc>
      </w:tr>
      <w:tr>
        <w:tc>
          <w:tcPr>
            <w:tcW w:w="900" w:type="dxa"/>
            <w:vAlign w:val="center"/>
          </w:tcPr>
          <w:p>
            <w:pPr>
              <w:pStyle w:val="TableTextX"/>
            </w:pPr>
            <w:r>
              <w:t xml:space="preserve">TG-07</w:t>
            </w:r>
          </w:p>
        </w:tc>
        <w:tc>
          <w:tcPr>
            <w:tcW w:w="4600" w:type="dxa"/>
            <w:vAlign w:val="center"/>
          </w:tcPr>
          <w:p>
            <w:pPr>
              <w:pStyle w:val="TableTextX"/>
            </w:pPr>
            <w:r>
              <w:t xml:space="preserve">Anonymous callers against the Telegram RPCs and token table</w:t>
            </w:r>
          </w:p>
        </w:tc>
        <w:tc>
          <w:tcPr>
            <w:tcW w:w="3500" w:type="dxa"/>
            <w:vAlign w:val="center"/>
          </w:tcPr>
          <w:p>
            <w:pPr>
              <w:pStyle w:val="TableTextX"/>
            </w:pPr>
            <w:r>
              <w:t xml:space="preserve">create_telegram_link_token callable; subscribe, unsubscribe and the table itself all refused</w:t>
            </w:r>
          </w:p>
        </w:tc>
      </w:tr>
      <w:tr>
        <w:tc>
          <w:tcPr>
            <w:tcW w:w="900" w:type="dxa"/>
            <w:vAlign w:val="center"/>
          </w:tcPr>
          <w:p>
            <w:pPr>
              <w:pStyle w:val="TableTextX"/>
            </w:pPr>
            <w:r>
              <w:t xml:space="preserve">TG-08</w:t>
            </w:r>
          </w:p>
        </w:tc>
        <w:tc>
          <w:tcPr>
            <w:tcW w:w="4600" w:type="dxa"/>
            <w:vAlign w:val="center"/>
          </w:tcPr>
          <w:p>
            <w:pPr>
              <w:pStyle w:val="TableTextX"/>
            </w:pPr>
            <w:r>
              <w:t xml:space="preserve">Webhook deployment configuration</w:t>
            </w:r>
          </w:p>
        </w:tc>
        <w:tc>
          <w:tcPr>
            <w:tcW w:w="3500" w:type="dxa"/>
            <w:vAlign w:val="center"/>
          </w:tcPr>
          <w:p>
            <w:pPr>
              <w:pStyle w:val="TableTextX"/>
            </w:pPr>
            <w:r>
              <w:t xml:space="preserve">verify_jwt disabled, as Telegram requires; the secret header is the only gate</w:t>
            </w:r>
          </w:p>
        </w:tc>
      </w:tr>
      <w:tr>
        <w:tc>
          <w:tcPr>
            <w:tcW w:w="900" w:type="dxa"/>
            <w:vAlign w:val="center"/>
          </w:tcPr>
          <w:p>
            <w:pPr>
              <w:pStyle w:val="TableTextX"/>
            </w:pPr>
            <w:r>
              <w:t xml:space="preserve">TG-09</w:t>
            </w:r>
          </w:p>
        </w:tc>
        <w:tc>
          <w:tcPr>
            <w:tcW w:w="4600" w:type="dxa"/>
            <w:vAlign w:val="center"/>
          </w:tcPr>
          <w:p>
            <w:pPr>
              <w:pStyle w:val="TableTextX"/>
            </w:pPr>
            <w:r>
              <w:t xml:space="preserve">Bare /start sent to the bot</w:t>
            </w:r>
          </w:p>
        </w:tc>
        <w:tc>
          <w:tcPr>
            <w:tcW w:w="3500" w:type="dxa"/>
            <w:vAlign w:val="center"/>
          </w:tcPr>
          <w:p>
            <w:pPr>
              <w:pStyle w:val="TableTextX"/>
            </w:pPr>
            <w:r>
              <w:t xml:space="preserve">Greeting received — confirming the webhook, the secret match, and the handler</w:t>
            </w:r>
          </w:p>
        </w:tc>
      </w:tr>
      <w:tr>
        <w:tc>
          <w:tcPr>
            <w:tcW w:w="900" w:type="dxa"/>
            <w:vAlign w:val="center"/>
          </w:tcPr>
          <w:p>
            <w:pPr>
              <w:pStyle w:val="TableTextX"/>
            </w:pPr>
            <w:r>
              <w:t xml:space="preserve">TG-10</w:t>
            </w:r>
          </w:p>
        </w:tc>
        <w:tc>
          <w:tcPr>
            <w:tcW w:w="4600" w:type="dxa"/>
            <w:vAlign w:val="center"/>
          </w:tcPr>
          <w:p>
            <w:pPr>
              <w:pStyle w:val="TableTextX"/>
            </w:pPr>
            <w:r>
              <w:t xml:space="preserve">reporter_channel constraint after adding telegram</w:t>
            </w:r>
          </w:p>
        </w:tc>
        <w:tc>
          <w:tcPr>
            <w:tcW w:w="3500" w:type="dxa"/>
            <w:vAlign w:val="center"/>
          </w:tcPr>
          <w:p>
            <w:pPr>
              <w:pStyle w:val="TableTextX"/>
            </w:pPr>
            <w:r>
              <w:t xml:space="preserve">Accepts phone, email, anonymous, telegram; the four existing phone rows remain valid</w:t>
            </w:r>
          </w:p>
        </w:tc>
      </w:tr>
      <w:tr>
        <w:tc>
          <w:tcPr>
            <w:tcW w:w="900" w:type="dxa"/>
            <w:vAlign w:val="center"/>
          </w:tcPr>
          <w:p>
            <w:pPr>
              <w:pStyle w:val="TableTextX"/>
            </w:pPr>
            <w:r>
              <w:t xml:space="preserve">TG-11</w:t>
            </w:r>
          </w:p>
        </w:tc>
        <w:tc>
          <w:tcPr>
            <w:tcW w:w="4600" w:type="dxa"/>
            <w:vAlign w:val="center"/>
          </w:tcPr>
          <w:p>
            <w:pPr>
              <w:pStyle w:val="TableTextX"/>
            </w:pPr>
            <w:r>
              <w:t xml:space="preserve">Anonymous insert versus telegram insert</w:t>
            </w:r>
          </w:p>
        </w:tc>
        <w:tc>
          <w:tcPr>
            <w:tcW w:w="3500" w:type="dxa"/>
            <w:vAlign w:val="center"/>
          </w:tcPr>
          <w:p>
            <w:pPr>
              <w:pStyle w:val="TableTextX"/>
            </w:pPr>
            <w:r>
              <w:t xml:space="preserve">Identical: no subscriber, no notification, auto-assignment and audit row both intact</w:t>
            </w:r>
          </w:p>
        </w:tc>
      </w:tr>
    </w:tbl>
    <w:p>
      <w:pPr>
        <w:pStyle w:val="NoteX"/>
      </w:pPr>
      <w:r>
        <w:t xml:space="preserve">One case remains untested at the time of writing: no real ticket has yet produced a real Telegram message. Every component is verified in isolation, but the loop from report form to a status change arriving in the chat has not been run.</w:t>
      </w:r>
    </w:p>
    <w:p>
      <w:pPr>
        <w:pStyle w:val="SpacerX"/>
      </w:pPr>
    </w:p>
    <w:p>
      <w:pPr>
        <w:pStyle w:val="Heading1"/>
      </w:pPr>
      <w:r>
        <w:t xml:space="preserve">10. Staff Email Validation</w:t>
      </w:r>
    </w:p>
    <w:p>
      <w:pPr>
        <w:pStyle w:val="BodyX"/>
      </w:pPr>
      <w:r>
        <w:t xml:space="preserve">Creation checked only that an address was non-empty. The form’s type="email" was the sole real check, and the Edge Function is callable directly, so the browser was never the boundary.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VAL-01</w:t>
            </w:r>
          </w:p>
        </w:tc>
        <w:tc>
          <w:tcPr>
            <w:tcW w:w="4600" w:type="dxa"/>
            <w:vAlign w:val="center"/>
          </w:tcPr>
          <w:p>
            <w:pPr>
              <w:pStyle w:val="TableTextX"/>
            </w:pPr>
            <w:r>
              <w:t xml:space="preserve">Format rule against 24 addresses, run by extracting the function’s real source from the deployed file</w:t>
            </w:r>
          </w:p>
        </w:tc>
        <w:tc>
          <w:tcPr>
            <w:tcW w:w="3500" w:type="dxa"/>
            <w:vAlign w:val="center"/>
          </w:tcPr>
          <w:p>
            <w:pPr>
              <w:pStyle w:val="TableTextX"/>
            </w:pPr>
            <w:r>
              <w:t xml:space="preserve">23/24 on the first run. ravi@@gmail.com passed — the split is on the last @, so a second one hid in the local part unchecked. 24/24 after the fix</w:t>
            </w:r>
          </w:p>
        </w:tc>
      </w:tr>
      <w:tr>
        <w:tc>
          <w:tcPr>
            <w:tcW w:w="900" w:type="dxa"/>
            <w:vAlign w:val="center"/>
          </w:tcPr>
          <w:p>
            <w:pPr>
              <w:pStyle w:val="TableTextX"/>
            </w:pPr>
            <w:r>
              <w:t xml:space="preserve">VAL-02</w:t>
            </w:r>
          </w:p>
        </w:tc>
        <w:tc>
          <w:tcPr>
            <w:tcW w:w="4600" w:type="dxa"/>
            <w:vAlign w:val="center"/>
          </w:tcPr>
          <w:p>
            <w:pPr>
              <w:pStyle w:val="TableTextX"/>
            </w:pPr>
            <w:r>
              <w:t xml:space="preserve">Addresses that must be accepted</w:t>
            </w:r>
          </w:p>
        </w:tc>
        <w:tc>
          <w:tcPr>
            <w:tcW w:w="3500" w:type="dxa"/>
            <w:vAlign w:val="center"/>
          </w:tcPr>
          <w:p>
            <w:pPr>
              <w:pStyle w:val="TableTextX"/>
            </w:pPr>
            <w:r>
              <w:t xml:space="preserve">ravi.kumar+staff@gmail.com, o’brien@example.co.uk, a@b.io and ravi@department.gov.in all pass</w:t>
            </w:r>
          </w:p>
        </w:tc>
      </w:tr>
      <w:tr>
        <w:tc>
          <w:tcPr>
            <w:tcW w:w="900" w:type="dxa"/>
            <w:vAlign w:val="center"/>
          </w:tcPr>
          <w:p>
            <w:pPr>
              <w:pStyle w:val="TableTextX"/>
            </w:pPr>
            <w:r>
              <w:t xml:space="preserve">VAL-03</w:t>
            </w:r>
          </w:p>
        </w:tc>
        <w:tc>
          <w:tcPr>
            <w:tcW w:w="4600" w:type="dxa"/>
            <w:vAlign w:val="center"/>
          </w:tcPr>
          <w:p>
            <w:pPr>
              <w:pStyle w:val="TableTextX"/>
            </w:pPr>
            <w:r>
              <w:t xml:space="preserve">Addresses that must be rejected</w:t>
            </w:r>
          </w:p>
        </w:tc>
        <w:tc>
          <w:tcPr>
            <w:tcW w:w="3500" w:type="dxa"/>
            <w:vAlign w:val="center"/>
          </w:tcPr>
          <w:p>
            <w:pPr>
              <w:pStyle w:val="TableTextX"/>
            </w:pPr>
            <w:r>
              <w:t xml:space="preserve">ravi@localhost, ravi@gmail.c, ra..vi@…, ravi@-gmail.com, over-length local parts, whitespace — all refused</w:t>
            </w:r>
          </w:p>
        </w:tc>
      </w:tr>
      <w:tr>
        <w:tc>
          <w:tcPr>
            <w:tcW w:w="900" w:type="dxa"/>
            <w:vAlign w:val="center"/>
          </w:tcPr>
          <w:p>
            <w:pPr>
              <w:pStyle w:val="TableTextX"/>
            </w:pPr>
            <w:r>
              <w:t xml:space="preserve">VAL-04</w:t>
            </w:r>
          </w:p>
        </w:tc>
        <w:tc>
          <w:tcPr>
            <w:tcW w:w="4600" w:type="dxa"/>
            <w:vAlign w:val="center"/>
          </w:tcPr>
          <w:p>
            <w:pPr>
              <w:pStyle w:val="TableTextX"/>
            </w:pPr>
            <w:r>
              <w:t xml:space="preserve">Typo suggester against 16 cases</w:t>
            </w:r>
          </w:p>
        </w:tc>
        <w:tc>
          <w:tcPr>
            <w:tcW w:w="3500" w:type="dxa"/>
            <w:vAlign w:val="center"/>
          </w:tcPr>
          <w:p>
            <w:pPr>
              <w:pStyle w:val="TableTextX"/>
            </w:pPr>
            <w:r>
              <w:t xml:space="preserve">16/16. gmial.com, gmai.com, gmail.co, gmail.con, yaho.com, hotmial.com, outlok.com and rediffmail.co all corrected</w:t>
            </w:r>
          </w:p>
        </w:tc>
      </w:tr>
      <w:tr>
        <w:tc>
          <w:tcPr>
            <w:tcW w:w="900" w:type="dxa"/>
            <w:vAlign w:val="center"/>
          </w:tcPr>
          <w:p>
            <w:pPr>
              <w:pStyle w:val="TableTextX"/>
            </w:pPr>
            <w:r>
              <w:t xml:space="preserve">VAL-05</w:t>
            </w:r>
          </w:p>
        </w:tc>
        <w:tc>
          <w:tcPr>
            <w:tcW w:w="4600" w:type="dxa"/>
            <w:vAlign w:val="center"/>
          </w:tcPr>
          <w:p>
            <w:pPr>
              <w:pStyle w:val="TableTextX"/>
            </w:pPr>
            <w:r>
              <w:t xml:space="preserve">Addresses that must draw no suggestion — the false-positive risk</w:t>
            </w:r>
          </w:p>
        </w:tc>
        <w:tc>
          <w:tcPr>
            <w:tcW w:w="3500" w:type="dxa"/>
            <w:vAlign w:val="center"/>
          </w:tcPr>
          <w:p>
            <w:pPr>
              <w:pStyle w:val="TableTextX"/>
            </w:pPr>
            <w:r>
              <w:t xml:space="preserve">iitp.ac.in, department.gov.in, kmc.gov.in and yahoo.co.in all silent, as required</w:t>
            </w:r>
          </w:p>
        </w:tc>
      </w:tr>
      <w:tr>
        <w:tc>
          <w:tcPr>
            <w:tcW w:w="900" w:type="dxa"/>
            <w:vAlign w:val="center"/>
          </w:tcPr>
          <w:p>
            <w:pPr>
              <w:pStyle w:val="TableTextX"/>
            </w:pPr>
            <w:r>
              <w:t xml:space="preserve">VAL-06</w:t>
            </w:r>
          </w:p>
        </w:tc>
        <w:tc>
          <w:tcPr>
            <w:tcW w:w="4600" w:type="dxa"/>
            <w:vAlign w:val="center"/>
          </w:tcPr>
          <w:p>
            <w:pPr>
              <w:pStyle w:val="TableTextX"/>
            </w:pPr>
            <w:r>
              <w:t xml:space="preserve">Whether an MX lookup would catch typo domains, tested before building it</w:t>
            </w:r>
          </w:p>
        </w:tc>
        <w:tc>
          <w:tcPr>
            <w:tcW w:w="3500" w:type="dxa"/>
            <w:vAlign w:val="center"/>
          </w:tcPr>
          <w:p>
            <w:pPr>
              <w:pStyle w:val="TableTextX"/>
            </w:pPr>
            <w:r>
              <w:t xml:space="preserve">It would not. Six of seven accept mail — gmial.com, gmai.com and gmail.co have MX records; yaho.com, hotmial.com, outlok.com and rediffmail.co accept on the A record. Only gmail.con fails. The check was abandoned</w:t>
            </w:r>
          </w:p>
        </w:tc>
      </w:tr>
    </w:tbl>
    <w:p>
      <w:pPr>
        <w:pStyle w:val="NoteX"/>
      </w:pPr>
      <w:r>
        <w:t xml:space="preserve">VAL-06 is the most useful test here and it was run on a design, not on code. The MX check had been planned and estimated; testing the assumption first showed it would catch one realistic typo in eight that the suggester already handles, and it was dropped before anything was written.</w:t>
      </w:r>
    </w:p>
    <w:p>
      <w:pPr>
        <w:pStyle w:val="SpacerX"/>
      </w:pPr>
    </w:p>
    <w:p>
      <w:pPr>
        <w:pStyle w:val="Heading1"/>
      </w:pPr>
      <w:r>
        <w:t xml:space="preserve">11. Authentication and Password Recovery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AUTH-01</w:t>
            </w:r>
          </w:p>
        </w:tc>
        <w:tc>
          <w:tcPr>
            <w:tcW w:w="4600" w:type="dxa"/>
            <w:vAlign w:val="center"/>
          </w:tcPr>
          <w:p>
            <w:pPr>
              <w:pStyle w:val="TableTextX"/>
            </w:pPr>
            <w:r>
              <w:t xml:space="preserve">Whether auth email could work at all</w:t>
            </w:r>
          </w:p>
        </w:tc>
        <w:tc>
          <w:tcPr>
            <w:tcW w:w="3500" w:type="dxa"/>
            <w:vAlign w:val="center"/>
          </w:tcPr>
          <w:p>
            <w:pPr>
              <w:pStyle w:val="TableTextX"/>
            </w:pPr>
            <w:r>
              <w:t xml:space="preserve">It could not. The built-in mailer allowed 2 emails per hour and site_url was still the default localhost:3000, so every link pointed at the recipient’s own machine. Password recovery had never worked</w:t>
            </w:r>
          </w:p>
        </w:tc>
      </w:tr>
      <w:tr>
        <w:tc>
          <w:tcPr>
            <w:tcW w:w="900" w:type="dxa"/>
            <w:vAlign w:val="center"/>
          </w:tcPr>
          <w:p>
            <w:pPr>
              <w:pStyle w:val="TableTextX"/>
            </w:pPr>
            <w:r>
              <w:t xml:space="preserve">AUTH-02</w:t>
            </w:r>
          </w:p>
        </w:tc>
        <w:tc>
          <w:tcPr>
            <w:tcW w:w="4600" w:type="dxa"/>
            <w:vAlign w:val="center"/>
          </w:tcPr>
          <w:p>
            <w:pPr>
              <w:pStyle w:val="TableTextX"/>
            </w:pPr>
            <w:r>
              <w:t xml:space="preserve">Recovery email after SMTP, site_url and the redirect allow list were set</w:t>
            </w:r>
          </w:p>
        </w:tc>
        <w:tc>
          <w:tcPr>
            <w:tcW w:w="3500" w:type="dxa"/>
            <w:vAlign w:val="center"/>
          </w:tcPr>
          <w:p>
            <w:pPr>
              <w:pStyle w:val="TableTextX"/>
            </w:pPr>
            <w:r>
              <w:t xml:space="preserve">Delivered. last_sign_in_at recorded 29 seconds after the send, and the token showed consumed — the link worked</w:t>
            </w:r>
          </w:p>
        </w:tc>
      </w:tr>
      <w:tr>
        <w:tc>
          <w:tcPr>
            <w:tcW w:w="900" w:type="dxa"/>
            <w:vAlign w:val="center"/>
          </w:tcPr>
          <w:p>
            <w:pPr>
              <w:pStyle w:val="TableTextX"/>
            </w:pPr>
            <w:r>
              <w:t xml:space="preserve">AUTH-03</w:t>
            </w:r>
          </w:p>
        </w:tc>
        <w:tc>
          <w:tcPr>
            <w:tcW w:w="4600" w:type="dxa"/>
            <w:vAlign w:val="center"/>
          </w:tcPr>
          <w:p>
            <w:pPr>
              <w:pStyle w:val="TableTextX"/>
            </w:pPr>
            <w:r>
              <w:t xml:space="preserve">Where the recovery link actually landed</w:t>
            </w:r>
          </w:p>
        </w:tc>
        <w:tc>
          <w:tcPr>
            <w:tcW w:w="3500" w:type="dxa"/>
            <w:vAlign w:val="center"/>
          </w:tcPr>
          <w:p>
            <w:pPr>
              <w:pStyle w:val="TableTextX"/>
            </w:pPr>
            <w:r>
              <w:t xml:space="preserve">On the resident report form, not the set-password page. A recovery link carries no destination; Supabase builds it from site_url</w:t>
            </w:r>
          </w:p>
        </w:tc>
      </w:tr>
      <w:tr>
        <w:tc>
          <w:tcPr>
            <w:tcW w:w="900" w:type="dxa"/>
            <w:vAlign w:val="center"/>
          </w:tcPr>
          <w:p>
            <w:pPr>
              <w:pStyle w:val="TableTextX"/>
            </w:pPr>
            <w:r>
              <w:t xml:space="preserve">AUTH-04</w:t>
            </w:r>
          </w:p>
        </w:tc>
        <w:tc>
          <w:tcPr>
            <w:tcW w:w="4600" w:type="dxa"/>
            <w:vAlign w:val="center"/>
          </w:tcPr>
          <w:p>
            <w:pPr>
              <w:pStyle w:val="TableTextX"/>
            </w:pPr>
            <w:r>
              <w:t xml:space="preserve">Same link clicked a second time</w:t>
            </w:r>
          </w:p>
        </w:tc>
        <w:tc>
          <w:tcPr>
            <w:tcW w:w="3500" w:type="dxa"/>
            <w:vAlign w:val="center"/>
          </w:tcPr>
          <w:p>
            <w:pPr>
              <w:pStyle w:val="TableTextX"/>
            </w:pPr>
            <w:r>
              <w:t xml:space="preserve">Failed, correctly — recovery tokens are single use. Confirmed against the database rather than assumed</w:t>
            </w:r>
          </w:p>
        </w:tc>
      </w:tr>
      <w:tr>
        <w:tc>
          <w:tcPr>
            <w:tcW w:w="900" w:type="dxa"/>
            <w:vAlign w:val="center"/>
          </w:tcPr>
          <w:p>
            <w:pPr>
              <w:pStyle w:val="TableTextX"/>
            </w:pPr>
            <w:r>
              <w:t xml:space="preserve">AUTH-05</w:t>
            </w:r>
          </w:p>
        </w:tc>
        <w:tc>
          <w:tcPr>
            <w:tcW w:w="4600" w:type="dxa"/>
            <w:vAlign w:val="center"/>
          </w:tcPr>
          <w:p>
            <w:pPr>
              <w:pStyle w:val="TableTextX"/>
            </w:pPr>
            <w:r>
              <w:t xml:space="preserve">Fresh link after the client-side routing fix</w:t>
            </w:r>
          </w:p>
        </w:tc>
        <w:tc>
          <w:tcPr>
            <w:tcW w:w="3500" w:type="dxa"/>
            <w:vAlign w:val="center"/>
          </w:tcPr>
          <w:p>
            <w:pPr>
              <w:pStyle w:val="TableTextX"/>
            </w:pPr>
            <w:r>
              <w:t xml:space="preserve">Landed on the set-password page with the form</w:t>
            </w:r>
          </w:p>
        </w:tc>
      </w:tr>
      <w:tr>
        <w:tc>
          <w:tcPr>
            <w:tcW w:w="900" w:type="dxa"/>
            <w:vAlign w:val="center"/>
          </w:tcPr>
          <w:p>
            <w:pPr>
              <w:pStyle w:val="TableTextX"/>
            </w:pPr>
            <w:r>
              <w:t xml:space="preserve">AUTH-06</w:t>
            </w:r>
          </w:p>
        </w:tc>
        <w:tc>
          <w:tcPr>
            <w:tcW w:w="4600" w:type="dxa"/>
            <w:vAlign w:val="center"/>
          </w:tcPr>
          <w:p>
            <w:pPr>
              <w:pStyle w:val="TableTextX"/>
            </w:pPr>
            <w:r>
              <w:t xml:space="preserve">The set-password route with no link</w:t>
            </w:r>
          </w:p>
        </w:tc>
        <w:tc>
          <w:tcPr>
            <w:tcW w:w="3500" w:type="dxa"/>
            <w:vAlign w:val="center"/>
          </w:tcPr>
          <w:p>
            <w:pPr>
              <w:pStyle w:val="TableTextX"/>
            </w:pPr>
            <w:r>
              <w:t xml:space="preserve">Shows the expired state rather than an empty form</w:t>
            </w:r>
          </w:p>
        </w:tc>
      </w:tr>
      <w:tr>
        <w:tc>
          <w:tcPr>
            <w:tcW w:w="900" w:type="dxa"/>
            <w:vAlign w:val="center"/>
          </w:tcPr>
          <w:p>
            <w:pPr>
              <w:pStyle w:val="TableTextX"/>
            </w:pPr>
            <w:r>
              <w:t xml:space="preserve">AUTH-07</w:t>
            </w:r>
          </w:p>
        </w:tc>
        <w:tc>
          <w:tcPr>
            <w:tcW w:w="4600" w:type="dxa"/>
            <w:vAlign w:val="center"/>
          </w:tcPr>
          <w:p>
            <w:pPr>
              <w:pStyle w:val="TableTextX"/>
            </w:pPr>
            <w:r>
              <w:t xml:space="preserve">Deployed bundle after each release</w:t>
            </w:r>
          </w:p>
        </w:tc>
        <w:tc>
          <w:tcPr>
            <w:tcW w:w="3500" w:type="dxa"/>
            <w:vAlign w:val="center"/>
          </w:tcPr>
          <w:p>
            <w:pPr>
              <w:pStyle w:val="TableTextX"/>
            </w:pPr>
            <w:r>
              <w:t xml:space="preserve">Set-password chunk contains the form, the expired state and the updateUser call</w:t>
            </w:r>
          </w:p>
        </w:tc>
      </w:tr>
    </w:tbl>
    <w:p>
      <w:pPr>
        <w:pStyle w:val="NoteX"/>
      </w:pPr>
      <w:r>
        <w:t xml:space="preserve">AUTH-03 was found by the user testing, not by me. I had asserted the link would land on the set-password page without checking how Supabase constructs it. The fix also had to account for a race: the client consumes the URL fragment during construction, before React mounts, so a listener registered in a component can miss the event entirely.</w:t>
      </w:r>
    </w:p>
    <w:p>
      <w:pPr>
        <w:pStyle w:val="SpacerX"/>
      </w:pPr>
    </w:p>
    <w:p>
      <w:pPr>
        <w:pStyle w:val="Heading1"/>
      </w:pPr>
      <w:r>
        <w:t xml:space="preserve">12. User Deletion</w:t>
      </w:r>
    </w:p>
    <w:p>
      <w:pPr>
        <w:pStyle w:val="BodyX"/>
      </w:pPr>
      <w:r>
        <w:t xml:space="preserve">Run against a real engineer holding five tickets and seven roster shifts, inside a transaction that was rolled back.</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USR-01</w:t>
            </w:r>
          </w:p>
        </w:tc>
        <w:tc>
          <w:tcPr>
            <w:tcW w:w="4600" w:type="dxa"/>
            <w:vAlign w:val="center"/>
          </w:tcPr>
          <w:p>
            <w:pPr>
              <w:pStyle w:val="TableTextX"/>
            </w:pPr>
            <w:r>
              <w:t xml:space="preserve">What blocks a delete today</w:t>
            </w:r>
          </w:p>
        </w:tc>
        <w:tc>
          <w:tcPr>
            <w:tcW w:w="3500" w:type="dxa"/>
            <w:vAlign w:val="center"/>
          </w:tcPr>
          <w:p>
            <w:pPr>
              <w:pStyle w:val="TableTextX"/>
            </w:pPr>
            <w:r>
              <w:t xml:space="preserve">Two foreign keys, both NO ACTION: issues.assigned_to and profiles.created_by. Roster shifts and the auth tables already cascade</w:t>
            </w:r>
          </w:p>
        </w:tc>
      </w:tr>
      <w:tr>
        <w:tc>
          <w:tcPr>
            <w:tcW w:w="900" w:type="dxa"/>
            <w:vAlign w:val="center"/>
          </w:tcPr>
          <w:p>
            <w:pPr>
              <w:pStyle w:val="TableTextX"/>
            </w:pPr>
            <w:r>
              <w:t xml:space="preserve">USR-02</w:t>
            </w:r>
          </w:p>
        </w:tc>
        <w:tc>
          <w:tcPr>
            <w:tcW w:w="4600" w:type="dxa"/>
            <w:vAlign w:val="center"/>
          </w:tcPr>
          <w:p>
            <w:pPr>
              <w:pStyle w:val="TableTextX"/>
            </w:pPr>
            <w:r>
              <w:t xml:space="preserve">Tickets released rather than deleted</w:t>
            </w:r>
          </w:p>
        </w:tc>
        <w:tc>
          <w:tcPr>
            <w:tcW w:w="3500" w:type="dxa"/>
            <w:vAlign w:val="center"/>
          </w:tcPr>
          <w:p>
            <w:pPr>
              <w:pStyle w:val="TableTextX"/>
            </w:pPr>
            <w:r>
              <w:t xml:space="preserve">5 released, 0 still assigned, each with an audit row explaining why</w:t>
            </w:r>
          </w:p>
        </w:tc>
      </w:tr>
      <w:tr>
        <w:tc>
          <w:tcPr>
            <w:tcW w:w="900" w:type="dxa"/>
            <w:vAlign w:val="center"/>
          </w:tcPr>
          <w:p>
            <w:pPr>
              <w:pStyle w:val="TableTextX"/>
            </w:pPr>
            <w:r>
              <w:t xml:space="preserve">USR-03</w:t>
            </w:r>
          </w:p>
        </w:tc>
        <w:tc>
          <w:tcPr>
            <w:tcW w:w="4600" w:type="dxa"/>
            <w:vAlign w:val="center"/>
          </w:tcPr>
          <w:p>
            <w:pPr>
              <w:pStyle w:val="TableTextX"/>
            </w:pPr>
            <w:r>
              <w:t xml:space="preserve">Issues must survive — the whole point</w:t>
            </w:r>
          </w:p>
        </w:tc>
        <w:tc>
          <w:tcPr>
            <w:tcW w:w="3500" w:type="dxa"/>
            <w:vAlign w:val="center"/>
          </w:tcPr>
          <w:p>
            <w:pPr>
              <w:pStyle w:val="TableTextX"/>
            </w:pPr>
            <w:r>
              <w:t xml:space="preserve">25 before, 25 after</w:t>
            </w:r>
          </w:p>
        </w:tc>
      </w:tr>
      <w:tr>
        <w:tc>
          <w:tcPr>
            <w:tcW w:w="900" w:type="dxa"/>
            <w:vAlign w:val="center"/>
          </w:tcPr>
          <w:p>
            <w:pPr>
              <w:pStyle w:val="TableTextX"/>
            </w:pPr>
            <w:r>
              <w:t xml:space="preserve">USR-04</w:t>
            </w:r>
          </w:p>
        </w:tc>
        <w:tc>
          <w:tcPr>
            <w:tcW w:w="4600" w:type="dxa"/>
            <w:vAlign w:val="center"/>
          </w:tcPr>
          <w:p>
            <w:pPr>
              <w:pStyle w:val="TableTextX"/>
            </w:pPr>
            <w:r>
              <w:t xml:space="preserve">Audit attribution must survive</w:t>
            </w:r>
          </w:p>
        </w:tc>
        <w:tc>
          <w:tcPr>
            <w:tcW w:w="3500" w:type="dxa"/>
            <w:vAlign w:val="center"/>
          </w:tcPr>
          <w:p>
            <w:pPr>
              <w:pStyle w:val="TableTextX"/>
            </w:pPr>
            <w:r>
              <w:t xml:space="preserve">25 staff audit rows before, 25 after. actor is text, not a foreign key</w:t>
            </w:r>
          </w:p>
        </w:tc>
      </w:tr>
      <w:tr>
        <w:tc>
          <w:tcPr>
            <w:tcW w:w="900" w:type="dxa"/>
            <w:vAlign w:val="center"/>
          </w:tcPr>
          <w:p>
            <w:pPr>
              <w:pStyle w:val="TableTextX"/>
            </w:pPr>
            <w:r>
              <w:t xml:space="preserve">USR-05</w:t>
            </w:r>
          </w:p>
        </w:tc>
        <w:tc>
          <w:tcPr>
            <w:tcW w:w="4600" w:type="dxa"/>
            <w:vAlign w:val="center"/>
          </w:tcPr>
          <w:p>
            <w:pPr>
              <w:pStyle w:val="TableTextX"/>
            </w:pPr>
            <w:r>
              <w:t xml:space="preserve">Profile, roster shifts and created_by pointers cleared</w:t>
            </w:r>
          </w:p>
        </w:tc>
        <w:tc>
          <w:tcPr>
            <w:tcW w:w="3500" w:type="dxa"/>
            <w:vAlign w:val="center"/>
          </w:tcPr>
          <w:p>
            <w:pPr>
              <w:pStyle w:val="TableTextX"/>
            </w:pPr>
            <w:r>
              <w:t xml:space="preserve">All zero after the delete</w:t>
            </w:r>
          </w:p>
        </w:tc>
      </w:tr>
      <w:tr>
        <w:tc>
          <w:tcPr>
            <w:tcW w:w="900" w:type="dxa"/>
            <w:vAlign w:val="center"/>
          </w:tcPr>
          <w:p>
            <w:pPr>
              <w:pStyle w:val="TableTextX"/>
            </w:pPr>
            <w:r>
              <w:t xml:space="preserve">USR-06</w:t>
            </w:r>
          </w:p>
        </w:tc>
        <w:tc>
          <w:tcPr>
            <w:tcW w:w="4600" w:type="dxa"/>
            <w:vAlign w:val="center"/>
          </w:tcPr>
          <w:p>
            <w:pPr>
              <w:pStyle w:val="TableTextX"/>
            </w:pPr>
            <w:r>
              <w:t xml:space="preserve">release_staff_references reachable only by the service role</w:t>
            </w:r>
          </w:p>
        </w:tc>
        <w:tc>
          <w:tcPr>
            <w:tcW w:w="3500" w:type="dxa"/>
            <w:vAlign w:val="center"/>
          </w:tcPr>
          <w:p>
            <w:pPr>
              <w:pStyle w:val="TableTextX"/>
            </w:pPr>
            <w:r>
              <w:t xml:space="preserve">anon=false, authenticated=false, service_role=true</w:t>
            </w:r>
          </w:p>
        </w:tc>
      </w:tr>
      <w:tr>
        <w:tc>
          <w:tcPr>
            <w:tcW w:w="900" w:type="dxa"/>
            <w:vAlign w:val="center"/>
          </w:tcPr>
          <w:p>
            <w:pPr>
              <w:pStyle w:val="TableTextX"/>
            </w:pPr>
            <w:r>
              <w:t xml:space="preserve">USR-07</w:t>
            </w:r>
          </w:p>
        </w:tc>
        <w:tc>
          <w:tcPr>
            <w:tcW w:w="4600" w:type="dxa"/>
            <w:vAlign w:val="center"/>
          </w:tcPr>
          <w:p>
            <w:pPr>
              <w:pStyle w:val="TableTextX"/>
            </w:pPr>
            <w:r>
              <w:t xml:space="preserve">Unauthenticated call to the delete action</w:t>
            </w:r>
          </w:p>
        </w:tc>
        <w:tc>
          <w:tcPr>
            <w:tcW w:w="3500" w:type="dxa"/>
            <w:vAlign w:val="center"/>
          </w:tcPr>
          <w:p>
            <w:pPr>
              <w:pStyle w:val="TableTextX"/>
            </w:pPr>
            <w:r>
              <w:t xml:space="preserve">HTTP 401</w:t>
            </w:r>
          </w:p>
        </w:tc>
      </w:tr>
      <w:tr>
        <w:tc>
          <w:tcPr>
            <w:tcW w:w="900" w:type="dxa"/>
            <w:vAlign w:val="center"/>
          </w:tcPr>
          <w:p>
            <w:pPr>
              <w:pStyle w:val="TableTextX"/>
            </w:pPr>
            <w:r>
              <w:t xml:space="preserve">USR-08</w:t>
            </w:r>
          </w:p>
        </w:tc>
        <w:tc>
          <w:tcPr>
            <w:tcW w:w="4600" w:type="dxa"/>
            <w:vAlign w:val="center"/>
          </w:tcPr>
          <w:p>
            <w:pPr>
              <w:pStyle w:val="TableTextX"/>
            </w:pPr>
            <w:r>
              <w:t xml:space="preserve">Two real deletions through the Team page, three minutes after release</w:t>
            </w:r>
          </w:p>
        </w:tc>
        <w:tc>
          <w:tcPr>
            <w:tcW w:w="3500" w:type="dxa"/>
            <w:vAlign w:val="center"/>
          </w:tcPr>
          <w:p>
            <w:pPr>
              <w:pStyle w:val="TableTextX"/>
            </w:pPr>
            <w:r>
              <w:t xml:space="preserve">Accounts fell from 11 to 9. Six tickets released across the two — CP-000008, 016, 023, 025, 030 and 033 — each with its own audit row naming who was removed. No issue was deleted</w:t>
            </w:r>
          </w:p>
        </w:tc>
      </w:tr>
    </w:tbl>
    <w:p>
      <w:pPr>
        <w:pStyle w:val="NoteX"/>
      </w:pPr>
      <w:r>
        <w:t xml:space="preserve">USR-08 is the only case in this document confirmed on production data rather than in a rolled-back transaction, because deletion is the one feature whose effects cannot be rehearsed and then undone. Three refusals remain untested: deleting yourself, deleting a super admin, and a staff admin reaching an engineer in another department. All are enforced in the Edge Function and mirrored in the interface.</w:t>
      </w:r>
    </w:p>
    <w:p>
      <w:pPr>
        <w:pStyle w:val="SpacerX"/>
      </w:pPr>
    </w:p>
    <w:p>
      <w:pPr>
        <w:pStyle w:val="Heading1"/>
      </w:pPr>
      <w:r>
        <w:t xml:space="preserve">13. Regression Checks</w:t>
      </w:r>
    </w:p>
    <w:p>
      <w:pPr>
        <w:pStyle w:val="BodyX"/>
      </w:pPr>
      <w:r>
        <w:t xml:space="preserve">Each change to shared code was checked against the behaviour it was not supposed to alter.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900"/>
        <w:gridCol w:w="4600"/>
        <w:gridCol w:w="3500"/>
      </w:tblGrid>
      <w:tr>
        <w:tc>
          <w:tcPr>
            <w:tcW w:w="900" w:type="dxa"/>
            <w:shd w:val="clear" w:color="auto" w:fill="F1F5F9"/>
            <w:vAlign w:val="center"/>
          </w:tcPr>
          <w:p>
            <w:pPr>
              <w:pStyle w:val="TableTextX"/>
            </w:pPr>
            <w:r>
              <w:rPr>
                <w:b/>
              </w:rPr>
              <w:t xml:space="preserve">ID</w:t>
            </w:r>
          </w:p>
        </w:tc>
        <w:tc>
          <w:tcPr>
            <w:tcW w:w="4600" w:type="dxa"/>
            <w:shd w:val="clear" w:color="auto" w:fill="F1F5F9"/>
            <w:vAlign w:val="center"/>
          </w:tcPr>
          <w:p>
            <w:pPr>
              <w:pStyle w:val="TableTextX"/>
            </w:pPr>
            <w:r>
              <w:rPr>
                <w:b/>
              </w:rPr>
              <w:t xml:space="preserve">What was tested</w:t>
            </w:r>
          </w:p>
        </w:tc>
        <w:tc>
          <w:tcPr>
            <w:tcW w:w="3500" w:type="dxa"/>
            <w:shd w:val="clear" w:color="auto" w:fill="F1F5F9"/>
            <w:vAlign w:val="center"/>
          </w:tcPr>
          <w:p>
            <w:pPr>
              <w:pStyle w:val="TableTextX"/>
            </w:pPr>
            <w:r>
              <w:rPr>
                <w:b/>
              </w:rPr>
              <w:t xml:space="preserve">Result</w:t>
            </w:r>
          </w:p>
        </w:tc>
      </w:tr>
      <w:tr>
        <w:tc>
          <w:tcPr>
            <w:tcW w:w="900" w:type="dxa"/>
            <w:vAlign w:val="center"/>
          </w:tcPr>
          <w:p>
            <w:pPr>
              <w:pStyle w:val="TableTextX"/>
            </w:pPr>
            <w:r>
              <w:t xml:space="preserve">REG-01</w:t>
            </w:r>
          </w:p>
        </w:tc>
        <w:tc>
          <w:tcPr>
            <w:tcW w:w="4600" w:type="dxa"/>
            <w:vAlign w:val="center"/>
          </w:tcPr>
          <w:p>
            <w:pPr>
              <w:pStyle w:val="TableTextX"/>
            </w:pPr>
            <w:r>
              <w:t xml:space="preserve">Email fan-out before and after the channel-aware rewrite of enqueue_issue_notifications</w:t>
            </w:r>
          </w:p>
        </w:tc>
        <w:tc>
          <w:tcPr>
            <w:tcW w:w="3500" w:type="dxa"/>
            <w:vAlign w:val="center"/>
          </w:tcPr>
          <w:p>
            <w:pPr>
              <w:pStyle w:val="TableTextX"/>
            </w:pPr>
            <w:r>
              <w:t xml:space="preserve">Identical payload SHA-256 — byte-for-byte unchanged</w:t>
            </w:r>
          </w:p>
        </w:tc>
      </w:tr>
      <w:tr>
        <w:tc>
          <w:tcPr>
            <w:tcW w:w="900" w:type="dxa"/>
            <w:vAlign w:val="center"/>
          </w:tcPr>
          <w:p>
            <w:pPr>
              <w:pStyle w:val="TableTextX"/>
            </w:pPr>
            <w:r>
              <w:t xml:space="preserve">REG-02</w:t>
            </w:r>
          </w:p>
        </w:tc>
        <w:tc>
          <w:tcPr>
            <w:tcW w:w="4600" w:type="dxa"/>
            <w:vAlign w:val="center"/>
          </w:tcPr>
          <w:p>
            <w:pPr>
              <w:pStyle w:val="TableTextX"/>
            </w:pPr>
            <w:r>
              <w:t xml:space="preserve">Email delivery after the multi-channel sender refactor</w:t>
            </w:r>
          </w:p>
        </w:tc>
        <w:tc>
          <w:tcPr>
            <w:tcW w:w="3500" w:type="dxa"/>
            <w:vAlign w:val="center"/>
          </w:tcPr>
          <w:p>
            <w:pPr>
              <w:pStyle w:val="TableTextX"/>
            </w:pPr>
            <w:r>
              <w:t xml:space="preserve">Sent successfully; same claimed/sent/failed accounting</w:t>
            </w:r>
          </w:p>
        </w:tc>
      </w:tr>
      <w:tr>
        <w:tc>
          <w:tcPr>
            <w:tcW w:w="900" w:type="dxa"/>
            <w:vAlign w:val="center"/>
          </w:tcPr>
          <w:p>
            <w:pPr>
              <w:pStyle w:val="TableTextX"/>
            </w:pPr>
            <w:r>
              <w:t xml:space="preserve">REG-03</w:t>
            </w:r>
          </w:p>
        </w:tc>
        <w:tc>
          <w:tcPr>
            <w:tcW w:w="4600" w:type="dxa"/>
            <w:vAlign w:val="center"/>
          </w:tcPr>
          <w:p>
            <w:pPr>
              <w:pStyle w:val="TableTextX"/>
            </w:pPr>
            <w:r>
              <w:t xml:space="preserve">The tracking page against the un-migrated database, before the column grant landed</w:t>
            </w:r>
          </w:p>
        </w:tc>
        <w:tc>
          <w:tcPr>
            <w:tcW w:w="3500" w:type="dxa"/>
            <w:vAlign w:val="center"/>
          </w:tcPr>
          <w:p>
            <w:pPr>
              <w:pStyle w:val="TableTextX"/>
            </w:pPr>
            <w:r>
              <w:t xml:space="preserve">Worked — which is what made it safe to deploy the frontend first</w:t>
            </w:r>
          </w:p>
        </w:tc>
      </w:tr>
      <w:tr>
        <w:tc>
          <w:tcPr>
            <w:tcW w:w="900" w:type="dxa"/>
            <w:vAlign w:val="center"/>
          </w:tcPr>
          <w:p>
            <w:pPr>
              <w:pStyle w:val="TableTextX"/>
            </w:pPr>
            <w:r>
              <w:t xml:space="preserve">REG-04</w:t>
            </w:r>
          </w:p>
        </w:tc>
        <w:tc>
          <w:tcPr>
            <w:tcW w:w="4600" w:type="dxa"/>
            <w:vAlign w:val="center"/>
          </w:tcPr>
          <w:p>
            <w:pPr>
              <w:pStyle w:val="TableTextX"/>
            </w:pPr>
            <w:r>
              <w:t xml:space="preserve">Deployed bundle after each frontend release</w:t>
            </w:r>
          </w:p>
        </w:tc>
        <w:tc>
          <w:tcPr>
            <w:tcW w:w="3500" w:type="dxa"/>
            <w:vAlign w:val="center"/>
          </w:tcPr>
          <w:p>
            <w:pPr>
              <w:pStyle w:val="TableTextX"/>
            </w:pPr>
            <w:r>
              <w:t xml:space="preserve">Explicit column list present, no select(*), no reporter_contact reference, Telegram deep link present</w:t>
            </w:r>
          </w:p>
        </w:tc>
      </w:tr>
      <w:tr>
        <w:tc>
          <w:tcPr>
            <w:tcW w:w="900" w:type="dxa"/>
            <w:vAlign w:val="center"/>
          </w:tcPr>
          <w:p>
            <w:pPr>
              <w:pStyle w:val="TableTextX"/>
            </w:pPr>
            <w:r>
              <w:t xml:space="preserve">REG-05</w:t>
            </w:r>
          </w:p>
        </w:tc>
        <w:tc>
          <w:tcPr>
            <w:tcW w:w="4600" w:type="dxa"/>
            <w:vAlign w:val="center"/>
          </w:tcPr>
          <w:p>
            <w:pPr>
              <w:pStyle w:val="TableTextX"/>
            </w:pPr>
            <w:r>
              <w:t xml:space="preserve">Whole-tree type check and lint after every change</w:t>
            </w:r>
          </w:p>
        </w:tc>
        <w:tc>
          <w:tcPr>
            <w:tcW w:w="3500" w:type="dxa"/>
            <w:vAlign w:val="center"/>
          </w:tcPr>
          <w:p>
            <w:pPr>
              <w:pStyle w:val="TableTextX"/>
            </w:pPr>
            <w:r>
              <w:t xml:space="preserve">tsc -b and oxlint clean throughout; the only warnings are pre-existing, in vendored component files</w:t>
            </w:r>
          </w:p>
        </w:tc>
      </w:tr>
      <w:tr>
        <w:tc>
          <w:tcPr>
            <w:tcW w:w="900" w:type="dxa"/>
            <w:vAlign w:val="center"/>
          </w:tcPr>
          <w:p>
            <w:pPr>
              <w:pStyle w:val="TableTextX"/>
            </w:pPr>
            <w:r>
              <w:t xml:space="preserve">REG-06</w:t>
            </w:r>
          </w:p>
        </w:tc>
        <w:tc>
          <w:tcPr>
            <w:tcW w:w="4600" w:type="dxa"/>
            <w:vAlign w:val="center"/>
          </w:tcPr>
          <w:p>
            <w:pPr>
              <w:pStyle w:val="TableTextX"/>
            </w:pPr>
            <w:r>
              <w:t xml:space="preserve">Existing staff logins after the switch to invitations</w:t>
            </w:r>
          </w:p>
        </w:tc>
        <w:tc>
          <w:tcPr>
            <w:tcW w:w="3500" w:type="dxa"/>
            <w:vAlign w:val="center"/>
          </w:tcPr>
          <w:p>
            <w:pPr>
              <w:pStyle w:val="TableTextX"/>
            </w:pPr>
            <w:r>
              <w:t xml:space="preserve">Unaffected — existing users keep their passwords; only new accounts are invited</w:t>
            </w:r>
          </w:p>
        </w:tc>
      </w:tr>
      <w:tr>
        <w:tc>
          <w:tcPr>
            <w:tcW w:w="900" w:type="dxa"/>
            <w:vAlign w:val="center"/>
          </w:tcPr>
          <w:p>
            <w:pPr>
              <w:pStyle w:val="TableTextX"/>
            </w:pPr>
            <w:r>
              <w:t xml:space="preserve">REG-07</w:t>
            </w:r>
          </w:p>
        </w:tc>
        <w:tc>
          <w:tcPr>
            <w:tcW w:w="4600" w:type="dxa"/>
            <w:vAlign w:val="center"/>
          </w:tcPr>
          <w:p>
            <w:pPr>
              <w:pStyle w:val="TableTextX"/>
            </w:pPr>
            <w:r>
              <w:t xml:space="preserve">Deactivation after user deletion was added</w:t>
            </w:r>
          </w:p>
        </w:tc>
        <w:tc>
          <w:tcPr>
            <w:tcW w:w="3500" w:type="dxa"/>
            <w:vAlign w:val="center"/>
          </w:tcPr>
          <w:p>
            <w:pPr>
              <w:pStyle w:val="TableTextX"/>
            </w:pPr>
            <w:r>
              <w:t xml:space="preserve">Unchanged, including the trigger that returns an inactive user’s tickets to the queue</w:t>
            </w:r>
          </w:p>
        </w:tc>
      </w:tr>
    </w:tbl>
    <w:p>
      <w:pPr>
        <w:pStyle w:val="SpacerX"/>
      </w:pPr>
    </w:p>
    <w:p>
      <w:pPr>
        <w:pStyle w:val="Heading1"/>
      </w:pPr>
      <w:r>
        <w:t xml:space="preserve">14. Defects Found By These Tests</w:t>
      </w:r>
    </w:p>
    <w:p>
      <w:pPr>
        <w:pStyle w:val="BodyX"/>
      </w:pPr>
      <w:r>
        <w:t xml:space="preserve">Listed because they are the return on the testing, and because several were introduced by the same work that found them.</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4200"/>
        <w:gridCol w:w="2200"/>
        <w:gridCol w:w="2600"/>
      </w:tblGrid>
      <w:tr>
        <w:tc>
          <w:tcPr>
            <w:tcW w:w="4200" w:type="dxa"/>
            <w:shd w:val="clear" w:color="auto" w:fill="F1F5F9"/>
            <w:vAlign w:val="center"/>
          </w:tcPr>
          <w:p>
            <w:pPr>
              <w:pStyle w:val="TableTextX"/>
            </w:pPr>
            <w:r>
              <w:rPr>
                <w:b/>
              </w:rPr>
              <w:t xml:space="preserve">Defect</w:t>
            </w:r>
          </w:p>
        </w:tc>
        <w:tc>
          <w:tcPr>
            <w:tcW w:w="2200" w:type="dxa"/>
            <w:shd w:val="clear" w:color="auto" w:fill="F1F5F9"/>
            <w:vAlign w:val="center"/>
          </w:tcPr>
          <w:p>
            <w:pPr>
              <w:pStyle w:val="TableTextX"/>
            </w:pPr>
            <w:r>
              <w:rPr>
                <w:b/>
              </w:rPr>
              <w:t xml:space="preserve">Found by</w:t>
            </w:r>
          </w:p>
        </w:tc>
        <w:tc>
          <w:tcPr>
            <w:tcW w:w="2600" w:type="dxa"/>
            <w:shd w:val="clear" w:color="auto" w:fill="F1F5F9"/>
            <w:vAlign w:val="center"/>
          </w:tcPr>
          <w:p>
            <w:pPr>
              <w:pStyle w:val="TableTextX"/>
            </w:pPr>
            <w:r>
              <w:rPr>
                <w:b/>
              </w:rPr>
              <w:t xml:space="preserve">Status</w:t>
            </w:r>
          </w:p>
        </w:tc>
      </w:tr>
      <w:tr>
        <w:tc>
          <w:tcPr>
            <w:tcW w:w="4200" w:type="dxa"/>
            <w:vAlign w:val="center"/>
          </w:tcPr>
          <w:p>
            <w:pPr>
              <w:pStyle w:val="TableTextX"/>
            </w:pPr>
            <w:r>
              <w:t xml:space="preserve">Duplicate detection could not work on image hashing at all</w:t>
            </w:r>
          </w:p>
        </w:tc>
        <w:tc>
          <w:tcPr>
            <w:tcW w:w="2200" w:type="dxa"/>
            <w:vAlign w:val="center"/>
          </w:tcPr>
          <w:p>
            <w:pPr>
              <w:pStyle w:val="TableTextX"/>
            </w:pPr>
            <w:r>
              <w:t xml:space="preserve">DEDUP-01</w:t>
            </w:r>
          </w:p>
        </w:tc>
        <w:tc>
          <w:tcPr>
            <w:tcW w:w="2600" w:type="dxa"/>
            <w:vAlign w:val="center"/>
          </w:tcPr>
          <w:p>
            <w:pPr>
              <w:pStyle w:val="TableTextX"/>
            </w:pPr>
            <w:r>
              <w:t xml:space="preserve">Rebuilt around location</w:t>
            </w:r>
          </w:p>
        </w:tc>
      </w:tr>
      <w:tr>
        <w:tc>
          <w:tcPr>
            <w:tcW w:w="4200" w:type="dxa"/>
            <w:vAlign w:val="center"/>
          </w:tcPr>
          <w:p>
            <w:pPr>
              <w:pStyle w:val="TableTextX"/>
            </w:pPr>
            <w:r>
              <w:t xml:space="preserve">Any staff member could make themselves super admin</w:t>
            </w:r>
          </w:p>
        </w:tc>
        <w:tc>
          <w:tcPr>
            <w:tcW w:w="2200" w:type="dxa"/>
            <w:vAlign w:val="center"/>
          </w:tcPr>
          <w:p>
            <w:pPr>
              <w:pStyle w:val="TableTextX"/>
            </w:pPr>
            <w:r>
              <w:t xml:space="preserve">ROLE-02</w:t>
            </w:r>
          </w:p>
        </w:tc>
        <w:tc>
          <w:tcPr>
            <w:tcW w:w="2600" w:type="dxa"/>
            <w:vAlign w:val="center"/>
          </w:tcPr>
          <w:p>
            <w:pPr>
              <w:pStyle w:val="TableTextX"/>
            </w:pPr>
            <w:r>
              <w:t xml:space="preserve">Fixed — 0006</w:t>
            </w:r>
          </w:p>
        </w:tc>
      </w:tr>
      <w:tr>
        <w:tc>
          <w:tcPr>
            <w:tcW w:w="4200" w:type="dxa"/>
            <w:vAlign w:val="center"/>
          </w:tcPr>
          <w:p>
            <w:pPr>
              <w:pStyle w:val="TableTextX"/>
            </w:pPr>
            <w:r>
              <w:t xml:space="preserve">Read-only admin saw nothing in the AI assistant</w:t>
            </w:r>
          </w:p>
        </w:tc>
        <w:tc>
          <w:tcPr>
            <w:tcW w:w="2200" w:type="dxa"/>
            <w:vAlign w:val="center"/>
          </w:tcPr>
          <w:p>
            <w:pPr>
              <w:pStyle w:val="TableTextX"/>
            </w:pPr>
            <w:r>
              <w:t xml:space="preserve">ROLE-03</w:t>
            </w:r>
          </w:p>
        </w:tc>
        <w:tc>
          <w:tcPr>
            <w:tcW w:w="2600" w:type="dxa"/>
            <w:vAlign w:val="center"/>
          </w:tcPr>
          <w:p>
            <w:pPr>
              <w:pStyle w:val="TableTextX"/>
            </w:pPr>
            <w:r>
              <w:t xml:space="preserve">Fixed</w:t>
            </w:r>
          </w:p>
        </w:tc>
      </w:tr>
      <w:tr>
        <w:tc>
          <w:tcPr>
            <w:tcW w:w="4200" w:type="dxa"/>
            <w:vAlign w:val="center"/>
          </w:tcPr>
          <w:p>
            <w:pPr>
              <w:pStyle w:val="TableTextX"/>
            </w:pPr>
            <w:r>
              <w:t xml:space="preserve">A second status change was silently swallowed</w:t>
            </w:r>
          </w:p>
        </w:tc>
        <w:tc>
          <w:tcPr>
            <w:tcW w:w="2200" w:type="dxa"/>
            <w:vAlign w:val="center"/>
          </w:tcPr>
          <w:p>
            <w:pPr>
              <w:pStyle w:val="TableTextX"/>
            </w:pPr>
            <w:r>
              <w:t xml:space="preserve">UI-01</w:t>
            </w:r>
          </w:p>
        </w:tc>
        <w:tc>
          <w:tcPr>
            <w:tcW w:w="2600" w:type="dxa"/>
            <w:vAlign w:val="center"/>
          </w:tcPr>
          <w:p>
            <w:pPr>
              <w:pStyle w:val="TableTextX"/>
            </w:pPr>
            <w:r>
              <w:t xml:space="preserve">Fixed</w:t>
            </w:r>
          </w:p>
        </w:tc>
      </w:tr>
      <w:tr>
        <w:tc>
          <w:tcPr>
            <w:tcW w:w="4200" w:type="dxa"/>
            <w:vAlign w:val="center"/>
          </w:tcPr>
          <w:p>
            <w:pPr>
              <w:pStyle w:val="TableTextX"/>
            </w:pPr>
            <w:r>
              <w:t xml:space="preserve">Every reporter’s contact details were world-readable</w:t>
            </w:r>
          </w:p>
        </w:tc>
        <w:tc>
          <w:tcPr>
            <w:tcW w:w="2200" w:type="dxa"/>
            <w:vAlign w:val="center"/>
          </w:tcPr>
          <w:p>
            <w:pPr>
              <w:pStyle w:val="TableTextX"/>
            </w:pPr>
            <w:r>
              <w:t xml:space="preserve">SEC-01</w:t>
            </w:r>
          </w:p>
        </w:tc>
        <w:tc>
          <w:tcPr>
            <w:tcW w:w="2600" w:type="dxa"/>
            <w:vAlign w:val="center"/>
          </w:tcPr>
          <w:p>
            <w:pPr>
              <w:pStyle w:val="TableTextX"/>
            </w:pPr>
            <w:r>
              <w:t xml:space="preserve">Fixed — 0007</w:t>
            </w:r>
          </w:p>
        </w:tc>
      </w:tr>
      <w:tr>
        <w:tc>
          <w:tcPr>
            <w:tcW w:w="4200" w:type="dxa"/>
            <w:vAlign w:val="center"/>
          </w:tcPr>
          <w:p>
            <w:pPr>
              <w:pStyle w:val="TableTextX"/>
            </w:pPr>
            <w:r>
              <w:t xml:space="preserve">notifications was an open email relay</w:t>
            </w:r>
          </w:p>
        </w:tc>
        <w:tc>
          <w:tcPr>
            <w:tcW w:w="2200" w:type="dxa"/>
            <w:vAlign w:val="center"/>
          </w:tcPr>
          <w:p>
            <w:pPr>
              <w:pStyle w:val="TableTextX"/>
            </w:pPr>
            <w:r>
              <w:t xml:space="preserve">SEC-04</w:t>
            </w:r>
          </w:p>
        </w:tc>
        <w:tc>
          <w:tcPr>
            <w:tcW w:w="2600" w:type="dxa"/>
            <w:vAlign w:val="center"/>
          </w:tcPr>
          <w:p>
            <w:pPr>
              <w:pStyle w:val="TableTextX"/>
            </w:pPr>
            <w:r>
              <w:t xml:space="preserve">Fixed — 0007</w:t>
            </w:r>
          </w:p>
        </w:tc>
      </w:tr>
      <w:tr>
        <w:tc>
          <w:tcPr>
            <w:tcW w:w="4200" w:type="dxa"/>
            <w:vAlign w:val="center"/>
          </w:tcPr>
          <w:p>
            <w:pPr>
              <w:pStyle w:val="TableTextX"/>
            </w:pPr>
            <w:r>
              <w:t xml:space="preserve">Queue functions were callable by anonymous visitors</w:t>
            </w:r>
          </w:p>
        </w:tc>
        <w:tc>
          <w:tcPr>
            <w:tcW w:w="2200" w:type="dxa"/>
            <w:vAlign w:val="center"/>
          </w:tcPr>
          <w:p>
            <w:pPr>
              <w:pStyle w:val="TableTextX"/>
            </w:pPr>
            <w:r>
              <w:t xml:space="preserve">SEC-05</w:t>
            </w:r>
          </w:p>
        </w:tc>
        <w:tc>
          <w:tcPr>
            <w:tcW w:w="2600" w:type="dxa"/>
            <w:vAlign w:val="center"/>
          </w:tcPr>
          <w:p>
            <w:pPr>
              <w:pStyle w:val="TableTextX"/>
            </w:pPr>
            <w:r>
              <w:t xml:space="preserve">Fixed — 0008</w:t>
            </w:r>
          </w:p>
        </w:tc>
      </w:tr>
      <w:tr>
        <w:tc>
          <w:tcPr>
            <w:tcW w:w="4200" w:type="dxa"/>
            <w:vAlign w:val="center"/>
          </w:tcPr>
          <w:p>
            <w:pPr>
              <w:pStyle w:val="TableTextX"/>
            </w:pPr>
            <w:r>
              <w:t xml:space="preserve">Dispatcher rejected a valid service-role key</w:t>
            </w:r>
          </w:p>
        </w:tc>
        <w:tc>
          <w:tcPr>
            <w:tcW w:w="2200" w:type="dxa"/>
            <w:vAlign w:val="center"/>
          </w:tcPr>
          <w:p>
            <w:pPr>
              <w:pStyle w:val="TableTextX"/>
            </w:pPr>
            <w:r>
              <w:t xml:space="preserve">DEL-01</w:t>
            </w:r>
          </w:p>
        </w:tc>
        <w:tc>
          <w:tcPr>
            <w:tcW w:w="2600" w:type="dxa"/>
            <w:vAlign w:val="center"/>
          </w:tcPr>
          <w:p>
            <w:pPr>
              <w:pStyle w:val="TableTextX"/>
            </w:pPr>
            <w:r>
              <w:t xml:space="preserve">Fixed — role-claim check</w:t>
            </w:r>
          </w:p>
        </w:tc>
      </w:tr>
      <w:tr>
        <w:tc>
          <w:tcPr>
            <w:tcW w:w="4200" w:type="dxa"/>
            <w:vAlign w:val="center"/>
          </w:tcPr>
          <w:p>
            <w:pPr>
              <w:pStyle w:val="TableTextX"/>
            </w:pPr>
            <w:r>
              <w:t xml:space="preserve">create_telegram_link_token failed on every call (pgcrypto out of search_path)</w:t>
            </w:r>
          </w:p>
        </w:tc>
        <w:tc>
          <w:tcPr>
            <w:tcW w:w="2200" w:type="dxa"/>
            <w:vAlign w:val="center"/>
          </w:tcPr>
          <w:p>
            <w:pPr>
              <w:pStyle w:val="TableTextX"/>
            </w:pPr>
            <w:r>
              <w:t xml:space="preserve">TG-01</w:t>
            </w:r>
          </w:p>
        </w:tc>
        <w:tc>
          <w:tcPr>
            <w:tcW w:w="2600" w:type="dxa"/>
            <w:vAlign w:val="center"/>
          </w:tcPr>
          <w:p>
            <w:pPr>
              <w:pStyle w:val="TableTextX"/>
            </w:pPr>
            <w:r>
              <w:t xml:space="preserve">Fixed — 0011</w:t>
            </w:r>
          </w:p>
        </w:tc>
      </w:tr>
      <w:tr>
        <w:tc>
          <w:tcPr>
            <w:tcW w:w="4200" w:type="dxa"/>
            <w:vAlign w:val="center"/>
          </w:tcPr>
          <w:p>
            <w:pPr>
              <w:pStyle w:val="TableTextX"/>
            </w:pPr>
            <w:r>
              <w:t xml:space="preserve">One sender per batch let one channel’s failure sink the other’s rows</w:t>
            </w:r>
          </w:p>
        </w:tc>
        <w:tc>
          <w:tcPr>
            <w:tcW w:w="2200" w:type="dxa"/>
            <w:vAlign w:val="center"/>
          </w:tcPr>
          <w:p>
            <w:pPr>
              <w:pStyle w:val="TableTextX"/>
            </w:pPr>
            <w:r>
              <w:t xml:space="preserve">Review during TG work</w:t>
            </w:r>
          </w:p>
        </w:tc>
        <w:tc>
          <w:tcPr>
            <w:tcW w:w="2600" w:type="dxa"/>
            <w:vAlign w:val="center"/>
          </w:tcPr>
          <w:p>
            <w:pPr>
              <w:pStyle w:val="TableTextX"/>
            </w:pPr>
            <w:r>
              <w:t xml:space="preserve">Fixed — lazy per-channel senders</w:t>
            </w:r>
          </w:p>
        </w:tc>
      </w:tr>
      <w:tr>
        <w:tc>
          <w:tcPr>
            <w:tcW w:w="4200" w:type="dxa"/>
            <w:vAlign w:val="center"/>
          </w:tcPr>
          <w:p>
            <w:pPr>
              <w:pStyle w:val="TableTextX"/>
            </w:pPr>
            <w:r>
              <w:t xml:space="preserve">Report submission failed on large photos</w:t>
            </w:r>
          </w:p>
        </w:tc>
        <w:tc>
          <w:tcPr>
            <w:tcW w:w="2200" w:type="dxa"/>
            <w:vAlign w:val="center"/>
          </w:tcPr>
          <w:p>
            <w:pPr>
              <w:pStyle w:val="TableTextX"/>
            </w:pPr>
            <w:r>
              <w:t xml:space="preserve">SUB-01 to SUB-04</w:t>
            </w:r>
          </w:p>
        </w:tc>
        <w:tc>
          <w:tcPr>
            <w:tcW w:w="2600" w:type="dxa"/>
            <w:vAlign w:val="center"/>
          </w:tcPr>
          <w:p>
            <w:pPr>
              <w:pStyle w:val="TableTextX"/>
            </w:pPr>
            <w:r>
              <w:t xml:space="preserve">Fixed — client-side downscaling</w:t>
            </w:r>
          </w:p>
        </w:tc>
      </w:tr>
      <w:tr>
        <w:tc>
          <w:tcPr>
            <w:tcW w:w="4200" w:type="dxa"/>
            <w:vAlign w:val="center"/>
          </w:tcPr>
          <w:p>
            <w:pPr>
              <w:pStyle w:val="TableTextX"/>
            </w:pPr>
            <w:r>
              <w:t xml:space="preserve">ravi@@gmail.com passed email validation</w:t>
            </w:r>
          </w:p>
        </w:tc>
        <w:tc>
          <w:tcPr>
            <w:tcW w:w="2200" w:type="dxa"/>
            <w:vAlign w:val="center"/>
          </w:tcPr>
          <w:p>
            <w:pPr>
              <w:pStyle w:val="TableTextX"/>
            </w:pPr>
            <w:r>
              <w:t xml:space="preserve">VAL-01</w:t>
            </w:r>
          </w:p>
        </w:tc>
        <w:tc>
          <w:tcPr>
            <w:tcW w:w="2600" w:type="dxa"/>
            <w:vAlign w:val="center"/>
          </w:tcPr>
          <w:p>
            <w:pPr>
              <w:pStyle w:val="TableTextX"/>
            </w:pPr>
            <w:r>
              <w:t xml:space="preserve">Fixed — local part now checked for a second @</w:t>
            </w:r>
          </w:p>
        </w:tc>
      </w:tr>
      <w:tr>
        <w:tc>
          <w:tcPr>
            <w:tcW w:w="4200" w:type="dxa"/>
            <w:vAlign w:val="center"/>
          </w:tcPr>
          <w:p>
            <w:pPr>
              <w:pStyle w:val="TableTextX"/>
            </w:pPr>
            <w:r>
              <w:t xml:space="preserve">Password recovery had never worked at all</w:t>
            </w:r>
          </w:p>
        </w:tc>
        <w:tc>
          <w:tcPr>
            <w:tcW w:w="2200" w:type="dxa"/>
            <w:vAlign w:val="center"/>
          </w:tcPr>
          <w:p>
            <w:pPr>
              <w:pStyle w:val="TableTextX"/>
            </w:pPr>
            <w:r>
              <w:t xml:space="preserve">AUTH-01</w:t>
            </w:r>
          </w:p>
        </w:tc>
        <w:tc>
          <w:tcPr>
            <w:tcW w:w="2600" w:type="dxa"/>
            <w:vAlign w:val="center"/>
          </w:tcPr>
          <w:p>
            <w:pPr>
              <w:pStyle w:val="TableTextX"/>
            </w:pPr>
            <w:r>
              <w:t xml:space="preserve">Fixed — SMTP, site_url and redirect allow list</w:t>
            </w:r>
          </w:p>
        </w:tc>
      </w:tr>
      <w:tr>
        <w:tc>
          <w:tcPr>
            <w:tcW w:w="4200" w:type="dxa"/>
            <w:vAlign w:val="center"/>
          </w:tcPr>
          <w:p>
            <w:pPr>
              <w:pStyle w:val="TableTextX"/>
            </w:pPr>
            <w:r>
              <w:t xml:space="preserve">Recovery links landed on the resident report form</w:t>
            </w:r>
          </w:p>
        </w:tc>
        <w:tc>
          <w:tcPr>
            <w:tcW w:w="2200" w:type="dxa"/>
            <w:vAlign w:val="center"/>
          </w:tcPr>
          <w:p>
            <w:pPr>
              <w:pStyle w:val="TableTextX"/>
            </w:pPr>
            <w:r>
              <w:t xml:space="preserve">AUTH-03</w:t>
            </w:r>
          </w:p>
        </w:tc>
        <w:tc>
          <w:tcPr>
            <w:tcW w:w="2600" w:type="dxa"/>
            <w:vAlign w:val="center"/>
          </w:tcPr>
          <w:p>
            <w:pPr>
              <w:pStyle w:val="TableTextX"/>
            </w:pPr>
            <w:r>
              <w:t xml:space="preserve">Fixed — client-side routing</w:t>
            </w:r>
          </w:p>
        </w:tc>
      </w:tr>
      <w:tr>
        <w:tc>
          <w:tcPr>
            <w:tcW w:w="4200" w:type="dxa"/>
            <w:vAlign w:val="center"/>
          </w:tcPr>
          <w:p>
            <w:pPr>
              <w:pStyle w:val="TableTextX"/>
            </w:pPr>
            <w:r>
              <w:t xml:space="preserve">An MX check would have caught 1 typo in 8</w:t>
            </w:r>
          </w:p>
        </w:tc>
        <w:tc>
          <w:tcPr>
            <w:tcW w:w="2200" w:type="dxa"/>
            <w:vAlign w:val="center"/>
          </w:tcPr>
          <w:p>
            <w:pPr>
              <w:pStyle w:val="TableTextX"/>
            </w:pPr>
            <w:r>
              <w:t xml:space="preserve">VAL-06</w:t>
            </w:r>
          </w:p>
        </w:tc>
        <w:tc>
          <w:tcPr>
            <w:tcW w:w="2600" w:type="dxa"/>
            <w:vAlign w:val="center"/>
          </w:tcPr>
          <w:p>
            <w:pPr>
              <w:pStyle w:val="TableTextX"/>
            </w:pPr>
            <w:r>
              <w:t xml:space="preserve">Abandoned before being built</w:t>
            </w:r>
          </w:p>
        </w:tc>
      </w:tr>
      <w:tr>
        <w:tc>
          <w:tcPr>
            <w:tcW w:w="4200" w:type="dxa"/>
            <w:vAlign w:val="center"/>
          </w:tcPr>
          <w:p>
            <w:pPr>
              <w:pStyle w:val="TableTextX"/>
            </w:pPr>
            <w:r>
              <w:t xml:space="preserve">A partial config PATCH wiped the SMTP settings</w:t>
            </w:r>
          </w:p>
        </w:tc>
        <w:tc>
          <w:tcPr>
            <w:tcW w:w="2200" w:type="dxa"/>
            <w:vAlign w:val="center"/>
          </w:tcPr>
          <w:p>
            <w:pPr>
              <w:pStyle w:val="TableTextX"/>
            </w:pPr>
            <w:r>
              <w:t xml:space="preserve">Caused during this work</w:t>
            </w:r>
          </w:p>
        </w:tc>
        <w:tc>
          <w:tcPr>
            <w:tcW w:w="2600" w:type="dxa"/>
            <w:vAlign w:val="center"/>
          </w:tcPr>
          <w:p>
            <w:pPr>
              <w:pStyle w:val="TableTextX"/>
            </w:pPr>
            <w:r>
              <w:t xml:space="preserve">Re-entered by hand; recorded so it is not repeated</w:t>
            </w:r>
          </w:p>
        </w:tc>
      </w:tr>
    </w:tbl>
    <w:p>
      <w:pPr>
        <w:pStyle w:val="NoteX"/>
      </w:pPr>
      <w:r>
        <w:t xml:space="preserve">Two of these were introduced by the work that found them, and one — the SMTP wipe — was caused by the testing process itself rather than found by it. The Supabase auth config API treats every smtp_* field as one group, so patching a single key cleared the rest, including a password that cannot be read back.</w:t>
      </w:r>
    </w:p>
    <w:p>
      <w:pPr>
        <w:pStyle w:val="SpacerX"/>
      </w:pPr>
    </w:p>
    <w:p>
      <w:pPr>
        <w:pStyle w:val="Heading1"/>
      </w:pPr>
      <w:r>
        <w:t xml:space="preserve">15. Known Gaps</w:t>
      </w:r>
    </w:p>
    <w:p>
      <w:pPr>
        <w:pStyle w:val="BodyX"/>
      </w:pPr>
      <w:r>
        <w:t xml:space="preserve">Stated rather than omitted, so the record is not read as more complete than it is.</w:t>
      </w:r>
    </w:p>
    <w:p>
      <w:pPr>
        <w:pStyle w:val="BodyX"/>
      </w:pPr>
      <w:r>
        <w:t xml:space="preserve">•  There is no automated regression suite. Nothing here re-runs when code changes.</w:t>
      </w:r>
    </w:p>
    <w:p>
      <w:pPr>
        <w:pStyle w:val="BodyX"/>
      </w:pPr>
      <w:r>
        <w:t xml:space="preserve">•  The Telegram loop has not been exercised end to end with a real ticket (see section 9).</w:t>
      </w:r>
    </w:p>
    <w:p>
      <w:pPr>
        <w:pStyle w:val="BodyX"/>
      </w:pPr>
      <w:r>
        <w:t xml:space="preserve">•  The root cause of the large-photo submission failure is inferred, not captured (see section 8).</w:t>
      </w:r>
    </w:p>
    <w:p>
      <w:pPr>
        <w:pStyle w:val="BodyX"/>
      </w:pPr>
      <w:r>
        <w:t xml:space="preserve">•  Phone numbers were never validated; of four stored, one has eleven digits. Phone has since been withdrawn from the form.</w:t>
      </w:r>
    </w:p>
    <w:p>
      <w:pPr>
        <w:pStyle w:val="BodyX"/>
      </w:pPr>
      <w:r>
        <w:t xml:space="preserve">•  No load or concurrency testing has been done. The queue claim is designed against double-sends but has not been tested under parallel workers.</w:t>
      </w:r>
    </w:p>
    <w:p>
      <w:pPr>
        <w:pStyle w:val="BodyX"/>
      </w:pPr>
      <w:r>
        <w:t xml:space="preserve">•  No accessibility audit has been run beyond the keyboard and screen-reader affordances built into individual components.</w:t>
      </w:r>
    </w:p>
    <w:p>
      <w:pPr>
        <w:pStyle w:val="BodyX"/>
      </w:pPr>
      <w:r>
        <w:t xml:space="preserve">•  The invitation flow has not been run end to end: no staff account has yet been created by invitation and activated from the link.</w:t>
      </w:r>
    </w:p>
    <w:p>
      <w:pPr>
        <w:pStyle w:val="BodyX"/>
      </w:pPr>
      <w:r>
        <w:t xml:space="preserve">•  User deletion works and has been used in production (USR-08), but three refusals remain untested: self-delete, deleting a super admin, and reaching another department’s engineer.</w:t>
      </w:r>
    </w:p>
    <w:p>
      <w:pPr>
        <w:pStyle w:val="BodyX"/>
      </w:pPr>
      <w:r>
        <w:t xml:space="preserve">•  Email validation was verified by extracting the function’s source and running it locally. It has not been exercised through the live endpoint, which requires a staff session.</w:t>
      </w:r>
    </w:p>
    <w:p>
      <w:pPr>
        <w:pStyle w:val="SpacerX"/>
      </w:pPr>
    </w:p>
    <w:p>
      <w:pPr>
        <w:pStyle w:val="BodyX"/>
      </w:pPr>
      <w:r>
        <w:rPr>
          <w:b/>
        </w:rPr>
        <w:t xml:space="preserve">Assertions that did not survive checking.</w:t>
      </w:r>
      <w:r>
        <w:t xml:space="preserve"> Three claims made during this work turned out to be wrong and were corrected only because something was checked afterwards. They are listed because they say more about how far to trust an untested assertion than the passing cases do.</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4200"/>
        <w:gridCol w:w="4800"/>
      </w:tblGrid>
      <w:tr>
        <w:tc>
          <w:tcPr>
            <w:tcW w:w="4200" w:type="dxa"/>
            <w:shd w:val="clear" w:color="auto" w:fill="F1F5F9"/>
            <w:vAlign w:val="center"/>
          </w:tcPr>
          <w:p>
            <w:pPr>
              <w:pStyle w:val="TableTextX"/>
            </w:pPr>
            <w:r>
              <w:rPr>
                <w:b/>
              </w:rPr>
              <w:t xml:space="preserve">Claimed</w:t>
            </w:r>
          </w:p>
        </w:tc>
        <w:tc>
          <w:tcPr>
            <w:tcW w:w="4800" w:type="dxa"/>
            <w:shd w:val="clear" w:color="auto" w:fill="F1F5F9"/>
            <w:vAlign w:val="center"/>
          </w:tcPr>
          <w:p>
            <w:pPr>
              <w:pStyle w:val="TableTextX"/>
            </w:pPr>
            <w:r>
              <w:rPr>
                <w:b/>
              </w:rPr>
              <w:t xml:space="preserve">Actually</w:t>
            </w:r>
          </w:p>
        </w:tc>
      </w:tr>
      <w:tr>
        <w:tc>
          <w:tcPr>
            <w:tcW w:w="4200" w:type="dxa"/>
            <w:vAlign w:val="center"/>
          </w:tcPr>
          <w:p>
            <w:pPr>
              <w:pStyle w:val="TableTextX"/>
            </w:pPr>
            <w:r>
              <w:t xml:space="preserve">"The email arrived, so Gmail accepted the send"</w:t>
            </w:r>
          </w:p>
        </w:tc>
        <w:tc>
          <w:tcPr>
            <w:tcW w:w="4800" w:type="dxa"/>
            <w:vAlign w:val="center"/>
          </w:tcPr>
          <w:p>
            <w:pPr>
              <w:pStyle w:val="TableTextX"/>
            </w:pPr>
            <w:r>
              <w:t xml:space="preserve">No email had been sent at all. recovery_sent_at was null for every user</w:t>
            </w:r>
          </w:p>
        </w:tc>
      </w:tr>
      <w:tr>
        <w:tc>
          <w:tcPr>
            <w:tcW w:w="4200" w:type="dxa"/>
            <w:vAlign w:val="center"/>
          </w:tcPr>
          <w:p>
            <w:pPr>
              <w:pStyle w:val="TableTextX"/>
            </w:pPr>
            <w:r>
              <w:t xml:space="preserve">"The link will land on the set-password page"</w:t>
            </w:r>
          </w:p>
        </w:tc>
        <w:tc>
          <w:tcPr>
            <w:tcW w:w="4800" w:type="dxa"/>
            <w:vAlign w:val="center"/>
          </w:tcPr>
          <w:p>
            <w:pPr>
              <w:pStyle w:val="TableTextX"/>
            </w:pPr>
            <w:r>
              <w:t xml:space="preserve">It landed on the resident report form. A recovery link carries no destination of its own</w:t>
            </w:r>
          </w:p>
        </w:tc>
      </w:tr>
      <w:tr>
        <w:tc>
          <w:tcPr>
            <w:tcW w:w="4200" w:type="dxa"/>
            <w:vAlign w:val="center"/>
          </w:tcPr>
          <w:p>
            <w:pPr>
              <w:pStyle w:val="TableTextX"/>
            </w:pPr>
            <w:r>
              <w:t xml:space="preserve">"iitp.ac.in would be rejected by the MX check"</w:t>
            </w:r>
          </w:p>
        </w:tc>
        <w:tc>
          <w:tcPr>
            <w:tcW w:w="4800" w:type="dxa"/>
            <w:vAlign w:val="center"/>
          </w:tcPr>
          <w:p>
            <w:pPr>
              <w:pStyle w:val="TableTextX"/>
            </w:pPr>
            <w:r>
              <w:t xml:space="preserve">A counting bug in the test harness. The domain has an MX record and passes</w:t>
            </w:r>
          </w:p>
        </w:tc>
      </w:tr>
    </w:tbl>
    <w:sectPr>
      <w:pgSz w:w="11906" w:h="16838"/>
      <w:pgMar w:top="1021" w:right="1021" w:bottom="1021" w:left="1021" w:header="708" w:footer="708" w:gutter="0"/>
    </w:sectPr>
  </w:body>
</w:document>
</file>

<file path=word/styles.xml><?xml version="1.0" encoding="utf-8"?>
<w:styles xmlns:w="http://schemas.openxmlformats.org/wordprocessingml/2006/main">
  <w:docDefaults>
    <w:rPrDefault>
      <w:rPr>
        <w:rFonts w:ascii="Calibri" w:hAnsi="Calibri" w:cs="Calibri"/>
        <w:sz w:val="19"/>
        <w:szCs w:val="19"/>
      </w:rPr>
    </w:rPrDefault>
  </w:docDefaults>
  <w:style w:type="paragraph" w:default="1" w:styleId="Normal">
    <w:name w:val="Normal"/>
    <w:pPr>
      <w:spacing w:after="90" w:line="252" w:lineRule="auto"/>
    </w:pPr>
  </w:style>
  <w:style w:type="paragraph" w:styleId="TitleX">
    <w:name w:val="TitleX"/>
    <w:basedOn w:val="Normal"/>
    <w:pPr>
      <w:spacing w:before="0" w:after="40"/>
    </w:pPr>
    <w:rPr>
      <w:b/>
      <w:color w:val="0F766E"/>
      <w:sz w:val="48"/>
    </w:rPr>
  </w:style>
  <w:style w:type="paragraph" w:styleId="SubtitleX">
    <w:name w:val="SubtitleX"/>
    <w:basedOn w:val="Normal"/>
    <w:pPr>
      <w:spacing w:after="20"/>
    </w:pPr>
    <w:rPr>
      <w:color w:val="334155"/>
      <w:sz w:val="26"/>
    </w:rPr>
  </w:style>
  <w:style w:type="paragraph" w:styleId="MetaX">
    <w:name w:val="MetaX"/>
    <w:basedOn w:val="Normal"/>
    <w:pPr>
      <w:spacing w:after="140"/>
    </w:pPr>
    <w:rPr>
      <w:color w:val="64748B"/>
      <w:sz w:val="17"/>
    </w:rPr>
  </w:style>
  <w:style w:type="paragraph" w:styleId="Heading1">
    <w:name w:val="heading 1"/>
    <w:basedOn w:val="Normal"/>
    <w:pPr>
      <w:keepNext/>
      <w:spacing w:before="260" w:after="100"/>
      <w:pBdr>
        <w:bottom w:val="single" w:sz="6" w:space="3" w:color="99F6E4"/>
      </w:pBdr>
      <w:outlineLvl w:val="0"/>
    </w:pPr>
    <w:rPr>
      <w:b/>
      <w:color w:val="0F766E"/>
      <w:sz w:val="28"/>
    </w:rPr>
  </w:style>
  <w:style w:type="paragraph" w:styleId="Heading2">
    <w:name w:val="heading 2"/>
    <w:basedOn w:val="Normal"/>
    <w:pPr>
      <w:keepNext/>
      <w:spacing w:before="180" w:after="70"/>
      <w:outlineLvl w:val="1"/>
    </w:pPr>
    <w:rPr>
      <w:b/>
      <w:color w:val="0F172A"/>
      <w:sz w:val="22"/>
    </w:rPr>
  </w:style>
  <w:style w:type="paragraph" w:styleId="BodyX">
    <w:name w:val="BodyX"/>
    <w:basedOn w:val="Normal"/>
    <w:pPr>
      <w:spacing w:after="80"/>
    </w:pPr>
  </w:style>
  <w:style w:type="paragraph" w:styleId="NoteX">
    <w:name w:val="NoteX"/>
    <w:basedOn w:val="Normal"/>
    <w:pPr>
      <w:spacing w:before="90" w:after="110"/>
      <w:ind w:left="170" w:right="170"/>
      <w:pBdr>
        <w:left w:val="single" w:sz="16" w:space="7" w:color="14B8A6"/>
      </w:pBdr>
      <w:shd w:val="clear" w:color="auto" w:fill="F8FAFC"/>
    </w:pPr>
    <w:rPr>
      <w:i/>
      <w:color w:val="334155"/>
      <w:sz w:val="18"/>
    </w:rPr>
  </w:style>
  <w:style w:type="paragraph" w:styleId="TableTextX">
    <w:name w:val="TableTextX"/>
    <w:basedOn w:val="Normal"/>
    <w:pPr>
      <w:spacing w:before="30" w:after="30" w:line="240" w:lineRule="auto"/>
    </w:pPr>
    <w:rPr>
      <w:sz w:val="17"/>
    </w:rPr>
  </w:style>
  <w:style w:type="paragraph" w:styleId="SpacerX">
    <w:name w:val="SpacerX"/>
    <w:basedOn w:val="Normal"/>
    <w:pPr>
      <w:spacing w:after="0"/>
    </w:pPr>
    <w:rPr>
      <w:sz w:val="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