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X"/>
      </w:pPr>
      <w:r>
        <w:t xml:space="preserve">CivicPulse</w:t>
      </w:r>
    </w:p>
    <w:p>
      <w:pPr>
        <w:pStyle w:val="SubtitleX"/>
      </w:pPr>
      <w:r>
        <w:t xml:space="preserve">Product Requirements Document  ·  v6</w:t>
      </w:r>
    </w:p>
    <w:p>
      <w:pPr>
        <w:pStyle w:val="MetaX"/>
      </w:pPr>
      <w:r>
        <w:t xml:space="preserve">10 August 2026  ·  B4 Group 11 Capstone  ·  Describes the application as built and deployed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500"/>
        <w:gridCol w:w="7500"/>
      </w:tblGrid>
      <w:tr>
        <w:tc>
          <w:tcPr>
            <w:tcW w:w="1500" w:type="dxa"/>
            <w:shd w:val="clear" w:color="auto" w:fill="F1F5F9"/>
            <w:vAlign w:val="center"/>
          </w:tcPr>
          <w:p>
            <w:pPr>
              <w:pStyle w:val="TableTextX"/>
            </w:pPr>
            <w:r>
              <w:rPr>
                <w:b/>
              </w:rPr>
              <w:t xml:space="preserve">Live</w:t>
            </w:r>
          </w:p>
        </w:tc>
        <w:tc>
          <w:tcPr>
            <w:tcW w:w="7500" w:type="dxa"/>
            <w:shd w:val="clear" w:color="auto" w:fill="F1F5F9"/>
            <w:vAlign w:val="center"/>
          </w:tcPr>
          <w:p>
            <w:pPr>
              <w:pStyle w:val="TableTextX"/>
            </w:pPr>
            <w:r>
              <w:rPr>
                <w:b/>
              </w:rPr>
              <w:t xml:space="preserve">https://civicpulse-tan.vercel.app</w:t>
            </w:r>
          </w:p>
        </w:tc>
      </w:tr>
      <w:tr>
        <w:tc>
          <w:tcPr>
            <w:tcW w:w="1500" w:type="dxa"/>
            <w:vAlign w:val="center"/>
          </w:tcPr>
          <w:p>
            <w:pPr>
              <w:pStyle w:val="TableTextX"/>
            </w:pPr>
            <w:r>
              <w:t xml:space="preserve">Source</w:t>
            </w:r>
          </w:p>
        </w:tc>
        <w:tc>
          <w:tcPr>
            <w:tcW w:w="7500" w:type="dxa"/>
            <w:vAlign w:val="center"/>
          </w:tcPr>
          <w:p>
            <w:pPr>
              <w:pStyle w:val="TableTextX"/>
            </w:pPr>
            <w:r>
              <w:t xml:space="preserve">https://github.com/b4capstoneg11/civicpulse</w:t>
            </w:r>
          </w:p>
        </w:tc>
      </w:tr>
      <w:tr>
        <w:tc>
          <w:tcPr>
            <w:tcW w:w="1500" w:type="dxa"/>
            <w:vAlign w:val="center"/>
          </w:tcPr>
          <w:p>
            <w:pPr>
              <w:pStyle w:val="TableTextX"/>
            </w:pPr>
            <w:r>
              <w:t xml:space="preserve">Backend</w:t>
            </w:r>
          </w:p>
        </w:tc>
        <w:tc>
          <w:tcPr>
            <w:tcW w:w="7500" w:type="dxa"/>
            <w:vAlign w:val="center"/>
          </w:tcPr>
          <w:p>
            <w:pPr>
              <w:pStyle w:val="TableTextX"/>
            </w:pPr>
            <w:r>
              <w:t xml:space="preserve">Supabase aaerudjhudjoflsuzzgh · PostgreSQL 17 · ap-northeast-1</w:t>
            </w:r>
          </w:p>
        </w:tc>
      </w:tr>
    </w:tbl>
    <w:p>
      <w:pPr>
        <w:pStyle w:val="SpacerX"/>
      </w:pPr>
    </w:p>
    <w:p>
      <w:pPr>
        <w:pStyle w:val="BodyX"/>
      </w:pPr>
      <w:r>
        <w:rPr>
          <w:b/>
        </w:rPr>
        <w:t xml:space="preserve">What changed.</w:t>
      </w:r>
      <w:r>
        <w:t xml:space="preserve"> Everything below is implemented and deployed. Where the product could plausibly be assumed to do something it does not, that is stated rather than omitted. The table covers everything added since v3, the last widely circulated version.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800"/>
        <w:gridCol w:w="7200"/>
      </w:tblGrid>
      <w:tr>
        <w:tc>
          <w:tcPr>
            <w:tcW w:w="1800" w:type="dxa"/>
            <w:shd w:val="clear" w:color="auto" w:fill="F1F5F9"/>
            <w:vAlign w:val="center"/>
          </w:tcPr>
          <w:p>
            <w:pPr>
              <w:pStyle w:val="TableTextX"/>
            </w:pPr>
            <w:r>
              <w:rPr>
                <w:b/>
              </w:rPr>
              <w:t xml:space="preserve">Area</w:t>
            </w:r>
          </w:p>
        </w:tc>
        <w:tc>
          <w:tcPr>
            <w:tcW w:w="7200" w:type="dxa"/>
            <w:shd w:val="clear" w:color="auto" w:fill="F1F5F9"/>
            <w:vAlign w:val="center"/>
          </w:tcPr>
          <w:p>
            <w:pPr>
              <w:pStyle w:val="TableTextX"/>
            </w:pPr>
            <w:r>
              <w:rPr>
                <w:b/>
              </w:rPr>
              <w:t xml:space="preserve">Change</w:t>
            </w:r>
          </w:p>
        </w:tc>
      </w:tr>
      <w:tr>
        <w:tc>
          <w:tcPr>
            <w:tcW w:w="1800" w:type="dxa"/>
            <w:vAlign w:val="center"/>
          </w:tcPr>
          <w:p>
            <w:pPr>
              <w:pStyle w:val="TableTextX"/>
            </w:pPr>
            <w:r>
              <w:t xml:space="preserve">Analytics</w:t>
            </w:r>
          </w:p>
        </w:tc>
        <w:tc>
          <w:tcPr>
            <w:tcW w:w="7200" w:type="dxa"/>
            <w:vAlign w:val="center"/>
          </w:tcPr>
          <w:p>
            <w:pPr>
              <w:pStyle w:val="TableTextX"/>
            </w:pPr>
            <w:r>
              <w:t xml:space="preserve">New dashboard: four headline metrics, four charts, chart/table toggle, PDF export</w:t>
            </w:r>
          </w:p>
        </w:tc>
      </w:tr>
      <w:tr>
        <w:tc>
          <w:tcPr>
            <w:tcW w:w="1800" w:type="dxa"/>
            <w:vAlign w:val="center"/>
          </w:tcPr>
          <w:p>
            <w:pPr>
              <w:pStyle w:val="TableTextX"/>
            </w:pPr>
            <w:r>
              <w:t xml:space="preserve">AI assistant</w:t>
            </w:r>
          </w:p>
        </w:tc>
        <w:tc>
          <w:tcPr>
            <w:tcW w:w="7200" w:type="dxa"/>
            <w:vAlign w:val="center"/>
          </w:tcPr>
          <w:p>
            <w:pPr>
              <w:pStyle w:val="TableTextX"/>
            </w:pPr>
            <w:r>
              <w:t xml:space="preserve">New. v3 recorded that no assistant existed; one now ships, grounded on ticket data</w:t>
            </w:r>
          </w:p>
        </w:tc>
      </w:tr>
      <w:tr>
        <w:tc>
          <w:tcPr>
            <w:tcW w:w="1800" w:type="dxa"/>
            <w:vAlign w:val="center"/>
          </w:tcPr>
          <w:p>
            <w:pPr>
              <w:pStyle w:val="TableTextX"/>
            </w:pPr>
            <w:r>
              <w:t xml:space="preserve">Roles</w:t>
            </w:r>
          </w:p>
        </w:tc>
        <w:tc>
          <w:tcPr>
            <w:tcW w:w="7200" w:type="dxa"/>
            <w:vAlign w:val="center"/>
          </w:tcPr>
          <w:p>
            <w:pPr>
              <w:pStyle w:val="TableTextX"/>
            </w:pPr>
            <w:r>
              <w:t xml:space="preserve">Fourth role, Read-only Admin — sees everything, changes nothing</w:t>
            </w:r>
          </w:p>
        </w:tc>
      </w:tr>
      <w:tr>
        <w:tc>
          <w:tcPr>
            <w:tcW w:w="1800" w:type="dxa"/>
            <w:vAlign w:val="center"/>
          </w:tcPr>
          <w:p>
            <w:pPr>
              <w:pStyle w:val="TableTextX"/>
            </w:pPr>
            <w:r>
              <w:t xml:space="preserve">Deduplication</w:t>
            </w:r>
          </w:p>
        </w:tc>
        <w:tc>
          <w:tcPr>
            <w:tcW w:w="7200" w:type="dxa"/>
            <w:vAlign w:val="center"/>
          </w:tcPr>
          <w:p>
            <w:pPr>
              <w:pStyle w:val="TableTextX"/>
            </w:pPr>
            <w:r>
              <w:t xml:space="preserve">Rebuilt. Location is now a hard gate and the model compares the reports themselves</w:t>
            </w:r>
          </w:p>
        </w:tc>
      </w:tr>
      <w:tr>
        <w:tc>
          <w:tcPr>
            <w:tcW w:w="1800" w:type="dxa"/>
            <w:vAlign w:val="center"/>
          </w:tcPr>
          <w:p>
            <w:pPr>
              <w:pStyle w:val="TableTextX"/>
            </w:pPr>
            <w:r>
              <w:t xml:space="preserve">Appearance</w:t>
            </w:r>
          </w:p>
        </w:tc>
        <w:tc>
          <w:tcPr>
            <w:tcW w:w="7200" w:type="dxa"/>
            <w:vAlign w:val="center"/>
          </w:tcPr>
          <w:p>
            <w:pPr>
              <w:pStyle w:val="TableTextX"/>
            </w:pPr>
            <w:r>
              <w:t xml:space="preserve">Dark-first redesign with a light/dark/system toggle; shadcn/ui + Radix primitives</w:t>
            </w:r>
          </w:p>
        </w:tc>
      </w:tr>
      <w:tr>
        <w:tc>
          <w:tcPr>
            <w:tcW w:w="1800" w:type="dxa"/>
            <w:vAlign w:val="center"/>
          </w:tcPr>
          <w:p>
            <w:pPr>
              <w:pStyle w:val="TableTextX"/>
            </w:pPr>
            <w:r>
              <w:t xml:space="preserve">Security</w:t>
            </w:r>
          </w:p>
        </w:tc>
        <w:tc>
          <w:tcPr>
            <w:tcW w:w="7200" w:type="dxa"/>
            <w:vAlign w:val="center"/>
          </w:tcPr>
          <w:p>
            <w:pPr>
              <w:pStyle w:val="TableTextX"/>
            </w:pPr>
            <w:r>
              <w:t xml:space="preserve">Closed a self-promotion hole that let any staff member make themselves super admin</w:t>
            </w:r>
          </w:p>
        </w:tc>
      </w:tr>
      <w:tr>
        <w:tc>
          <w:tcPr>
            <w:tcW w:w="1800" w:type="dxa"/>
            <w:vAlign w:val="center"/>
          </w:tcPr>
          <w:p>
            <w:pPr>
              <w:pStyle w:val="TableTextX"/>
            </w:pPr>
            <w:r>
              <w:t xml:space="preserve">Navigation</w:t>
            </w:r>
          </w:p>
        </w:tc>
        <w:tc>
          <w:tcPr>
            <w:tcW w:w="7200" w:type="dxa"/>
            <w:vAlign w:val="center"/>
          </w:tcPr>
          <w:p>
            <w:pPr>
              <w:pStyle w:val="TableTextX"/>
            </w:pPr>
            <w:r>
              <w:t xml:space="preserve">Ticket coordinates now link straight into Google Maps directions for the crew</w:t>
            </w:r>
          </w:p>
        </w:tc>
      </w:tr>
      <w:tr>
        <w:tc>
          <w:tcPr>
            <w:tcW w:w="1800" w:type="dxa"/>
            <w:vAlign w:val="center"/>
          </w:tcPr>
          <w:p>
            <w:pPr>
              <w:pStyle w:val="TableTextX"/>
            </w:pPr>
            <w:r>
              <w:t xml:space="preserve">Notifications</w:t>
            </w:r>
          </w:p>
        </w:tc>
        <w:tc>
          <w:tcPr>
            <w:tcW w:w="7200" w:type="dxa"/>
            <w:vAlign w:val="center"/>
          </w:tcPr>
          <w:p>
            <w:pPr>
              <w:pStyle w:val="TableTextX"/>
            </w:pPr>
            <w:r>
              <w:t xml:space="preserve">Email updates now actually send. v5 recorded them as logged but never delivered</w:t>
            </w:r>
          </w:p>
        </w:tc>
      </w:tr>
      <w:tr>
        <w:tc>
          <w:tcPr>
            <w:tcW w:w="1800" w:type="dxa"/>
            <w:vAlign w:val="center"/>
          </w:tcPr>
          <w:p>
            <w:pPr>
              <w:pStyle w:val="TableTextX"/>
            </w:pPr>
            <w:r>
              <w:t xml:space="preserve">Unsubscribe</w:t>
            </w:r>
          </w:p>
        </w:tc>
        <w:tc>
          <w:tcPr>
            <w:tcW w:w="7200" w:type="dxa"/>
            <w:vAlign w:val="center"/>
          </w:tcPr>
          <w:p>
            <w:pPr>
              <w:pStyle w:val="TableTextX"/>
            </w:pPr>
            <w:r>
              <w:t xml:space="preserve">New public page; every email carries a working opt-out link</w:t>
            </w:r>
          </w:p>
        </w:tc>
      </w:tr>
      <w:tr>
        <w:tc>
          <w:tcPr>
            <w:tcW w:w="1800" w:type="dxa"/>
            <w:vAlign w:val="center"/>
          </w:tcPr>
          <w:p>
            <w:pPr>
              <w:pStyle w:val="TableTextX"/>
            </w:pPr>
            <w:r>
              <w:t xml:space="preserve">Security</w:t>
            </w:r>
          </w:p>
        </w:tc>
        <w:tc>
          <w:tcPr>
            <w:tcW w:w="7200" w:type="dxa"/>
            <w:vAlign w:val="center"/>
          </w:tcPr>
          <w:p>
            <w:pPr>
              <w:pStyle w:val="TableTextX"/>
            </w:pPr>
            <w:r>
              <w:t xml:space="preserve">Closed a reporter-contact leak and an open email relay — see section 7.7</w:t>
            </w:r>
          </w:p>
        </w:tc>
      </w:tr>
      <w:tr>
        <w:tc>
          <w:tcPr>
            <w:tcW w:w="1800" w:type="dxa"/>
            <w:vAlign w:val="center"/>
          </w:tcPr>
          <w:p>
            <w:pPr>
              <w:pStyle w:val="TableTextX"/>
            </w:pPr>
            <w:r>
              <w:t xml:space="preserve">Reliability</w:t>
            </w:r>
          </w:p>
        </w:tc>
        <w:tc>
          <w:tcPr>
            <w:tcW w:w="7200" w:type="dxa"/>
            <w:vAlign w:val="center"/>
          </w:tcPr>
          <w:p>
            <w:pPr>
              <w:pStyle w:val="TableTextX"/>
            </w:pPr>
            <w:r>
              <w:t xml:space="preserve">The photo sent for AI analysis is downscaled first; submissions were failing on size</w:t>
            </w:r>
          </w:p>
        </w:tc>
      </w:tr>
    </w:tbl>
    <w:p>
      <w:pPr>
        <w:pStyle w:val="MetaX"/>
      </w:pPr>
      <w:r>
        <w:t xml:space="preserve">v6 adds email notifications (section 7) and the security work that had to precede them. Everything carried over from v5 is unchanged.</w:t>
      </w:r>
    </w:p>
    <w:p>
      <w:pPr>
        <w:pStyle w:val="SpacerX"/>
      </w:pPr>
    </w:p>
    <w:p>
      <w:pPr>
        <w:pStyle w:val="Heading1"/>
      </w:pPr>
      <w:r>
        <w:t xml:space="preserve">1. Product Overview &amp; Vision</w:t>
      </w:r>
    </w:p>
    <w:p>
      <w:pPr>
        <w:pStyle w:val="BodyX"/>
      </w:pPr>
      <w:r>
        <w:t xml:space="preserve">Civic issues are reported today by phone, paper and social media: unstructured, triaged by hand, duplicated across residents, with no reference number and no visible progress.</w:t>
      </w:r>
    </w:p>
    <w:p>
      <w:pPr>
        <w:pStyle w:val="BodyX"/>
      </w:pPr>
      <w:r>
        <w:rPr>
          <w:b/>
        </w:rPr>
        <w:t xml:space="preserve">Vision.</w:t>
      </w:r>
      <w:r>
        <w:t xml:space="preserve"> A resident submits a photo, a sentence and their location, and gets a ticket number instantly. Everything after is automatic — classify, route, deduplicate, assign to an engineer who is actually on shift. The resident tracks it to closure and confirms the work. The resident does the minimum; the system does the rest.</w:t>
      </w:r>
    </w:p>
    <w:p>
      <w:pPr>
        <w:pStyle w:val="BodyX"/>
      </w:pPr>
      <w:r>
        <w:t xml:space="preserve">Built and working:</w:t>
      </w:r>
    </w:p>
    <w:p>
      <w:pPr>
        <w:pStyle w:val="BodyX"/>
      </w:pPr>
      <w:r>
        <w:t xml:space="preserve">•  Anonymous submission — photo, comment, GPS with visible coordinates; no account required</w:t>
      </w:r>
    </w:p>
    <w:p>
      <w:pPr>
        <w:pStyle w:val="BodyX"/>
      </w:pPr>
      <w:r>
        <w:t xml:space="preserve">•  AI classification: issue type, department, priority, summary</w:t>
      </w:r>
    </w:p>
    <w:p>
      <w:pPr>
        <w:pStyle w:val="BodyX"/>
      </w:pPr>
      <w:r>
        <w:t xml:space="preserve">•  Duplicate detection before the ticket is created, decided by location and by comparing the reports</w:t>
      </w:r>
    </w:p>
    <w:p>
      <w:pPr>
        <w:pStyle w:val="BodyX"/>
      </w:pPr>
      <w:r>
        <w:t xml:space="preserve">•  Four staff roles, scoped per department, enforced in the database</w:t>
      </w:r>
    </w:p>
    <w:p>
      <w:pPr>
        <w:pStyle w:val="BodyX"/>
      </w:pPr>
      <w:r>
        <w:t xml:space="preserve">•  Weekly IST roster + load-based auto-assignment; off-hours queue drained by a scheduled sweep</w:t>
      </w:r>
    </w:p>
    <w:p>
      <w:pPr>
        <w:pStyle w:val="BodyX"/>
      </w:pPr>
      <w:r>
        <w:t xml:space="preserve">•  Kanban tracking, manual reassignment, resolution requiring photo proof</w:t>
      </w:r>
    </w:p>
    <w:p>
      <w:pPr>
        <w:pStyle w:val="BodyX"/>
      </w:pPr>
      <w:r>
        <w:t xml:space="preserve">•  One-tap directions from a ticket to the reported location, for the crew on the way</w:t>
      </w:r>
    </w:p>
    <w:p>
      <w:pPr>
        <w:pStyle w:val="BodyX"/>
      </w:pPr>
      <w:r>
        <w:t xml:space="preserve">•  Resident rating; 1–2 reopens the ticket, subject to a reopen limit</w:t>
      </w:r>
    </w:p>
    <w:p>
      <w:pPr>
        <w:pStyle w:val="BodyX"/>
      </w:pPr>
      <w:r>
        <w:t xml:space="preserve">•  Email updates to residents who leave an address, on every status change, with a working opt-out</w:t>
      </w:r>
    </w:p>
    <w:p>
      <w:pPr>
        <w:pStyle w:val="BodyX"/>
      </w:pPr>
      <w:r>
        <w:t xml:space="preserve">•  Audit trail on every status change</w:t>
      </w:r>
    </w:p>
    <w:p>
      <w:pPr>
        <w:pStyle w:val="BodyX"/>
      </w:pPr>
      <w:r>
        <w:t xml:space="preserve">•  Analytics dashboard with PDF export, scoped to what the viewer may see</w:t>
      </w:r>
    </w:p>
    <w:p>
      <w:pPr>
        <w:pStyle w:val="BodyX"/>
      </w:pPr>
      <w:r>
        <w:t xml:space="preserve">•  Role-scoped AI assistant answering questions from live ticket data</w:t>
      </w:r>
    </w:p>
    <w:p>
      <w:pPr>
        <w:pStyle w:val="BodyX"/>
      </w:pPr>
      <w:r>
        <w:t xml:space="preserve">•  Light and dark themes, following the OS by default</w:t>
      </w:r>
    </w:p>
    <w:p>
      <w:pPr>
        <w:pStyle w:val="NoteX"/>
      </w:pPr>
      <w:r>
        <w:t xml:space="preserve">Email is delivered; SMS and Telegram are not. A resident who leaves a phone number is recorded and can still track the ticket, but receives no message — no SMS provider is connected. Section 7 covers what does send.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5400"/>
        <w:gridCol w:w="3600"/>
      </w:tblGrid>
      <w:tr>
        <w:tc>
          <w:tcPr>
            <w:tcW w:w="5400" w:type="dxa"/>
            <w:shd w:val="clear" w:color="auto" w:fill="F1F5F9"/>
            <w:vAlign w:val="center"/>
          </w:tcPr>
          <w:p>
            <w:pPr>
              <w:pStyle w:val="TableTextX"/>
            </w:pPr>
            <w:r>
              <w:rPr>
                <w:b/>
              </w:rPr>
              <w:t xml:space="preserve">Metric</w:t>
            </w:r>
          </w:p>
        </w:tc>
        <w:tc>
          <w:tcPr>
            <w:tcW w:w="3600" w:type="dxa"/>
            <w:shd w:val="clear" w:color="auto" w:fill="F1F5F9"/>
            <w:vAlign w:val="center"/>
          </w:tcPr>
          <w:p>
            <w:pPr>
              <w:pStyle w:val="TableTextX"/>
            </w:pPr>
            <w:r>
              <w:rPr>
                <w:b/>
              </w:rPr>
              <w:t xml:space="preserve">Target</w:t>
            </w:r>
          </w:p>
        </w:tc>
      </w:tr>
      <w:tr>
        <w:tc>
          <w:tcPr>
            <w:tcW w:w="5400" w:type="dxa"/>
            <w:vAlign w:val="center"/>
          </w:tcPr>
          <w:p>
            <w:pPr>
              <w:pStyle w:val="TableTextX"/>
            </w:pPr>
            <w:r>
              <w:t xml:space="preserve">Time to submit</w:t>
            </w:r>
          </w:p>
        </w:tc>
        <w:tc>
          <w:tcPr>
            <w:tcW w:w="3600" w:type="dxa"/>
            <w:vAlign w:val="center"/>
          </w:tcPr>
          <w:p>
            <w:pPr>
              <w:pStyle w:val="TableTextX"/>
            </w:pPr>
            <w:r>
              <w:t xml:space="preserve">under 30 s</w:t>
            </w:r>
          </w:p>
        </w:tc>
      </w:tr>
      <w:tr>
        <w:tc>
          <w:tcPr>
            <w:tcW w:w="5400" w:type="dxa"/>
            <w:vAlign w:val="center"/>
          </w:tcPr>
          <w:p>
            <w:pPr>
              <w:pStyle w:val="TableTextX"/>
            </w:pPr>
            <w:r>
              <w:t xml:space="preserve">Correct department routing</w:t>
            </w:r>
          </w:p>
        </w:tc>
        <w:tc>
          <w:tcPr>
            <w:tcW w:w="3600" w:type="dxa"/>
            <w:vAlign w:val="center"/>
          </w:tcPr>
          <w:p>
            <w:pPr>
              <w:pStyle w:val="TableTextX"/>
            </w:pPr>
            <w:r>
              <w:t xml:space="preserve">≥ 90%</w:t>
            </w:r>
          </w:p>
        </w:tc>
      </w:tr>
      <w:tr>
        <w:tc>
          <w:tcPr>
            <w:tcW w:w="5400" w:type="dxa"/>
            <w:vAlign w:val="center"/>
          </w:tcPr>
          <w:p>
            <w:pPr>
              <w:pStyle w:val="TableTextX"/>
            </w:pPr>
            <w:r>
              <w:t xml:space="preserve">Duplicates prevented</w:t>
            </w:r>
          </w:p>
        </w:tc>
        <w:tc>
          <w:tcPr>
            <w:tcW w:w="3600" w:type="dxa"/>
            <w:vAlign w:val="center"/>
          </w:tcPr>
          <w:p>
            <w:pPr>
              <w:pStyle w:val="TableTextX"/>
            </w:pPr>
            <w:r>
              <w:t xml:space="preserve">≥ 70%</w:t>
            </w:r>
          </w:p>
        </w:tc>
      </w:tr>
      <w:tr>
        <w:tc>
          <w:tcPr>
            <w:tcW w:w="5400" w:type="dxa"/>
            <w:vAlign w:val="center"/>
          </w:tcPr>
          <w:p>
            <w:pPr>
              <w:pStyle w:val="TableTextX"/>
            </w:pPr>
            <w:r>
              <w:t xml:space="preserve">Auto-assigned during shift hours</w:t>
            </w:r>
          </w:p>
        </w:tc>
        <w:tc>
          <w:tcPr>
            <w:tcW w:w="3600" w:type="dxa"/>
            <w:vAlign w:val="center"/>
          </w:tcPr>
          <w:p>
            <w:pPr>
              <w:pStyle w:val="TableTextX"/>
            </w:pPr>
            <w:r>
              <w:t xml:space="preserve">≥ 95%</w:t>
            </w:r>
          </w:p>
        </w:tc>
      </w:tr>
      <w:tr>
        <w:tc>
          <w:tcPr>
            <w:tcW w:w="5400" w:type="dxa"/>
            <w:vAlign w:val="center"/>
          </w:tcPr>
          <w:p>
            <w:pPr>
              <w:pStyle w:val="TableTextX"/>
            </w:pPr>
            <w:r>
              <w:t xml:space="preserve">Resident confirmation rate</w:t>
            </w:r>
          </w:p>
        </w:tc>
        <w:tc>
          <w:tcPr>
            <w:tcW w:w="3600" w:type="dxa"/>
            <w:vAlign w:val="center"/>
          </w:tcPr>
          <w:p>
            <w:pPr>
              <w:pStyle w:val="TableTextX"/>
            </w:pPr>
            <w:r>
              <w:t xml:space="preserve">≥ 50%</w:t>
            </w:r>
          </w:p>
        </w:tc>
      </w:tr>
      <w:tr>
        <w:tc>
          <w:tcPr>
            <w:tcW w:w="5400" w:type="dxa"/>
            <w:vAlign w:val="center"/>
          </w:tcPr>
          <w:p>
            <w:pPr>
              <w:pStyle w:val="TableTextX"/>
            </w:pPr>
            <w:r>
              <w:t xml:space="preserve">Reopen rate</w:t>
            </w:r>
          </w:p>
        </w:tc>
        <w:tc>
          <w:tcPr>
            <w:tcW w:w="3600" w:type="dxa"/>
            <w:vAlign w:val="center"/>
          </w:tcPr>
          <w:p>
            <w:pPr>
              <w:pStyle w:val="TableTextX"/>
            </w:pPr>
            <w:r>
              <w:t xml:space="preserve">≤ 15%</w:t>
            </w:r>
          </w:p>
        </w:tc>
      </w:tr>
    </w:tbl>
    <w:p>
      <w:pPr>
        <w:pStyle w:val="SpacerX"/>
      </w:pPr>
    </w:p>
    <w:p>
      <w:pPr>
        <w:pStyle w:val="Heading1"/>
      </w:pPr>
      <w:r>
        <w:t xml:space="preserve">2. Design System &amp; Aesthetics</w:t>
      </w:r>
    </w:p>
    <w:p>
      <w:pPr>
        <w:pStyle w:val="BodyX"/>
      </w:pPr>
      <w:r>
        <w:t xml:space="preserve">Restrained by design: generous whitespace, one accent colour, no decoration that carries no information. Grouping via spacing first, then borders, then fills. v3 described a light-only palette; the application is now a dark-first dashboard that also ships a full light theme.</w:t>
      </w:r>
    </w:p>
    <w:p>
      <w:pPr>
        <w:pStyle w:val="BodyX"/>
      </w:pPr>
      <w:r>
        <w:t xml:space="preserve">•  One accent — teal for anything interactive or primary; semantic colour reserved for state.</w:t>
      </w:r>
    </w:p>
    <w:p>
      <w:pPr>
        <w:pStyle w:val="BodyX"/>
      </w:pPr>
      <w:r>
        <w:t xml:space="preserve">•  Colour is never the only signal — every state carries a text label, so it survives colour blindness and greyscale.</w:t>
      </w:r>
    </w:p>
    <w:p>
      <w:pPr>
        <w:pStyle w:val="BodyX"/>
      </w:pPr>
      <w:r>
        <w:t xml:space="preserve">•  Motion confirms, never entertains — transform/opacity only, suppressed under prefers-reduced-motion.</w:t>
      </w:r>
    </w:p>
    <w:p>
      <w:pPr>
        <w:pStyle w:val="BodyX"/>
      </w:pPr>
      <w:r>
        <w:t xml:space="preserve">•  One primary action per screen.</w:t>
      </w:r>
    </w:p>
    <w:p>
      <w:pPr>
        <w:pStyle w:val="SpacerX"/>
      </w:pPr>
    </w:p>
    <w:p>
      <w:pPr>
        <w:pStyle w:val="BodyX"/>
      </w:pPr>
      <w:r>
        <w:rPr>
          <w:b/>
        </w:rPr>
        <w:t xml:space="preserve">Tokens.</w:t>
      </w:r>
      <w:r>
        <w:t xml:space="preserve"> Every colour is a token defined once per theme, so a component never hard-codes a light or dark value: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600"/>
        <w:gridCol w:w="6400"/>
      </w:tblGrid>
      <w:tr>
        <w:tc>
          <w:tcPr>
            <w:tcW w:w="2600" w:type="dxa"/>
            <w:shd w:val="clear" w:color="auto" w:fill="F1F5F9"/>
            <w:vAlign w:val="center"/>
          </w:tcPr>
          <w:p>
            <w:pPr>
              <w:pStyle w:val="TableTextX"/>
            </w:pPr>
            <w:r>
              <w:rPr>
                <w:b/>
              </w:rPr>
              <w:t xml:space="preserve">Token</w:t>
            </w:r>
          </w:p>
        </w:tc>
        <w:tc>
          <w:tcPr>
            <w:tcW w:w="6400" w:type="dxa"/>
            <w:shd w:val="clear" w:color="auto" w:fill="F1F5F9"/>
            <w:vAlign w:val="center"/>
          </w:tcPr>
          <w:p>
            <w:pPr>
              <w:pStyle w:val="TableTextX"/>
            </w:pPr>
            <w:r>
              <w:rPr>
                <w:b/>
              </w:rPr>
              <w:t xml:space="preserve">Use</w:t>
            </w:r>
          </w:p>
        </w:tc>
      </w:tr>
      <w:tr>
        <w:tc>
          <w:tcPr>
            <w:tcW w:w="2600" w:type="dxa"/>
            <w:vAlign w:val="center"/>
          </w:tcPr>
          <w:p>
            <w:pPr>
              <w:pStyle w:val="TableTextX"/>
            </w:pPr>
            <w:r>
              <w:t xml:space="preserve">brand / brand-hi / brand-wash</w:t>
            </w:r>
          </w:p>
        </w:tc>
        <w:tc>
          <w:tcPr>
            <w:tcW w:w="6400" w:type="dxa"/>
            <w:vAlign w:val="center"/>
          </w:tcPr>
          <w:p>
            <w:pPr>
              <w:pStyle w:val="TableTextX"/>
            </w:pPr>
            <w:r>
              <w:t xml:space="preserve">Primary buttons, active nav, links, focus rings</w:t>
            </w:r>
          </w:p>
        </w:tc>
      </w:tr>
      <w:tr>
        <w:tc>
          <w:tcPr>
            <w:tcW w:w="2600" w:type="dxa"/>
            <w:vAlign w:val="center"/>
          </w:tcPr>
          <w:p>
            <w:pPr>
              <w:pStyle w:val="TableTextX"/>
            </w:pPr>
            <w:r>
              <w:t xml:space="preserve">canvas · panel · raised</w:t>
            </w:r>
          </w:p>
        </w:tc>
        <w:tc>
          <w:tcPr>
            <w:tcW w:w="6400" w:type="dxa"/>
            <w:vAlign w:val="center"/>
          </w:tcPr>
          <w:p>
            <w:pPr>
              <w:pStyle w:val="TableTextX"/>
            </w:pPr>
            <w:r>
              <w:t xml:space="preserve">Page ground, surfaces, and raised surfaces such as Kanban columns</w:t>
            </w:r>
          </w:p>
        </w:tc>
      </w:tr>
      <w:tr>
        <w:tc>
          <w:tcPr>
            <w:tcW w:w="2600" w:type="dxa"/>
            <w:vAlign w:val="center"/>
          </w:tcPr>
          <w:p>
            <w:pPr>
              <w:pStyle w:val="TableTextX"/>
            </w:pPr>
            <w:r>
              <w:t xml:space="preserve">ink · ink-soft · subtle</w:t>
            </w:r>
          </w:p>
        </w:tc>
        <w:tc>
          <w:tcPr>
            <w:tcW w:w="6400" w:type="dxa"/>
            <w:vAlign w:val="center"/>
          </w:tcPr>
          <w:p>
            <w:pPr>
              <w:pStyle w:val="TableTextX"/>
            </w:pPr>
            <w:r>
              <w:t xml:space="preserve">Primary, secondary and tertiary text</w:t>
            </w:r>
          </w:p>
        </w:tc>
      </w:tr>
      <w:tr>
        <w:tc>
          <w:tcPr>
            <w:tcW w:w="2600" w:type="dxa"/>
            <w:vAlign w:val="center"/>
          </w:tcPr>
          <w:p>
            <w:pPr>
              <w:pStyle w:val="TableTextX"/>
            </w:pPr>
            <w:r>
              <w:t xml:space="preserve">danger · warn · subtle</w:t>
            </w:r>
          </w:p>
        </w:tc>
        <w:tc>
          <w:tcPr>
            <w:tcW w:w="6400" w:type="dxa"/>
            <w:vAlign w:val="center"/>
          </w:tcPr>
          <w:p>
            <w:pPr>
              <w:pStyle w:val="TableTextX"/>
            </w:pPr>
            <w:r>
              <w:t xml:space="preserve">Priority: high · medium · low</w:t>
            </w:r>
          </w:p>
        </w:tc>
      </w:tr>
      <w:tr>
        <w:tc>
          <w:tcPr>
            <w:tcW w:w="2600" w:type="dxa"/>
            <w:vAlign w:val="center"/>
          </w:tcPr>
          <w:p>
            <w:pPr>
              <w:pStyle w:val="TableTextX"/>
            </w:pPr>
            <w:r>
              <w:t xml:space="preserve">ok · warn · danger</w:t>
            </w:r>
          </w:p>
        </w:tc>
        <w:tc>
          <w:tcPr>
            <w:tcW w:w="6400" w:type="dxa"/>
            <w:vAlign w:val="center"/>
          </w:tcPr>
          <w:p>
            <w:pPr>
              <w:pStyle w:val="TableTextX"/>
            </w:pPr>
            <w:r>
              <w:t xml:space="preserve">Resolved · queued/in-progress · reopened</w:t>
            </w:r>
          </w:p>
        </w:tc>
      </w:tr>
      <w:tr>
        <w:tc>
          <w:tcPr>
            <w:tcW w:w="2600" w:type="dxa"/>
            <w:vAlign w:val="center"/>
          </w:tcPr>
          <w:p>
            <w:pPr>
              <w:pStyle w:val="TableTextX"/>
            </w:pPr>
            <w:r>
              <w:t xml:space="preserve">violet</w:t>
            </w:r>
          </w:p>
        </w:tc>
        <w:tc>
          <w:tcPr>
            <w:tcW w:w="6400" w:type="dxa"/>
            <w:vAlign w:val="center"/>
          </w:tcPr>
          <w:p>
            <w:pPr>
              <w:pStyle w:val="TableTextX"/>
            </w:pPr>
            <w:r>
              <w:t xml:space="preserve">Super admin role badge</w:t>
            </w:r>
          </w:p>
        </w:tc>
      </w:tr>
      <w:tr>
        <w:tc>
          <w:tcPr>
            <w:tcW w:w="2600" w:type="dxa"/>
            <w:vAlign w:val="center"/>
          </w:tcPr>
          <w:p>
            <w:pPr>
              <w:pStyle w:val="TableTextX"/>
            </w:pPr>
            <w:r>
              <w:t xml:space="preserve">raised + line-strong</w:t>
            </w:r>
          </w:p>
        </w:tc>
        <w:tc>
          <w:tcPr>
            <w:tcW w:w="6400" w:type="dxa"/>
            <w:vAlign w:val="center"/>
          </w:tcPr>
          <w:p>
            <w:pPr>
              <w:pStyle w:val="TableTextX"/>
            </w:pPr>
            <w:r>
              <w:t xml:space="preserve">Read-only admin badge — deliberately the muted slot, since the role acts on nothing</w:t>
            </w:r>
          </w:p>
        </w:tc>
      </w:tr>
    </w:tbl>
    <w:p>
      <w:pPr>
        <w:pStyle w:val="SpacerX"/>
      </w:pPr>
    </w:p>
    <w:p>
      <w:pPr>
        <w:pStyle w:val="BodyX"/>
      </w:pPr>
      <w:r>
        <w:rPr>
          <w:b/>
        </w:rPr>
        <w:t xml:space="preserve">Theme.</w:t>
      </w:r>
      <w:r>
        <w:t xml:space="preserve"> Three states, not two: Light, Dark and System. System is the default and keeps following the OS after the fact. The choice persists, and the resolved theme is written to the root element as both data-theme and the .dark class, because shadcn/ui’s dark variant matches the class while our own selectors read the attribute. Keeping both in step is what stops the two halves of the palette disagreeing.</w:t>
      </w:r>
    </w:p>
    <w:p>
      <w:pPr>
        <w:pStyle w:val="BodyX"/>
      </w:pPr>
      <w:r>
        <w:rPr>
          <w:b/>
        </w:rPr>
        <w:t xml:space="preserve">Type.</w:t>
      </w:r>
      <w:r>
        <w:t xml:space="preserve"> Geist Variable, self-hosted through Fontsource so no third-party request blocks first paint. Page title 1.5 rem/600; body 0.875 rem; metadata 0.75 rem. Ticket IDs and coordinates are monospace with tabular figures, and ticket IDs carry translate="no".</w:t>
      </w:r>
    </w:p>
    <w:p>
      <w:pPr>
        <w:pStyle w:val="BodyX"/>
      </w:pPr>
      <w:r>
        <w:rPr>
          <w:b/>
        </w:rPr>
        <w:t xml:space="preserve">Component library.</w:t>
      </w:r>
      <w:r>
        <w:t xml:space="preserve"> shadcn/ui components live in the repository as source, not as a dependency, so they are edited like any other file. Dialog, Sheet, Select, DropdownMenu, Table, Tabs, Tooltip, Skeleton and Sonner toasts are Radix primitives underneath, which is where the modal’s focus management and the listbox keyboard behaviour come from.</w:t>
      </w:r>
    </w:p>
    <w:p>
      <w:pPr>
        <w:pStyle w:val="BodyX"/>
      </w:pPr>
      <w:r>
        <w:t xml:space="preserve">Accessibility is in the primitives, not a later audit:</w:t>
      </w:r>
    </w:p>
    <w:p>
      <w:pPr>
        <w:pStyle w:val="BodyX"/>
      </w:pPr>
      <w:r>
        <w:t xml:space="preserve">•  Visible focus-visible ring on every interactive element; every control has a real label (never a placeholder).</w:t>
      </w:r>
    </w:p>
    <w:p>
      <w:pPr>
        <w:pStyle w:val="BodyX"/>
      </w:pPr>
      <w:r>
        <w:t xml:space="preserve">•  Modal is a true dialog — aria-modal, Escape, focus trapped and restored, background scroll locked.</w:t>
      </w:r>
    </w:p>
    <w:p>
      <w:pPr>
        <w:pStyle w:val="BodyX"/>
      </w:pPr>
      <w:r>
        <w:t xml:space="preserve">•  Kanban is fully keyboard operable: Enter opens, Space lifts, arrows move.</w:t>
      </w:r>
    </w:p>
    <w:p>
      <w:pPr>
        <w:pStyle w:val="BodyX"/>
      </w:pPr>
      <w:r>
        <w:t xml:space="preserve">•  Loading states are skeletons shaped like the content, announced once via role="status" with the blocks aria-hidden.</w:t>
      </w:r>
    </w:p>
    <w:p>
      <w:pPr>
        <w:pStyle w:val="BodyX"/>
      </w:pPr>
      <w:r>
        <w:t xml:space="preserve">•  Skip-to-content link; Intl-formatted dates and numbers; safe truncation via min-w-0.</w:t>
      </w:r>
    </w:p>
    <w:p>
      <w:pPr>
        <w:pStyle w:val="NoteX"/>
      </w:pPr>
      <w:r>
        <w:t xml:space="preserve">Found and fixed in browser testing: a label pointing at the location button replaced its visible text as the accessible name — screen readers said "Location", not "Capture My Location" (WCAG 2.5.3). Now a fieldset/legend.</w:t>
      </w:r>
    </w:p>
    <w:p>
      <w:pPr>
        <w:pStyle w:val="BodyX"/>
      </w:pPr>
      <w:r>
        <w:rPr>
          <w:b/>
        </w:rPr>
        <w:t xml:space="preserve">One consequence of Radix.</w:t>
      </w:r>
      <w:r>
        <w:t xml:space="preserve"> Radix restores focus to a DialogTrigger, and the ticket modal has none — its trigger is a Kanban card in another component that unmounts on close. Focus is therefore captured on first render and restored on the next frame, re-found by aria-label because the list behind may have re-rendered. Without it a keyboard user lands on &lt;body&gt;.</w:t>
      </w:r>
    </w:p>
    <w:p>
      <w:pPr>
        <w:pStyle w:val="BodyX"/>
      </w:pPr>
      <w:r>
        <w:rPr>
          <w:b/>
        </w:rPr>
        <w:t xml:space="preserve">Known rough edges.</w:t>
      </w:r>
      <w:r>
        <w:t xml:space="preserve"> The Kanban scrolls horizontally past six columns but offers no visual affordance that it does. The roster hours list is one row per engineer per day and will not scale. On a very long ticket the modal’s close button scrolls out of view.</w:t>
      </w:r>
    </w:p>
    <w:p>
      <w:pPr>
        <w:pStyle w:val="SpacerX"/>
      </w:pPr>
    </w:p>
    <w:p>
      <w:pPr>
        <w:pStyle w:val="Heading1"/>
      </w:pPr>
      <w:r>
        <w:t xml:space="preserve">3. User Roles &amp; Authentication</w:t>
      </w:r>
    </w:p>
    <w:p>
      <w:pPr>
        <w:pStyle w:val="NoteX"/>
      </w:pPr>
      <w:r>
        <w:t xml:space="preserve">The outline names a "Household Admin". CivicPulse has no household concept — it is a municipal system whose primary user is the Super Admin, below. Terminology mapped, not adopted.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900"/>
        <w:gridCol w:w="1900"/>
        <w:gridCol w:w="5200"/>
      </w:tblGrid>
      <w:tr>
        <w:tc>
          <w:tcPr>
            <w:tcW w:w="1900" w:type="dxa"/>
            <w:shd w:val="clear" w:color="auto" w:fill="F1F5F9"/>
            <w:vAlign w:val="center"/>
          </w:tcPr>
          <w:p>
            <w:pPr>
              <w:pStyle w:val="TableTextX"/>
            </w:pPr>
            <w:r>
              <w:rPr>
                <w:b/>
              </w:rPr>
              <w:t xml:space="preserve">Role</w:t>
            </w:r>
          </w:p>
        </w:tc>
        <w:tc>
          <w:tcPr>
            <w:tcW w:w="1900" w:type="dxa"/>
            <w:shd w:val="clear" w:color="auto" w:fill="F1F5F9"/>
            <w:vAlign w:val="center"/>
          </w:tcPr>
          <w:p>
            <w:pPr>
              <w:pStyle w:val="TableTextX"/>
            </w:pPr>
            <w:r>
              <w:rPr>
                <w:b/>
              </w:rPr>
              <w:t xml:space="preserve">Auth</w:t>
            </w:r>
          </w:p>
        </w:tc>
        <w:tc>
          <w:tcPr>
            <w:tcW w:w="5200" w:type="dxa"/>
            <w:shd w:val="clear" w:color="auto" w:fill="F1F5F9"/>
            <w:vAlign w:val="center"/>
          </w:tcPr>
          <w:p>
            <w:pPr>
              <w:pStyle w:val="TableTextX"/>
            </w:pPr>
            <w:r>
              <w:rPr>
                <w:b/>
              </w:rPr>
              <w:t xml:space="preserve">Scope</w:t>
            </w:r>
          </w:p>
        </w:tc>
      </w:tr>
      <w:tr>
        <w:tc>
          <w:tcPr>
            <w:tcW w:w="1900" w:type="dxa"/>
            <w:vAlign w:val="center"/>
          </w:tcPr>
          <w:p>
            <w:pPr>
              <w:pStyle w:val="TableTextX"/>
            </w:pPr>
            <w:r>
              <w:t xml:space="preserve">Resident</w:t>
            </w:r>
          </w:p>
        </w:tc>
        <w:tc>
          <w:tcPr>
            <w:tcW w:w="1900" w:type="dxa"/>
            <w:vAlign w:val="center"/>
          </w:tcPr>
          <w:p>
            <w:pPr>
              <w:pStyle w:val="TableTextX"/>
            </w:pPr>
            <w:r>
              <w:t xml:space="preserve">None — anonymous</w:t>
            </w:r>
          </w:p>
        </w:tc>
        <w:tc>
          <w:tcPr>
            <w:tcW w:w="5200" w:type="dxa"/>
            <w:vAlign w:val="center"/>
          </w:tcPr>
          <w:p>
            <w:pPr>
              <w:pStyle w:val="TableTextX"/>
            </w:pPr>
            <w:r>
              <w:t xml:space="preserve">Report, track any ticket by number, rate a resolution</w:t>
            </w:r>
          </w:p>
        </w:tc>
      </w:tr>
      <w:tr>
        <w:tc>
          <w:tcPr>
            <w:tcW w:w="1900" w:type="dxa"/>
            <w:vAlign w:val="center"/>
          </w:tcPr>
          <w:p>
            <w:pPr>
              <w:pStyle w:val="TableTextX"/>
            </w:pPr>
            <w:r>
              <w:t xml:space="preserve">Super Admin</w:t>
            </w:r>
          </w:p>
        </w:tc>
        <w:tc>
          <w:tcPr>
            <w:tcW w:w="1900" w:type="dxa"/>
            <w:vAlign w:val="center"/>
          </w:tcPr>
          <w:p>
            <w:pPr>
              <w:pStyle w:val="TableTextX"/>
            </w:pPr>
            <w:r>
              <w:t xml:space="preserve">Email + password</w:t>
            </w:r>
          </w:p>
        </w:tc>
        <w:tc>
          <w:tcPr>
            <w:tcW w:w="5200" w:type="dxa"/>
            <w:vAlign w:val="center"/>
          </w:tcPr>
          <w:p>
            <w:pPr>
              <w:pStyle w:val="TableTextX"/>
            </w:pPr>
            <w:r>
              <w:t xml:space="preserve">All departments; creates staff; every staff-admin power, everywhere</w:t>
            </w:r>
          </w:p>
        </w:tc>
      </w:tr>
      <w:tr>
        <w:tc>
          <w:tcPr>
            <w:tcW w:w="1900" w:type="dxa"/>
            <w:vAlign w:val="center"/>
          </w:tcPr>
          <w:p>
            <w:pPr>
              <w:pStyle w:val="TableTextX"/>
            </w:pPr>
            <w:r>
              <w:t xml:space="preserve">Read-only Admin</w:t>
            </w:r>
          </w:p>
        </w:tc>
        <w:tc>
          <w:tcPr>
            <w:tcW w:w="1900" w:type="dxa"/>
            <w:vAlign w:val="center"/>
          </w:tcPr>
          <w:p>
            <w:pPr>
              <w:pStyle w:val="TableTextX"/>
            </w:pPr>
            <w:r>
              <w:t xml:space="preserve">Email + password</w:t>
            </w:r>
          </w:p>
        </w:tc>
        <w:tc>
          <w:tcPr>
            <w:tcW w:w="5200" w:type="dxa"/>
            <w:vAlign w:val="center"/>
          </w:tcPr>
          <w:p>
            <w:pPr>
              <w:pStyle w:val="TableTextX"/>
            </w:pPr>
            <w:r>
              <w:t xml:space="preserve">All departments, view only — cannot change anything</w:t>
            </w:r>
          </w:p>
        </w:tc>
      </w:tr>
      <w:tr>
        <w:tc>
          <w:tcPr>
            <w:tcW w:w="1900" w:type="dxa"/>
            <w:vAlign w:val="center"/>
          </w:tcPr>
          <w:p>
            <w:pPr>
              <w:pStyle w:val="TableTextX"/>
            </w:pPr>
            <w:r>
              <w:t xml:space="preserve">Staff Admin</w:t>
            </w:r>
          </w:p>
        </w:tc>
        <w:tc>
          <w:tcPr>
            <w:tcW w:w="1900" w:type="dxa"/>
            <w:vAlign w:val="center"/>
          </w:tcPr>
          <w:p>
            <w:pPr>
              <w:pStyle w:val="TableTextX"/>
            </w:pPr>
            <w:r>
              <w:t xml:space="preserve">Email + password</w:t>
            </w:r>
          </w:p>
        </w:tc>
        <w:tc>
          <w:tcPr>
            <w:tcW w:w="5200" w:type="dxa"/>
            <w:vAlign w:val="center"/>
          </w:tcPr>
          <w:p>
            <w:pPr>
              <w:pStyle w:val="TableTextX"/>
            </w:pPr>
            <w:r>
              <w:t xml:space="preserve">One department: its engineers, roster and tickets</w:t>
            </w:r>
          </w:p>
        </w:tc>
      </w:tr>
      <w:tr>
        <w:tc>
          <w:tcPr>
            <w:tcW w:w="1900" w:type="dxa"/>
            <w:vAlign w:val="center"/>
          </w:tcPr>
          <w:p>
            <w:pPr>
              <w:pStyle w:val="TableTextX"/>
            </w:pPr>
            <w:r>
              <w:t xml:space="preserve">Field Engineer</w:t>
            </w:r>
          </w:p>
        </w:tc>
        <w:tc>
          <w:tcPr>
            <w:tcW w:w="1900" w:type="dxa"/>
            <w:vAlign w:val="center"/>
          </w:tcPr>
          <w:p>
            <w:pPr>
              <w:pStyle w:val="TableTextX"/>
            </w:pPr>
            <w:r>
              <w:t xml:space="preserve">Email + password</w:t>
            </w:r>
          </w:p>
        </w:tc>
        <w:tc>
          <w:tcPr>
            <w:tcW w:w="5200" w:type="dxa"/>
            <w:vAlign w:val="center"/>
          </w:tcPr>
          <w:p>
            <w:pPr>
              <w:pStyle w:val="TableTextX"/>
            </w:pPr>
            <w:r>
              <w:t xml:space="preserve">Only tickets assigned to them</w:t>
            </w:r>
          </w:p>
        </w:tc>
      </w:tr>
    </w:tbl>
    <w:p>
      <w:pPr>
        <w:pStyle w:val="SpacerX"/>
      </w:pPr>
    </w:p>
    <w:p>
      <w:pPr>
        <w:pStyle w:val="BodyX"/>
      </w:pPr>
      <w:r>
        <w:rPr>
          <w:b/>
        </w:rPr>
        <w:t xml:space="preserve">Primary user — Super Admin.</w:t>
      </w:r>
      <w:r>
        <w:t xml:space="preserve"> System operator; episodic rather than daily work.</w:t>
      </w:r>
    </w:p>
    <w:p>
      <w:pPr>
        <w:pStyle w:val="BodyX"/>
      </w:pPr>
      <w:r>
        <w:t xml:space="preserve">•  Creates one staff admin per department and delegates downward; oversees every board, roster and workload.</w:t>
      </w:r>
    </w:p>
    <w:p>
      <w:pPr>
        <w:pStyle w:val="BodyX"/>
      </w:pPr>
      <w:r>
        <w:t xml:space="preserve">•  Deactivates rather than deletes, so audit history survives; can reassign any ticket in any department.</w:t>
      </w:r>
    </w:p>
    <w:p>
      <w:pPr>
        <w:pStyle w:val="BodyX"/>
      </w:pPr>
      <w:r>
        <w:t xml:space="preserve">•  Cannot create another super admin (403 — no escalation path through any API) or deactivate itself.</w:t>
      </w:r>
    </w:p>
    <w:p>
      <w:pPr>
        <w:pStyle w:val="BodyX"/>
      </w:pPr>
      <w:r>
        <w:t xml:space="preserve">•  The first super admin is bootstrapped by hand in SQL: nobody exists to authorise its creation.</w:t>
      </w:r>
    </w:p>
    <w:p>
      <w:pPr>
        <w:pStyle w:val="SpacerX"/>
      </w:pPr>
    </w:p>
    <w:p>
      <w:pPr>
        <w:pStyle w:val="BodyX"/>
      </w:pPr>
      <w:r>
        <w:rPr>
          <w:b/>
        </w:rPr>
        <w:t xml:space="preserve">Read-only Admin.</w:t>
      </w:r>
      <w:r>
        <w:t xml:space="preserve"> For oversight without operational risk — a reviewer, an auditor, a stakeholder who needs the whole picture and must not alter it. It reaches Board, Roster, Team and Analytics across every department, opens any ticket, reads every audit trail, and uses the assistant. It has no department, like a super admin, and the same check constraint enforces that. What makes it read-only is that the role appears in no write policy, so the database denies it by default; the UI additionally withholds the controls — cards are undraggable, Manage Ticket does not render, and Team and Roster lose their forms — and each page says so plainly rather than leaving someone to discover it by clicking.</w:t>
      </w:r>
    </w:p>
    <w:p>
      <w:pPr>
        <w:pStyle w:val="SpacerX"/>
      </w:pPr>
    </w:p>
    <w:p>
      <w:pPr>
        <w:pStyle w:val="BodyX"/>
      </w:pPr>
      <w:r>
        <w:t xml:space="preserve">Provisioning runs in an Edge Function because creating an auth user needs the service-role key, which must never reach a browser. The caller’s role is re-derived from their JWT; any role claimed in the request body is ignored.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600"/>
        <w:gridCol w:w="6400"/>
      </w:tblGrid>
      <w:tr>
        <w:tc>
          <w:tcPr>
            <w:tcW w:w="2600" w:type="dxa"/>
            <w:shd w:val="clear" w:color="auto" w:fill="F1F5F9"/>
            <w:vAlign w:val="center"/>
          </w:tcPr>
          <w:p>
            <w:pPr>
              <w:pStyle w:val="TableTextX"/>
            </w:pPr>
            <w:r>
              <w:rPr>
                <w:b/>
              </w:rPr>
              <w:t xml:space="preserve">Caller</w:t>
            </w:r>
          </w:p>
        </w:tc>
        <w:tc>
          <w:tcPr>
            <w:tcW w:w="6400" w:type="dxa"/>
            <w:shd w:val="clear" w:color="auto" w:fill="F1F5F9"/>
            <w:vAlign w:val="center"/>
          </w:tcPr>
          <w:p>
            <w:pPr>
              <w:pStyle w:val="TableTextX"/>
            </w:pPr>
            <w:r>
              <w:rPr>
                <w:b/>
              </w:rPr>
              <w:t xml:space="preserve">May create</w:t>
            </w:r>
          </w:p>
        </w:tc>
      </w:tr>
      <w:tr>
        <w:tc>
          <w:tcPr>
            <w:tcW w:w="2600" w:type="dxa"/>
            <w:vAlign w:val="center"/>
          </w:tcPr>
          <w:p>
            <w:pPr>
              <w:pStyle w:val="TableTextX"/>
            </w:pPr>
            <w:r>
              <w:t xml:space="preserve">Super Admin</w:t>
            </w:r>
          </w:p>
        </w:tc>
        <w:tc>
          <w:tcPr>
            <w:tcW w:w="6400" w:type="dxa"/>
            <w:vAlign w:val="center"/>
          </w:tcPr>
          <w:p>
            <w:pPr>
              <w:pStyle w:val="TableTextX"/>
            </w:pPr>
            <w:r>
              <w:t xml:space="preserve">Staff admins, engineers and read-only admins, any department</w:t>
            </w:r>
          </w:p>
        </w:tc>
      </w:tr>
      <w:tr>
        <w:tc>
          <w:tcPr>
            <w:tcW w:w="2600" w:type="dxa"/>
            <w:vAlign w:val="center"/>
          </w:tcPr>
          <w:p>
            <w:pPr>
              <w:pStyle w:val="TableTextX"/>
            </w:pPr>
            <w:r>
              <w:t xml:space="preserve">Staff Admin</w:t>
            </w:r>
          </w:p>
        </w:tc>
        <w:tc>
          <w:tcPr>
            <w:tcW w:w="6400" w:type="dxa"/>
            <w:vAlign w:val="center"/>
          </w:tcPr>
          <w:p>
            <w:pPr>
              <w:pStyle w:val="TableTextX"/>
            </w:pPr>
            <w:r>
              <w:t xml:space="preserve">Engineers, own department only</w:t>
            </w:r>
          </w:p>
        </w:tc>
      </w:tr>
      <w:tr>
        <w:tc>
          <w:tcPr>
            <w:tcW w:w="2600" w:type="dxa"/>
            <w:vAlign w:val="center"/>
          </w:tcPr>
          <w:p>
            <w:pPr>
              <w:pStyle w:val="TableTextX"/>
            </w:pPr>
            <w:r>
              <w:t xml:space="preserve">Read-only Admin</w:t>
            </w:r>
          </w:p>
        </w:tc>
        <w:tc>
          <w:tcPr>
            <w:tcW w:w="6400" w:type="dxa"/>
            <w:vAlign w:val="center"/>
          </w:tcPr>
          <w:p>
            <w:pPr>
              <w:pStyle w:val="TableTextX"/>
            </w:pPr>
            <w:r>
              <w:t xml:space="preserve">Nobody (403)</w:t>
            </w:r>
          </w:p>
        </w:tc>
      </w:tr>
      <w:tr>
        <w:tc>
          <w:tcPr>
            <w:tcW w:w="2600" w:type="dxa"/>
            <w:vAlign w:val="center"/>
          </w:tcPr>
          <w:p>
            <w:pPr>
              <w:pStyle w:val="TableTextX"/>
            </w:pPr>
            <w:r>
              <w:t xml:space="preserve">Field Engineer / anonymous</w:t>
            </w:r>
          </w:p>
        </w:tc>
        <w:tc>
          <w:tcPr>
            <w:tcW w:w="6400" w:type="dxa"/>
            <w:vAlign w:val="center"/>
          </w:tcPr>
          <w:p>
            <w:pPr>
              <w:pStyle w:val="TableTextX"/>
            </w:pPr>
            <w:r>
              <w:t xml:space="preserve">Nobody (403 / 401)</w:t>
            </w:r>
          </w:p>
        </w:tc>
      </w:tr>
    </w:tbl>
    <w:p>
      <w:pPr>
        <w:pStyle w:val="SpacerX"/>
      </w:pPr>
    </w:p>
    <w:p>
      <w:pPr>
        <w:pStyle w:val="BodyX"/>
      </w:pPr>
      <w:r>
        <w:rPr>
          <w:b/>
        </w:rPr>
        <w:t xml:space="preserve">Sign-in.</w:t>
      </w:r>
      <w:r>
        <w:t xml:space="preserve"> One Login screen; no role is chosen. After authentication the profiles row decides the destination — super admin, read-only admin and staff admin to /board, field engineer to /my-work. Missing profile and deactivated accounts are rejected with a specific message.</w:t>
      </w:r>
    </w:p>
    <w:p>
      <w:pPr>
        <w:pStyle w:val="BodyX"/>
      </w:pPr>
      <w:r>
        <w:rPr>
          <w:b/>
        </w:rPr>
        <w:t xml:space="preserve">Authorisation boundary:</w:t>
      </w:r>
      <w:r>
        <w:t xml:space="preserve"> RLS in PostgreSQL, not the UI. Route guards are usability only. Residents may read/insert issues and history without a login; staff writes are scoped — super admin anywhere, staff admin within their department, engineer only where assigned_to = self, read-only admin nowhere. Constraints in the database, not code: global roles must have no department and departmental roles must have one; each department may have at most one active staff admin.</w:t>
      </w:r>
    </w:p>
    <w:p>
      <w:pPr>
        <w:pStyle w:val="NoteX"/>
      </w:pPr>
      <w:r>
        <w:t xml:space="preserve">Three findings, all fixed. (1) notifications had RLS on but only a SELECT policy — every insert was denied and silently swallowed, so the log had recorded nothing. (2) PostgREST returns 200/204 with zero rows when RLS blocks a write, so a blocked write looks like a successful one; mutations now check the returned row count. (3) The profiles update policy permitted id = auth.uid() with no restriction on which columns could change, so any staff member could set their own role to super_admin. Confirmed by impersonating a field engineer in a rolled-back transaction: the update succeeded. A BEFORE UPDATE trigger now rejects changes to role, department or active status from anyone but a super admin — a policy cannot do this, because WITH CHECK sees only the new row and cannot tell which columns changed.</w:t>
      </w:r>
    </w:p>
    <w:p>
      <w:pPr>
        <w:pStyle w:val="SpacerX"/>
      </w:pPr>
    </w:p>
    <w:p>
      <w:pPr>
        <w:pStyle w:val="Heading1"/>
      </w:pPr>
      <w:r>
        <w:t xml:space="preserve">4. Key Pages &amp; UI Components</w:t>
      </w:r>
    </w:p>
    <w:p>
      <w:pPr>
        <w:pStyle w:val="Heading2"/>
      </w:pPr>
      <w:r>
        <w:t xml:space="preserve">4.1 Header &amp; Navigation</w:t>
      </w:r>
    </w:p>
    <w:p>
      <w:pPr>
        <w:pStyle w:val="BodyX"/>
      </w:pPr>
      <w:r>
        <w:t xml:space="preserve">One sticky, translucent header — the only chrome. No sidebar, footer or breadcrumb. Role-aware, so no visible link ever leads to a permission gate. Active route marked with a tinted pill and aria-current; skip-to-content link precedes it. The header also carries the theme toggle and, once signed in, the account menu.</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3800"/>
        <w:gridCol w:w="5200"/>
      </w:tblGrid>
      <w:tr>
        <w:tc>
          <w:tcPr>
            <w:tcW w:w="3800" w:type="dxa"/>
            <w:shd w:val="clear" w:color="auto" w:fill="F1F5F9"/>
            <w:vAlign w:val="center"/>
          </w:tcPr>
          <w:p>
            <w:pPr>
              <w:pStyle w:val="TableTextX"/>
            </w:pPr>
            <w:r>
              <w:rPr>
                <w:b/>
              </w:rPr>
              <w:t xml:space="preserve">Role</w:t>
            </w:r>
          </w:p>
        </w:tc>
        <w:tc>
          <w:tcPr>
            <w:tcW w:w="5200" w:type="dxa"/>
            <w:shd w:val="clear" w:color="auto" w:fill="F1F5F9"/>
            <w:vAlign w:val="center"/>
          </w:tcPr>
          <w:p>
            <w:pPr>
              <w:pStyle w:val="TableTextX"/>
            </w:pPr>
            <w:r>
              <w:rPr>
                <w:b/>
              </w:rPr>
              <w:t xml:space="preserve">Navigation</w:t>
            </w:r>
          </w:p>
        </w:tc>
      </w:tr>
      <w:tr>
        <w:tc>
          <w:tcPr>
            <w:tcW w:w="3800" w:type="dxa"/>
            <w:vAlign w:val="center"/>
          </w:tcPr>
          <w:p>
            <w:pPr>
              <w:pStyle w:val="TableTextX"/>
            </w:pPr>
            <w:r>
              <w:t xml:space="preserve">Anonymous</w:t>
            </w:r>
          </w:p>
        </w:tc>
        <w:tc>
          <w:tcPr>
            <w:tcW w:w="5200" w:type="dxa"/>
            <w:vAlign w:val="center"/>
          </w:tcPr>
          <w:p>
            <w:pPr>
              <w:pStyle w:val="TableTextX"/>
            </w:pPr>
            <w:r>
              <w:t xml:space="preserve">Report an Issue · Track a Ticket · Login</w:t>
            </w:r>
          </w:p>
        </w:tc>
      </w:tr>
      <w:tr>
        <w:tc>
          <w:tcPr>
            <w:tcW w:w="3800" w:type="dxa"/>
            <w:vAlign w:val="center"/>
          </w:tcPr>
          <w:p>
            <w:pPr>
              <w:pStyle w:val="TableTextX"/>
            </w:pPr>
            <w:r>
              <w:t xml:space="preserve">Super Admin / Read-only Admin / Staff Admin</w:t>
            </w:r>
          </w:p>
        </w:tc>
        <w:tc>
          <w:tcPr>
            <w:tcW w:w="5200" w:type="dxa"/>
            <w:vAlign w:val="center"/>
          </w:tcPr>
          <w:p>
            <w:pPr>
              <w:pStyle w:val="TableTextX"/>
            </w:pPr>
            <w:r>
              <w:t xml:space="preserve">Board · Roster · Team · Analytics</w:t>
            </w:r>
          </w:p>
        </w:tc>
      </w:tr>
      <w:tr>
        <w:tc>
          <w:tcPr>
            <w:tcW w:w="3800" w:type="dxa"/>
            <w:vAlign w:val="center"/>
          </w:tcPr>
          <w:p>
            <w:pPr>
              <w:pStyle w:val="TableTextX"/>
            </w:pPr>
            <w:r>
              <w:t xml:space="preserve">Field Engineer</w:t>
            </w:r>
          </w:p>
        </w:tc>
        <w:tc>
          <w:tcPr>
            <w:tcW w:w="5200" w:type="dxa"/>
            <w:vAlign w:val="center"/>
          </w:tcPr>
          <w:p>
            <w:pPr>
              <w:pStyle w:val="TableTextX"/>
            </w:pPr>
            <w:r>
              <w:t xml:space="preserve">My Work</w:t>
            </w:r>
          </w:p>
        </w:tc>
      </w:tr>
    </w:tbl>
    <w:p>
      <w:pPr>
        <w:pStyle w:val="SpacerX"/>
      </w:pPr>
    </w:p>
    <w:p>
      <w:pPr>
        <w:pStyle w:val="BodyX"/>
      </w:pPr>
      <w:r>
        <w:t xml:space="preserve">Reporting and tracking are resident journeys, so those links are hidden once staff sign in; the routes stay reachable by URL so shared ticket links still work.</w:t>
      </w:r>
    </w:p>
    <w:p>
      <w:pPr>
        <w:pStyle w:val="BodyX"/>
      </w:pPr>
      <w:r>
        <w:t xml:space="preserve">The account menu is a Radix DropdownMenu carrying the name, role and sign-out; the theme toggle is a three-state radio group. The toggle deliberately uses a native title rather than a Radix tooltip — measured, the tooltip costs 26 KB gzipped on a control that sits in the header every resident downloads.</w:t>
      </w:r>
    </w:p>
    <w:p>
      <w:pPr>
        <w:pStyle w:val="Heading2"/>
      </w:pPr>
      <w:r>
        <w:t xml:space="preserve">4.2 Main Screens</w:t>
      </w:r>
    </w:p>
    <w:p>
      <w:pPr>
        <w:pStyle w:val="NoteX"/>
      </w:pPr>
      <w:r>
        <w:t xml:space="preserve">The outline describes a linear single-column dashboard. The staff landing screen is a horizontally scrolling Kanban board; the resident and engineer screens are single-column.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700"/>
        <w:gridCol w:w="1300"/>
        <w:gridCol w:w="6000"/>
      </w:tblGrid>
      <w:tr>
        <w:tc>
          <w:tcPr>
            <w:tcW w:w="1700" w:type="dxa"/>
            <w:shd w:val="clear" w:color="auto" w:fill="F1F5F9"/>
            <w:vAlign w:val="center"/>
          </w:tcPr>
          <w:p>
            <w:pPr>
              <w:pStyle w:val="TableTextX"/>
            </w:pPr>
            <w:r>
              <w:rPr>
                <w:b/>
              </w:rPr>
              <w:t xml:space="preserve">Screen</w:t>
            </w:r>
          </w:p>
        </w:tc>
        <w:tc>
          <w:tcPr>
            <w:tcW w:w="1300" w:type="dxa"/>
            <w:shd w:val="clear" w:color="auto" w:fill="F1F5F9"/>
            <w:vAlign w:val="center"/>
          </w:tcPr>
          <w:p>
            <w:pPr>
              <w:pStyle w:val="TableTextX"/>
            </w:pPr>
            <w:r>
              <w:rPr>
                <w:b/>
              </w:rPr>
              <w:t xml:space="preserve">Who</w:t>
            </w:r>
          </w:p>
        </w:tc>
        <w:tc>
          <w:tcPr>
            <w:tcW w:w="6000" w:type="dxa"/>
            <w:shd w:val="clear" w:color="auto" w:fill="F1F5F9"/>
            <w:vAlign w:val="center"/>
          </w:tcPr>
          <w:p>
            <w:pPr>
              <w:pStyle w:val="TableTextX"/>
            </w:pPr>
            <w:r>
              <w:rPr>
                <w:b/>
              </w:rPr>
              <w:t xml:space="preserve">What it does</w:t>
            </w:r>
          </w:p>
        </w:tc>
      </w:tr>
      <w:tr>
        <w:tc>
          <w:tcPr>
            <w:tcW w:w="1700" w:type="dxa"/>
            <w:vAlign w:val="center"/>
          </w:tcPr>
          <w:p>
            <w:pPr>
              <w:pStyle w:val="TableTextX"/>
            </w:pPr>
            <w:r>
              <w:t xml:space="preserve">Report an Issue</w:t>
            </w:r>
          </w:p>
        </w:tc>
        <w:tc>
          <w:tcPr>
            <w:tcW w:w="1300" w:type="dxa"/>
            <w:vAlign w:val="center"/>
          </w:tcPr>
          <w:p>
            <w:pPr>
              <w:pStyle w:val="TableTextX"/>
            </w:pPr>
            <w:r>
              <w:t xml:space="preserve">Resident</w:t>
            </w:r>
          </w:p>
        </w:tc>
        <w:tc>
          <w:tcPr>
            <w:tcW w:w="6000" w:type="dxa"/>
            <w:vAlign w:val="center"/>
          </w:tcPr>
          <w:p>
            <w:pPr>
              <w:pStyle w:val="TableTextX"/>
            </w:pPr>
            <w:r>
              <w:t xml:space="preserve">Photo + preview, description, landmark, one-tap GPS showing the reverse-geocoded address and the coordinates themselves. Anonymous by default. Inline validation on submit, focus to first error. Duplicates show the existing ticket instead of creating one.</w:t>
            </w:r>
          </w:p>
        </w:tc>
      </w:tr>
      <w:tr>
        <w:tc>
          <w:tcPr>
            <w:tcW w:w="1700" w:type="dxa"/>
            <w:vAlign w:val="center"/>
          </w:tcPr>
          <w:p>
            <w:pPr>
              <w:pStyle w:val="TableTextX"/>
            </w:pPr>
            <w:r>
              <w:t xml:space="preserve">Track a Ticket</w:t>
            </w:r>
          </w:p>
        </w:tc>
        <w:tc>
          <w:tcPr>
            <w:tcW w:w="1300" w:type="dxa"/>
            <w:vAlign w:val="center"/>
          </w:tcPr>
          <w:p>
            <w:pPr>
              <w:pStyle w:val="TableTextX"/>
            </w:pPr>
            <w:r>
              <w:t xml:space="preserve">Resident</w:t>
            </w:r>
          </w:p>
        </w:tc>
        <w:tc>
          <w:tcPr>
            <w:tcW w:w="6000" w:type="dxa"/>
            <w:vAlign w:val="center"/>
          </w:tcPr>
          <w:p>
            <w:pPr>
              <w:pStyle w:val="TableTextX"/>
            </w:pPr>
            <w:r>
              <w:t xml:space="preserve">Status, priority, photo, timeline, resolution proof, rating widget. Ticket number in the URL — shareable and deep-linkable.</w:t>
            </w:r>
          </w:p>
        </w:tc>
      </w:tr>
      <w:tr>
        <w:tc>
          <w:tcPr>
            <w:tcW w:w="1700" w:type="dxa"/>
            <w:vAlign w:val="center"/>
          </w:tcPr>
          <w:p>
            <w:pPr>
              <w:pStyle w:val="TableTextX"/>
            </w:pPr>
            <w:r>
              <w:t xml:space="preserve">Board</w:t>
            </w:r>
          </w:p>
        </w:tc>
        <w:tc>
          <w:tcPr>
            <w:tcW w:w="1300" w:type="dxa"/>
            <w:vAlign w:val="center"/>
          </w:tcPr>
          <w:p>
            <w:pPr>
              <w:pStyle w:val="TableTextX"/>
            </w:pPr>
            <w:r>
              <w:t xml:space="preserve">Admins</w:t>
            </w:r>
          </w:p>
        </w:tc>
        <w:tc>
          <w:tcPr>
            <w:tcW w:w="6000" w:type="dxa"/>
            <w:vAlign w:val="center"/>
          </w:tcPr>
          <w:p>
            <w:pPr>
              <w:pStyle w:val="TableTextX"/>
            </w:pPr>
            <w:r>
              <w:t xml:space="preserve">Six columns, realtime. Super and read-only admins see all departments; staff admin pinned to theirs. Filters persist to the URL. Drag persists optimistically and rolls back on failure; a drag onto Resolved opens the proof form instead. Read-only admins cannot drag at all.</w:t>
            </w:r>
          </w:p>
        </w:tc>
      </w:tr>
      <w:tr>
        <w:tc>
          <w:tcPr>
            <w:tcW w:w="1700" w:type="dxa"/>
            <w:vAlign w:val="center"/>
          </w:tcPr>
          <w:p>
            <w:pPr>
              <w:pStyle w:val="TableTextX"/>
            </w:pPr>
            <w:r>
              <w:t xml:space="preserve">My Work</w:t>
            </w:r>
          </w:p>
        </w:tc>
        <w:tc>
          <w:tcPr>
            <w:tcW w:w="1300" w:type="dxa"/>
            <w:vAlign w:val="center"/>
          </w:tcPr>
          <w:p>
            <w:pPr>
              <w:pStyle w:val="TableTextX"/>
            </w:pPr>
            <w:r>
              <w:t xml:space="preserve">Engineer</w:t>
            </w:r>
          </w:p>
        </w:tc>
        <w:tc>
          <w:tcPr>
            <w:tcW w:w="6000" w:type="dxa"/>
            <w:vAlign w:val="center"/>
          </w:tcPr>
          <w:p>
            <w:pPr>
              <w:pStyle w:val="TableTextX"/>
            </w:pPr>
            <w:r>
              <w:t xml:space="preserve">Open / Completed. Each card shows only the action valid in its state. Updates live as tickets are auto-assigned.</w:t>
            </w:r>
          </w:p>
        </w:tc>
      </w:tr>
      <w:tr>
        <w:tc>
          <w:tcPr>
            <w:tcW w:w="1700" w:type="dxa"/>
            <w:vAlign w:val="center"/>
          </w:tcPr>
          <w:p>
            <w:pPr>
              <w:pStyle w:val="TableTextX"/>
            </w:pPr>
            <w:r>
              <w:t xml:space="preserve">Ticket Modal</w:t>
            </w:r>
          </w:p>
        </w:tc>
        <w:tc>
          <w:tcPr>
            <w:tcW w:w="1300" w:type="dxa"/>
            <w:vAlign w:val="center"/>
          </w:tcPr>
          <w:p>
            <w:pPr>
              <w:pStyle w:val="TableTextX"/>
            </w:pPr>
            <w:r>
              <w:t xml:space="preserve">Staff</w:t>
            </w:r>
          </w:p>
        </w:tc>
        <w:tc>
          <w:tcPr>
            <w:tcW w:w="6000" w:type="dxa"/>
            <w:vAlign w:val="center"/>
          </w:tcPr>
          <w:p>
            <w:pPr>
              <w:pStyle w:val="TableTextX"/>
            </w:pPr>
            <w:r>
              <w:t xml:space="preserve">Detail, coordinates, a Google Maps directions link, audit trail, and Manage Ticket — see below.</w:t>
            </w:r>
          </w:p>
        </w:tc>
      </w:tr>
      <w:tr>
        <w:tc>
          <w:tcPr>
            <w:tcW w:w="1700" w:type="dxa"/>
            <w:vAlign w:val="center"/>
          </w:tcPr>
          <w:p>
            <w:pPr>
              <w:pStyle w:val="TableTextX"/>
            </w:pPr>
            <w:r>
              <w:t xml:space="preserve">Team</w:t>
            </w:r>
          </w:p>
        </w:tc>
        <w:tc>
          <w:tcPr>
            <w:tcW w:w="1300" w:type="dxa"/>
            <w:vAlign w:val="center"/>
          </w:tcPr>
          <w:p>
            <w:pPr>
              <w:pStyle w:val="TableTextX"/>
            </w:pPr>
            <w:r>
              <w:t xml:space="preserve">Admins</w:t>
            </w:r>
          </w:p>
        </w:tc>
        <w:tc>
          <w:tcPr>
            <w:tcW w:w="6000" w:type="dxa"/>
            <w:vAlign w:val="center"/>
          </w:tcPr>
          <w:p>
            <w:pPr>
              <w:pStyle w:val="TableTextX"/>
            </w:pPr>
            <w:r>
              <w:t xml:space="preserve">Create staff and deactivate. Super admin sees role + department selectors and all staff; staff admin sees neither and only their engineers; read-only admin sees the roster of staff and no controls.</w:t>
            </w:r>
          </w:p>
        </w:tc>
      </w:tr>
      <w:tr>
        <w:tc>
          <w:tcPr>
            <w:tcW w:w="1700" w:type="dxa"/>
            <w:vAlign w:val="center"/>
          </w:tcPr>
          <w:p>
            <w:pPr>
              <w:pStyle w:val="TableTextX"/>
            </w:pPr>
            <w:r>
              <w:t xml:space="preserve">Roster</w:t>
            </w:r>
          </w:p>
        </w:tc>
        <w:tc>
          <w:tcPr>
            <w:tcW w:w="1300" w:type="dxa"/>
            <w:vAlign w:val="center"/>
          </w:tcPr>
          <w:p>
            <w:pPr>
              <w:pStyle w:val="TableTextX"/>
            </w:pPr>
            <w:r>
              <w:t xml:space="preserve">Admins</w:t>
            </w:r>
          </w:p>
        </w:tc>
        <w:tc>
          <w:tcPr>
            <w:tcW w:w="6000" w:type="dxa"/>
            <w:vAlign w:val="center"/>
          </w:tcPr>
          <w:p>
            <w:pPr>
              <w:pStyle w:val="TableTextX"/>
            </w:pPr>
            <w:r>
              <w:t xml:space="preserve">Add a Shift form for custom hours, plus a click-per-cell grid for the 08:00–18:00 default. Cells flip instantly and reconcile with the server, and a tooltip carries the hours. Shows open load and an On shift badge per engineer.</w:t>
            </w:r>
          </w:p>
        </w:tc>
      </w:tr>
      <w:tr>
        <w:tc>
          <w:tcPr>
            <w:tcW w:w="1700" w:type="dxa"/>
            <w:vAlign w:val="center"/>
          </w:tcPr>
          <w:p>
            <w:pPr>
              <w:pStyle w:val="TableTextX"/>
            </w:pPr>
            <w:r>
              <w:t xml:space="preserve">Analytics</w:t>
            </w:r>
          </w:p>
        </w:tc>
        <w:tc>
          <w:tcPr>
            <w:tcW w:w="1300" w:type="dxa"/>
            <w:vAlign w:val="center"/>
          </w:tcPr>
          <w:p>
            <w:pPr>
              <w:pStyle w:val="TableTextX"/>
            </w:pPr>
            <w:r>
              <w:t xml:space="preserve">Admins</w:t>
            </w:r>
          </w:p>
        </w:tc>
        <w:tc>
          <w:tcPr>
            <w:tcW w:w="6000" w:type="dxa"/>
            <w:vAlign w:val="center"/>
          </w:tcPr>
          <w:p>
            <w:pPr>
              <w:pStyle w:val="TableTextX"/>
            </w:pPr>
            <w:r>
              <w:t xml:space="preserve">Four headline metrics and four charts over a selectable period, with a chart/table toggle and PDF export. Scoped to the viewer’s departments.</w:t>
            </w:r>
          </w:p>
        </w:tc>
      </w:tr>
    </w:tbl>
    <w:p>
      <w:pPr>
        <w:pStyle w:val="SpacerX"/>
      </w:pPr>
    </w:p>
    <w:p>
      <w:pPr>
        <w:pStyle w:val="BodyX"/>
      </w:pPr>
      <w:r>
        <w:t xml:space="preserve">Manage Ticket (in the modal) adapts to the caller:</w:t>
      </w:r>
    </w:p>
    <w:p>
      <w:pPr>
        <w:pStyle w:val="BodyX"/>
      </w:pPr>
      <w:r>
        <w:t xml:space="preserve">•  Status — admins on any ticket in scope; engineers on their own. Resolved is absent by design: it is reachable only through the proof form.</w:t>
      </w:r>
    </w:p>
    <w:p>
      <w:pPr>
        <w:pStyle w:val="BodyX"/>
      </w:pPr>
      <w:r>
        <w:t xml:space="preserve">•  Assigned To — admins only. Every active staff member in that department, engineers and admins, grouped on-shift first, each showing availability and open load ("on shift now · 2 open"). Deactivated staff never appear.</w:t>
      </w:r>
    </w:p>
    <w:p>
      <w:pPr>
        <w:pStyle w:val="BodyX"/>
      </w:pPr>
      <w:r>
        <w:t xml:space="preserve">•  Every change writes an audit row and verifies the row count, so an RLS block surfaces as an error.</w:t>
      </w:r>
    </w:p>
    <w:p>
      <w:pPr>
        <w:pStyle w:val="BodyX"/>
      </w:pPr>
      <w:r>
        <w:t xml:space="preserve">•  The whole section is absent for a read-only admin, who sees the detail and the audit trail only.</w:t>
      </w:r>
    </w:p>
    <w:p>
      <w:pPr>
        <w:pStyle w:val="SpacerX"/>
      </w:pPr>
    </w:p>
    <w:p>
      <w:pPr>
        <w:pStyle w:val="BodyX"/>
      </w:pPr>
      <w:r>
        <w:rPr>
          <w:b/>
        </w:rPr>
        <w:t xml:space="preserve">Getting there.</w:t>
      </w:r>
      <w:r>
        <w:t xml:space="preserve"> Under the coordinates, every ticket carries a Google Maps link that opens directions rather than a dropped pin — on a phone it hands off to the Maps app and starts routing from wherever the engineer is. It is a URL, not an API: no key, no SDK, nothing to provision, which is the same constraint that chose Nominatim for geocoding and an in-browser hash over an embedding service.</w:t>
      </w:r>
    </w:p>
    <w:p>
      <w:pPr>
        <w:pStyle w:val="BodyX"/>
      </w:pPr>
      <w:r>
        <w:t xml:space="preserve">The destination is always the coordinates, never the geocoded address. The address is null whenever Nominatim finds nothing, and even when present it is a suburb-level name that would route a crew to the middle of an area rather than to the defect. The link is absent from the report form: a resident standing at the problem does not need directions to it.</w:t>
      </w:r>
    </w:p>
    <w:p>
      <w:pPr>
        <w:pStyle w:val="NoteX"/>
      </w:pPr>
      <w:r>
        <w:t xml:space="preserve">The app’s first external link, so it sets the convention — target="_blank" with rel="noopener noreferrer", and a screen-reader-only "(opens in a new tab)", because the icon cannot carry that and an unannounced new tab is disorienting.</w:t>
      </w:r>
    </w:p>
    <w:p>
      <w:pPr>
        <w:pStyle w:val="SpacerX"/>
      </w:pPr>
    </w:p>
    <w:p>
      <w:pPr>
        <w:pStyle w:val="NoteX"/>
      </w:pPr>
      <w:r>
        <w:t xml:space="preserve">The modal used to render the ticket as it was when the card was clicked, so after one status change it showed a stale value — and its own "already in that status" guard, comparing against that stale value, silently swallowed the next change. It now re-reads the row from the board’s last load, so realtime edits by other staff reach it too.</w:t>
      </w:r>
    </w:p>
    <w:p>
      <w:pPr>
        <w:pStyle w:val="SpacerX"/>
      </w:pPr>
    </w:p>
    <w:p>
      <w:pPr>
        <w:pStyle w:val="BodyX"/>
      </w:pPr>
      <w:r>
        <w:t xml:space="preserve">Access gates are named, not blank: Sign In Required, No Staff Profile, Account Deactivated, Not Available to You, Page Not Found.</w:t>
      </w:r>
    </w:p>
    <w:p>
      <w:pPr>
        <w:pStyle w:val="Heading2"/>
      </w:pPr>
      <w:r>
        <w:t xml:space="preserve">4.3 Analytics</w:t>
      </w:r>
    </w:p>
    <w:p>
      <w:pPr>
        <w:pStyle w:val="BodyX"/>
      </w:pPr>
      <w:r>
        <w:t xml:space="preserve">One page, scoped by the same rules as the board: a super or read-only admin may filter by department or view all; a staff admin is pinned to theirs.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300"/>
        <w:gridCol w:w="6700"/>
      </w:tblGrid>
      <w:tr>
        <w:tc>
          <w:tcPr>
            <w:tcW w:w="2300" w:type="dxa"/>
            <w:shd w:val="clear" w:color="auto" w:fill="F1F5F9"/>
            <w:vAlign w:val="center"/>
          </w:tcPr>
          <w:p>
            <w:pPr>
              <w:pStyle w:val="TableTextX"/>
            </w:pPr>
            <w:r>
              <w:rPr>
                <w:b/>
              </w:rPr>
              <w:t xml:space="preserve">Element</w:t>
            </w:r>
          </w:p>
        </w:tc>
        <w:tc>
          <w:tcPr>
            <w:tcW w:w="6700" w:type="dxa"/>
            <w:shd w:val="clear" w:color="auto" w:fill="F1F5F9"/>
            <w:vAlign w:val="center"/>
          </w:tcPr>
          <w:p>
            <w:pPr>
              <w:pStyle w:val="TableTextX"/>
            </w:pPr>
            <w:r>
              <w:rPr>
                <w:b/>
              </w:rPr>
              <w:t xml:space="preserve">Shows</w:t>
            </w:r>
          </w:p>
        </w:tc>
      </w:tr>
      <w:tr>
        <w:tc>
          <w:tcPr>
            <w:tcW w:w="2300" w:type="dxa"/>
            <w:vAlign w:val="center"/>
          </w:tcPr>
          <w:p>
            <w:pPr>
              <w:pStyle w:val="TableTextX"/>
            </w:pPr>
            <w:r>
              <w:t xml:space="preserve">Headline metrics</w:t>
            </w:r>
          </w:p>
        </w:tc>
        <w:tc>
          <w:tcPr>
            <w:tcW w:w="6700" w:type="dxa"/>
            <w:vAlign w:val="center"/>
          </w:tcPr>
          <w:p>
            <w:pPr>
              <w:pStyle w:val="TableTextX"/>
            </w:pPr>
            <w:r>
              <w:t xml:space="preserve">Total tickets · Open (share of total) · Resolved (how many reopened at least once) · Median resolution time (with average rating)</w:t>
            </w:r>
          </w:p>
        </w:tc>
      </w:tr>
      <w:tr>
        <w:tc>
          <w:tcPr>
            <w:tcW w:w="2300" w:type="dxa"/>
            <w:vAlign w:val="center"/>
          </w:tcPr>
          <w:p>
            <w:pPr>
              <w:pStyle w:val="TableTextX"/>
            </w:pPr>
            <w:r>
              <w:t xml:space="preserve">Tickets per Month</w:t>
            </w:r>
          </w:p>
        </w:tc>
        <w:tc>
          <w:tcPr>
            <w:tcW w:w="6700" w:type="dxa"/>
            <w:vAlign w:val="center"/>
          </w:tcPr>
          <w:p>
            <w:pPr>
              <w:pStyle w:val="TableTextX"/>
            </w:pPr>
            <w:r>
              <w:t xml:space="preserve">Created each month, split by current state</w:t>
            </w:r>
          </w:p>
        </w:tc>
      </w:tr>
      <w:tr>
        <w:tc>
          <w:tcPr>
            <w:tcW w:w="2300" w:type="dxa"/>
            <w:vAlign w:val="center"/>
          </w:tcPr>
          <w:p>
            <w:pPr>
              <w:pStyle w:val="TableTextX"/>
            </w:pPr>
            <w:r>
              <w:t xml:space="preserve">By Department</w:t>
            </w:r>
          </w:p>
        </w:tc>
        <w:tc>
          <w:tcPr>
            <w:tcW w:w="6700" w:type="dxa"/>
            <w:vAlign w:val="center"/>
          </w:tcPr>
          <w:p>
            <w:pPr>
              <w:pStyle w:val="TableTextX"/>
            </w:pPr>
            <w:r>
              <w:t xml:space="preserve">Where the workload sits — hidden when a single department is selected</w:t>
            </w:r>
          </w:p>
        </w:tc>
      </w:tr>
      <w:tr>
        <w:tc>
          <w:tcPr>
            <w:tcW w:w="2300" w:type="dxa"/>
            <w:vAlign w:val="center"/>
          </w:tcPr>
          <w:p>
            <w:pPr>
              <w:pStyle w:val="TableTextX"/>
            </w:pPr>
            <w:r>
              <w:t xml:space="preserve">By Issue Type</w:t>
            </w:r>
          </w:p>
        </w:tc>
        <w:tc>
          <w:tcPr>
            <w:tcW w:w="6700" w:type="dxa"/>
            <w:vAlign w:val="center"/>
          </w:tcPr>
          <w:p>
            <w:pPr>
              <w:pStyle w:val="TableTextX"/>
            </w:pPr>
            <w:r>
              <w:t xml:space="preserve">What residents report most</w:t>
            </w:r>
          </w:p>
        </w:tc>
      </w:tr>
      <w:tr>
        <w:tc>
          <w:tcPr>
            <w:tcW w:w="2300" w:type="dxa"/>
            <w:vAlign w:val="center"/>
          </w:tcPr>
          <w:p>
            <w:pPr>
              <w:pStyle w:val="TableTextX"/>
            </w:pPr>
            <w:r>
              <w:t xml:space="preserve">By Priority</w:t>
            </w:r>
          </w:p>
        </w:tc>
        <w:tc>
          <w:tcPr>
            <w:tcW w:w="6700" w:type="dxa"/>
            <w:vAlign w:val="center"/>
          </w:tcPr>
          <w:p>
            <w:pPr>
              <w:pStyle w:val="TableTextX"/>
            </w:pPr>
            <w:r>
              <w:t xml:space="preserve">High / medium / low mix</w:t>
            </w:r>
          </w:p>
        </w:tc>
      </w:tr>
      <w:tr>
        <w:tc>
          <w:tcPr>
            <w:tcW w:w="2300" w:type="dxa"/>
            <w:vAlign w:val="center"/>
          </w:tcPr>
          <w:p>
            <w:pPr>
              <w:pStyle w:val="TableTextX"/>
            </w:pPr>
            <w:r>
              <w:t xml:space="preserve">Period</w:t>
            </w:r>
          </w:p>
        </w:tc>
        <w:tc>
          <w:tcPr>
            <w:tcW w:w="6700" w:type="dxa"/>
            <w:vAlign w:val="center"/>
          </w:tcPr>
          <w:p>
            <w:pPr>
              <w:pStyle w:val="TableTextX"/>
            </w:pPr>
            <w:r>
              <w:t xml:space="preserve">Last 3, 6 or 12 months, or all time</w:t>
            </w:r>
          </w:p>
        </w:tc>
      </w:tr>
    </w:tbl>
    <w:p>
      <w:pPr>
        <w:pStyle w:val="SpacerX"/>
      </w:pPr>
    </w:p>
    <w:p>
      <w:pPr>
        <w:pStyle w:val="BodyX"/>
      </w:pPr>
      <w:r>
        <w:t xml:space="preserve">Charts are hand-built SVG rather than a charting library — four fixed chart shapes did not justify the dependency, and it keeps the export path simple. Every chart has a Table tab giving the same numbers, so the data is reachable without reading a graphic.</w:t>
      </w:r>
    </w:p>
    <w:p>
      <w:pPr>
        <w:pStyle w:val="BodyX"/>
      </w:pPr>
      <w:r>
        <w:rPr>
          <w:b/>
        </w:rPr>
        <w:t xml:space="preserve">PDF export.</w:t>
      </w:r>
      <w:r>
        <w:t xml:space="preserve"> Renders client-side with jsPDF. Each figure is rasterised from its SVG onto a canvas and placed with the headline metrics and a scope line naming the department and period.</w:t>
      </w:r>
    </w:p>
    <w:p>
      <w:pPr>
        <w:pStyle w:val="NoteX"/>
      </w:pPr>
      <w:r>
        <w:t xml:space="preserve">The chart panel keeps the chart mounted while the Table tab is showing (Radix forceMount, which hides rather than unmounts). This is load-bearing: the export finds each figure by DOM id, so unmounting it would have broken export silently, only for users who happened to have the table tab open.</w:t>
      </w:r>
    </w:p>
    <w:p>
      <w:pPr>
        <w:pStyle w:val="Heading2"/>
      </w:pPr>
      <w:r>
        <w:t xml:space="preserve">4.4 AI Assistant</w:t>
      </w:r>
    </w:p>
    <w:p>
      <w:pPr>
        <w:pStyle w:val="NoteX"/>
      </w:pPr>
      <w:r>
        <w:t xml:space="preserve">v3 recorded that no assistant existed. One now ships. It answers from live ticket data and cannot change anything.</w:t>
      </w:r>
    </w:p>
    <w:p>
      <w:pPr>
        <w:pStyle w:val="BodyX"/>
      </w:pPr>
      <w:r>
        <w:t xml:space="preserve">A launcher in the corner opens a slide-over Sheet, for signed-in staff only. The header states the scope in words — "all departments", "your department only", "your assigned tickets only" — so the boundary is stated rather than implied, and each role gets its own starter questions.</w:t>
      </w:r>
    </w:p>
    <w:p>
      <w:pPr>
        <w:pStyle w:val="BodyX"/>
      </w:pPr>
      <w:r>
        <w:t xml:space="preserve">The model is given tools rather than data, and each tool call is executed server-side: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200"/>
        <w:gridCol w:w="6800"/>
      </w:tblGrid>
      <w:tr>
        <w:tc>
          <w:tcPr>
            <w:tcW w:w="2200" w:type="dxa"/>
            <w:shd w:val="clear" w:color="auto" w:fill="F1F5F9"/>
            <w:vAlign w:val="center"/>
          </w:tcPr>
          <w:p>
            <w:pPr>
              <w:pStyle w:val="TableTextX"/>
            </w:pPr>
            <w:r>
              <w:rPr>
                <w:b/>
              </w:rPr>
              <w:t xml:space="preserve">Tool</w:t>
            </w:r>
          </w:p>
        </w:tc>
        <w:tc>
          <w:tcPr>
            <w:tcW w:w="6800" w:type="dxa"/>
            <w:shd w:val="clear" w:color="auto" w:fill="F1F5F9"/>
            <w:vAlign w:val="center"/>
          </w:tcPr>
          <w:p>
            <w:pPr>
              <w:pStyle w:val="TableTextX"/>
            </w:pPr>
            <w:r>
              <w:rPr>
                <w:b/>
              </w:rPr>
              <w:t xml:space="preserve">Answers</w:t>
            </w:r>
          </w:p>
        </w:tc>
      </w:tr>
      <w:tr>
        <w:tc>
          <w:tcPr>
            <w:tcW w:w="2200" w:type="dxa"/>
            <w:vAlign w:val="center"/>
          </w:tcPr>
          <w:p>
            <w:pPr>
              <w:pStyle w:val="TableTextX"/>
            </w:pPr>
            <w:r>
              <w:t xml:space="preserve">search_tickets</w:t>
            </w:r>
          </w:p>
        </w:tc>
        <w:tc>
          <w:tcPr>
            <w:tcW w:w="6800" w:type="dxa"/>
            <w:vAlign w:val="center"/>
          </w:tcPr>
          <w:p>
            <w:pPr>
              <w:pStyle w:val="TableTextX"/>
            </w:pPr>
            <w:r>
              <w:t xml:space="preserve">"show me…", "which tickets…" — returns individual tickets matching filters</w:t>
            </w:r>
          </w:p>
        </w:tc>
      </w:tr>
      <w:tr>
        <w:tc>
          <w:tcPr>
            <w:tcW w:w="2200" w:type="dxa"/>
            <w:vAlign w:val="center"/>
          </w:tcPr>
          <w:p>
            <w:pPr>
              <w:pStyle w:val="TableTextX"/>
            </w:pPr>
            <w:r>
              <w:t xml:space="preserve">ticket_counts</w:t>
            </w:r>
          </w:p>
        </w:tc>
        <w:tc>
          <w:tcPr>
            <w:tcW w:w="6800" w:type="dxa"/>
            <w:vAlign w:val="center"/>
          </w:tcPr>
          <w:p>
            <w:pPr>
              <w:pStyle w:val="TableTextX"/>
            </w:pPr>
            <w:r>
              <w:t xml:space="preserve">Aggregations: how many, grouped by status, department, type, priority or month</w:t>
            </w:r>
          </w:p>
        </w:tc>
      </w:tr>
      <w:tr>
        <w:tc>
          <w:tcPr>
            <w:tcW w:w="2200" w:type="dxa"/>
            <w:vAlign w:val="center"/>
          </w:tcPr>
          <w:p>
            <w:pPr>
              <w:pStyle w:val="TableTextX"/>
            </w:pPr>
            <w:r>
              <w:t xml:space="preserve">get_ticket</w:t>
            </w:r>
          </w:p>
        </w:tc>
        <w:tc>
          <w:tcPr>
            <w:tcW w:w="6800" w:type="dxa"/>
            <w:vAlign w:val="center"/>
          </w:tcPr>
          <w:p>
            <w:pPr>
              <w:pStyle w:val="TableTextX"/>
            </w:pPr>
            <w:r>
              <w:t xml:space="preserve">Everything about one ticket number, including its audit trail</w:t>
            </w:r>
          </w:p>
        </w:tc>
      </w:tr>
      <w:tr>
        <w:tc>
          <w:tcPr>
            <w:tcW w:w="2200" w:type="dxa"/>
            <w:vAlign w:val="center"/>
          </w:tcPr>
          <w:p>
            <w:pPr>
              <w:pStyle w:val="TableTextX"/>
            </w:pPr>
            <w:r>
              <w:t xml:space="preserve">team_workload</w:t>
            </w:r>
          </w:p>
        </w:tc>
        <w:tc>
          <w:tcPr>
            <w:tcW w:w="6800" w:type="dxa"/>
            <w:vAlign w:val="center"/>
          </w:tcPr>
          <w:p>
            <w:pPr>
              <w:pStyle w:val="TableTextX"/>
            </w:pPr>
            <w:r>
              <w:t xml:space="preserve">Who is busiest, who is on shift — not available to field engineers</w:t>
            </w:r>
          </w:p>
        </w:tc>
      </w:tr>
    </w:tbl>
    <w:p>
      <w:pPr>
        <w:pStyle w:val="SpacerX"/>
      </w:pPr>
    </w:p>
    <w:p>
      <w:pPr>
        <w:pStyle w:val="BodyX"/>
      </w:pPr>
      <w:r>
        <w:rPr>
          <w:b/>
        </w:rPr>
        <w:t xml:space="preserve">The authorisation choke point.</w:t>
      </w:r>
      <w:r>
        <w:t xml:space="preserve"> Every retrieval passes through a single scoping function, applied after the caller’s role is re-derived from their JWT, so no tool can widen its own scope and a model instructed by a crafted question to "show all departments" still cannot. The function fails closed: any role it does not explicitly recognise is narrowed to the caller’s own tickets.</w:t>
      </w:r>
    </w:p>
    <w:p>
      <w:pPr>
        <w:pStyle w:val="BodyX"/>
      </w:pPr>
      <w:r>
        <w:t xml:space="preserve">Answers come only from tool results — the model is instructed never to invent a ticket number, count, name or date. Replies render as React elements, never innerHTML, so a reply cannot inject markup, and ticket numbers become links so an answer is one click from the ticket. History is capped at the last few turns.</w:t>
      </w:r>
    </w:p>
    <w:p>
      <w:pPr>
        <w:pStyle w:val="NoteX"/>
      </w:pPr>
      <w:r>
        <w:t xml:space="preserve">Fixed: the conversation persisted across a sign-out, so signing back in as a different role showed the previous user’s questions and answers.</w:t>
      </w:r>
    </w:p>
    <w:p>
      <w:pPr>
        <w:pStyle w:val="SpacerX"/>
      </w:pPr>
    </w:p>
    <w:p>
      <w:pPr>
        <w:pStyle w:val="Heading1"/>
      </w:pPr>
      <w:r>
        <w:t xml:space="preserve">5. Technology Stack &amp; Database Architecture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800"/>
        <w:gridCol w:w="7200"/>
      </w:tblGrid>
      <w:tr>
        <w:tc>
          <w:tcPr>
            <w:tcW w:w="1800" w:type="dxa"/>
            <w:shd w:val="clear" w:color="auto" w:fill="F1F5F9"/>
            <w:vAlign w:val="center"/>
          </w:tcPr>
          <w:p>
            <w:pPr>
              <w:pStyle w:val="TableTextX"/>
            </w:pPr>
            <w:r>
              <w:rPr>
                <w:b/>
              </w:rPr>
              <w:t xml:space="preserve">Layer</w:t>
            </w:r>
          </w:p>
        </w:tc>
        <w:tc>
          <w:tcPr>
            <w:tcW w:w="7200" w:type="dxa"/>
            <w:shd w:val="clear" w:color="auto" w:fill="F1F5F9"/>
            <w:vAlign w:val="center"/>
          </w:tcPr>
          <w:p>
            <w:pPr>
              <w:pStyle w:val="TableTextX"/>
            </w:pPr>
            <w:r>
              <w:rPr>
                <w:b/>
              </w:rPr>
              <w:t xml:space="preserve">Choice</w:t>
            </w:r>
          </w:p>
        </w:tc>
      </w:tr>
      <w:tr>
        <w:tc>
          <w:tcPr>
            <w:tcW w:w="1800" w:type="dxa"/>
            <w:vAlign w:val="center"/>
          </w:tcPr>
          <w:p>
            <w:pPr>
              <w:pStyle w:val="TableTextX"/>
            </w:pPr>
            <w:r>
              <w:t xml:space="preserve">Frontend</w:t>
            </w:r>
          </w:p>
        </w:tc>
        <w:tc>
          <w:tcPr>
            <w:tcW w:w="7200" w:type="dxa"/>
            <w:vAlign w:val="center"/>
          </w:tcPr>
          <w:p>
            <w:pPr>
              <w:pStyle w:val="TableTextX"/>
            </w:pPr>
            <w:r>
              <w:t xml:space="preserve">React 19 · Vite · TypeScript · Tailwind v4 · React Router v7 · @hello-pangea/dnd</w:t>
            </w:r>
          </w:p>
        </w:tc>
      </w:tr>
      <w:tr>
        <w:tc>
          <w:tcPr>
            <w:tcW w:w="1800" w:type="dxa"/>
            <w:vAlign w:val="center"/>
          </w:tcPr>
          <w:p>
            <w:pPr>
              <w:pStyle w:val="TableTextX"/>
            </w:pPr>
            <w:r>
              <w:t xml:space="preserve">Components</w:t>
            </w:r>
          </w:p>
        </w:tc>
        <w:tc>
          <w:tcPr>
            <w:tcW w:w="7200" w:type="dxa"/>
            <w:vAlign w:val="center"/>
          </w:tcPr>
          <w:p>
            <w:pPr>
              <w:pStyle w:val="TableTextX"/>
            </w:pPr>
            <w:r>
              <w:t xml:space="preserve">shadcn/ui vendored as source, on Radix primitives · Sonner · lucide-react</w:t>
            </w:r>
          </w:p>
        </w:tc>
      </w:tr>
      <w:tr>
        <w:tc>
          <w:tcPr>
            <w:tcW w:w="1800" w:type="dxa"/>
            <w:vAlign w:val="center"/>
          </w:tcPr>
          <w:p>
            <w:pPr>
              <w:pStyle w:val="TableTextX"/>
            </w:pPr>
            <w:r>
              <w:t xml:space="preserve">Backend</w:t>
            </w:r>
          </w:p>
        </w:tc>
        <w:tc>
          <w:tcPr>
            <w:tcW w:w="7200" w:type="dxa"/>
            <w:vAlign w:val="center"/>
          </w:tcPr>
          <w:p>
            <w:pPr>
              <w:pStyle w:val="TableTextX"/>
            </w:pPr>
            <w:r>
              <w:t xml:space="preserve">Supabase — PostgreSQL 17, Auth, Storage, Realtime; RLS is the authorisation model</w:t>
            </w:r>
          </w:p>
        </w:tc>
      </w:tr>
      <w:tr>
        <w:tc>
          <w:tcPr>
            <w:tcW w:w="1800" w:type="dxa"/>
            <w:vAlign w:val="center"/>
          </w:tcPr>
          <w:p>
            <w:pPr>
              <w:pStyle w:val="TableTextX"/>
            </w:pPr>
            <w:r>
              <w:t xml:space="preserve">Server logic</w:t>
            </w:r>
          </w:p>
        </w:tc>
        <w:tc>
          <w:tcPr>
            <w:tcW w:w="7200" w:type="dxa"/>
            <w:vAlign w:val="center"/>
          </w:tcPr>
          <w:p>
            <w:pPr>
              <w:pStyle w:val="TableTextX"/>
            </w:pPr>
            <w:r>
              <w:t xml:space="preserve">Supabase Edge Functions (Deno) — the only place secrets live</w:t>
            </w:r>
          </w:p>
        </w:tc>
      </w:tr>
      <w:tr>
        <w:tc>
          <w:tcPr>
            <w:tcW w:w="1800" w:type="dxa"/>
            <w:vAlign w:val="center"/>
          </w:tcPr>
          <w:p>
            <w:pPr>
              <w:pStyle w:val="TableTextX"/>
            </w:pPr>
            <w:r>
              <w:t xml:space="preserve">AI</w:t>
            </w:r>
          </w:p>
        </w:tc>
        <w:tc>
          <w:tcPr>
            <w:tcW w:w="7200" w:type="dxa"/>
            <w:vAlign w:val="center"/>
          </w:tcPr>
          <w:p>
            <w:pPr>
              <w:pStyle w:val="TableTextX"/>
            </w:pPr>
            <w:r>
              <w:t xml:space="preserve">OpenAI gpt-4o with Structured Outputs (strict JSON Schema) and tool calling</w:t>
            </w:r>
          </w:p>
        </w:tc>
      </w:tr>
      <w:tr>
        <w:tc>
          <w:tcPr>
            <w:tcW w:w="1800" w:type="dxa"/>
            <w:vAlign w:val="center"/>
          </w:tcPr>
          <w:p>
            <w:pPr>
              <w:pStyle w:val="TableTextX"/>
            </w:pPr>
            <w:r>
              <w:t xml:space="preserve">Geocoding</w:t>
            </w:r>
          </w:p>
        </w:tc>
        <w:tc>
          <w:tcPr>
            <w:tcW w:w="7200" w:type="dxa"/>
            <w:vAlign w:val="center"/>
          </w:tcPr>
          <w:p>
            <w:pPr>
              <w:pStyle w:val="TableTextX"/>
            </w:pPr>
            <w:r>
              <w:t xml:space="preserve">OpenStreetMap Nominatim (keyless)</w:t>
            </w:r>
          </w:p>
        </w:tc>
      </w:tr>
      <w:tr>
        <w:tc>
          <w:tcPr>
            <w:tcW w:w="1800" w:type="dxa"/>
            <w:vAlign w:val="center"/>
          </w:tcPr>
          <w:p>
            <w:pPr>
              <w:pStyle w:val="TableTextX"/>
            </w:pPr>
            <w:r>
              <w:t xml:space="preserve">Navigation</w:t>
            </w:r>
          </w:p>
        </w:tc>
        <w:tc>
          <w:tcPr>
            <w:tcW w:w="7200" w:type="dxa"/>
            <w:vAlign w:val="center"/>
          </w:tcPr>
          <w:p>
            <w:pPr>
              <w:pStyle w:val="TableTextX"/>
            </w:pPr>
            <w:r>
              <w:t xml:space="preserve">Google Maps directions URL — a link, not an API; no key and no SDK</w:t>
            </w:r>
          </w:p>
        </w:tc>
      </w:tr>
      <w:tr>
        <w:tc>
          <w:tcPr>
            <w:tcW w:w="1800" w:type="dxa"/>
            <w:vAlign w:val="center"/>
          </w:tcPr>
          <w:p>
            <w:pPr>
              <w:pStyle w:val="TableTextX"/>
            </w:pPr>
            <w:r>
              <w:t xml:space="preserve">Reporting</w:t>
            </w:r>
          </w:p>
        </w:tc>
        <w:tc>
          <w:tcPr>
            <w:tcW w:w="7200" w:type="dxa"/>
            <w:vAlign w:val="center"/>
          </w:tcPr>
          <w:p>
            <w:pPr>
              <w:pStyle w:val="TableTextX"/>
            </w:pPr>
            <w:r>
              <w:t xml:space="preserve">jsPDF, client-side</w:t>
            </w:r>
          </w:p>
        </w:tc>
      </w:tr>
      <w:tr>
        <w:tc>
          <w:tcPr>
            <w:tcW w:w="1800" w:type="dxa"/>
            <w:vAlign w:val="center"/>
          </w:tcPr>
          <w:p>
            <w:pPr>
              <w:pStyle w:val="TableTextX"/>
            </w:pPr>
            <w:r>
              <w:t xml:space="preserve">Scheduling</w:t>
            </w:r>
          </w:p>
        </w:tc>
        <w:tc>
          <w:tcPr>
            <w:tcW w:w="7200" w:type="dxa"/>
            <w:vAlign w:val="center"/>
          </w:tcPr>
          <w:p>
            <w:pPr>
              <w:pStyle w:val="TableTextX"/>
            </w:pPr>
            <w:r>
              <w:t xml:space="preserve">pg_cron, in-database; pg_net for the outbound call to the sender</w:t>
            </w:r>
          </w:p>
        </w:tc>
      </w:tr>
      <w:tr>
        <w:tc>
          <w:tcPr>
            <w:tcW w:w="1800" w:type="dxa"/>
            <w:vAlign w:val="center"/>
          </w:tcPr>
          <w:p>
            <w:pPr>
              <w:pStyle w:val="TableTextX"/>
            </w:pPr>
            <w:r>
              <w:t xml:space="preserve">Email</w:t>
            </w:r>
          </w:p>
        </w:tc>
        <w:tc>
          <w:tcPr>
            <w:tcW w:w="7200" w:type="dxa"/>
            <w:vAlign w:val="center"/>
          </w:tcPr>
          <w:p>
            <w:pPr>
              <w:pStyle w:val="TableTextX"/>
            </w:pPr>
            <w:r>
              <w:t xml:space="preserve">Gmail SMTP over TLS via denomailer, from inside an Edge Function</w:t>
            </w:r>
          </w:p>
        </w:tc>
      </w:tr>
      <w:tr>
        <w:tc>
          <w:tcPr>
            <w:tcW w:w="1800" w:type="dxa"/>
            <w:vAlign w:val="center"/>
          </w:tcPr>
          <w:p>
            <w:pPr>
              <w:pStyle w:val="TableTextX"/>
            </w:pPr>
            <w:r>
              <w:t xml:space="preserve">Secret storage</w:t>
            </w:r>
          </w:p>
        </w:tc>
        <w:tc>
          <w:tcPr>
            <w:tcW w:w="7200" w:type="dxa"/>
            <w:vAlign w:val="center"/>
          </w:tcPr>
          <w:p>
            <w:pPr>
              <w:pStyle w:val="TableTextX"/>
            </w:pPr>
            <w:r>
              <w:t xml:space="preserve">Supabase Vault for the values pg_cron needs at run time</w:t>
            </w:r>
          </w:p>
        </w:tc>
      </w:tr>
      <w:tr>
        <w:tc>
          <w:tcPr>
            <w:tcW w:w="1800" w:type="dxa"/>
            <w:vAlign w:val="center"/>
          </w:tcPr>
          <w:p>
            <w:pPr>
              <w:pStyle w:val="TableTextX"/>
            </w:pPr>
            <w:r>
              <w:t xml:space="preserve">Hosting</w:t>
            </w:r>
          </w:p>
        </w:tc>
        <w:tc>
          <w:tcPr>
            <w:tcW w:w="7200" w:type="dxa"/>
            <w:vAlign w:val="center"/>
          </w:tcPr>
          <w:p>
            <w:pPr>
              <w:pStyle w:val="TableTextX"/>
            </w:pPr>
            <w:r>
              <w:t xml:space="preserve">Vercel — SPA rewrites, immutable asset caching, security headers</w:t>
            </w:r>
          </w:p>
        </w:tc>
      </w:tr>
    </w:tbl>
    <w:p>
      <w:pPr>
        <w:pStyle w:val="SpacerX"/>
      </w:pPr>
    </w:p>
    <w:p>
      <w:pPr>
        <w:pStyle w:val="BodyX"/>
      </w:pPr>
      <w:r>
        <w:rPr>
          <w:b/>
        </w:rPr>
        <w:t xml:space="preserve">Two runtimes, one database.</w:t>
      </w:r>
      <w:r>
        <w:t xml:space="preserve"> The SPA talks to Supabase with the anon key for everything except AI classification, the assistant and user provisioning. The OpenAI key and service-role key exist only inside Edge Functions.</w:t>
      </w:r>
    </w:p>
    <w:p>
      <w:pPr>
        <w:pStyle w:val="BodyX"/>
      </w:pPr>
      <w:r>
        <w:rPr>
          <w:b/>
        </w:rPr>
        <w:t xml:space="preserve">Keeping staff code off the resident path.</w:t>
      </w:r>
      <w:r>
        <w:t xml:space="preserve"> Adopting a component library naively put 180 KB gzipped on the path every resident downloads, against 135 KB before. Radix’s menu, the toast layer and the tooltip were all reachable from eagerly loaded modules even though nothing renders them until someone signs in. The account menu is now lazy, the toaster mounts only when a session exists, and the tooltip provider is scoped to the one page that uses it. The main chunk is 128.7 KB gzipped — below the pre-library baseline.</w:t>
      </w:r>
    </w:p>
    <w:p>
      <w:pPr>
        <w:pStyle w:val="BodyX"/>
      </w:pPr>
      <w:r>
        <w:t xml:space="preserve">Four Edge Functions: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200"/>
        <w:gridCol w:w="6800"/>
      </w:tblGrid>
      <w:tr>
        <w:tc>
          <w:tcPr>
            <w:tcW w:w="2200" w:type="dxa"/>
            <w:shd w:val="clear" w:color="auto" w:fill="F1F5F9"/>
            <w:vAlign w:val="center"/>
          </w:tcPr>
          <w:p>
            <w:pPr>
              <w:pStyle w:val="TableTextX"/>
            </w:pPr>
            <w:r>
              <w:rPr>
                <w:b/>
              </w:rPr>
              <w:t xml:space="preserve">Function</w:t>
            </w:r>
          </w:p>
        </w:tc>
        <w:tc>
          <w:tcPr>
            <w:tcW w:w="6800" w:type="dxa"/>
            <w:shd w:val="clear" w:color="auto" w:fill="F1F5F9"/>
            <w:vAlign w:val="center"/>
          </w:tcPr>
          <w:p>
            <w:pPr>
              <w:pStyle w:val="TableTextX"/>
            </w:pPr>
            <w:r>
              <w:rPr>
                <w:b/>
              </w:rPr>
              <w:t xml:space="preserve">Does</w:t>
            </w:r>
          </w:p>
        </w:tc>
      </w:tr>
      <w:tr>
        <w:tc>
          <w:tcPr>
            <w:tcW w:w="2200" w:type="dxa"/>
            <w:vAlign w:val="center"/>
          </w:tcPr>
          <w:p>
            <w:pPr>
              <w:pStyle w:val="TableTextX"/>
            </w:pPr>
            <w:r>
              <w:t xml:space="preserve">analyze-issue</w:t>
            </w:r>
          </w:p>
        </w:tc>
        <w:tc>
          <w:tcPr>
            <w:tcW w:w="6800" w:type="dxa"/>
            <w:vAlign w:val="center"/>
          </w:tcPr>
          <w:p>
            <w:pPr>
              <w:pStyle w:val="TableTextX"/>
            </w:pPr>
            <w:r>
              <w:t xml:space="preserve">Classifies a report and decides whether it duplicates a nearby open ticket</w:t>
            </w:r>
          </w:p>
        </w:tc>
      </w:tr>
      <w:tr>
        <w:tc>
          <w:tcPr>
            <w:tcW w:w="2200" w:type="dxa"/>
            <w:vAlign w:val="center"/>
          </w:tcPr>
          <w:p>
            <w:pPr>
              <w:pStyle w:val="TableTextX"/>
            </w:pPr>
            <w:r>
              <w:t xml:space="preserve">manage-users</w:t>
            </w:r>
          </w:p>
        </w:tc>
        <w:tc>
          <w:tcPr>
            <w:tcW w:w="6800" w:type="dxa"/>
            <w:vAlign w:val="center"/>
          </w:tcPr>
          <w:p>
            <w:pPr>
              <w:pStyle w:val="TableTextX"/>
            </w:pPr>
            <w:r>
              <w:t xml:space="preserve">Creates and activates/deactivates staff; re-derives the caller’s role from their JWT</w:t>
            </w:r>
          </w:p>
        </w:tc>
      </w:tr>
      <w:tr>
        <w:tc>
          <w:tcPr>
            <w:tcW w:w="2200" w:type="dxa"/>
            <w:vAlign w:val="center"/>
          </w:tcPr>
          <w:p>
            <w:pPr>
              <w:pStyle w:val="TableTextX"/>
            </w:pPr>
            <w:r>
              <w:t xml:space="preserve">chat-assistant</w:t>
            </w:r>
          </w:p>
        </w:tc>
        <w:tc>
          <w:tcPr>
            <w:tcW w:w="6800" w:type="dxa"/>
            <w:vAlign w:val="center"/>
          </w:tcPr>
          <w:p>
            <w:pPr>
              <w:pStyle w:val="TableTextX"/>
            </w:pPr>
            <w:r>
              <w:t xml:space="preserve">Runs the assistant’s tool calls under a server-side scope</w:t>
            </w:r>
          </w:p>
        </w:tc>
      </w:tr>
      <w:tr>
        <w:tc>
          <w:tcPr>
            <w:tcW w:w="2200" w:type="dxa"/>
            <w:vAlign w:val="center"/>
          </w:tcPr>
          <w:p>
            <w:pPr>
              <w:pStyle w:val="TableTextX"/>
            </w:pPr>
            <w:r>
              <w:t xml:space="preserve">send-notifications</w:t>
            </w:r>
          </w:p>
        </w:tc>
        <w:tc>
          <w:tcPr>
            <w:tcW w:w="6800" w:type="dxa"/>
            <w:vAlign w:val="center"/>
          </w:tcPr>
          <w:p>
            <w:pPr>
              <w:pStyle w:val="TableTextX"/>
            </w:pPr>
            <w:r>
              <w:t xml:space="preserve">Drains the notification queue and delivers the email over SMTP</w:t>
            </w:r>
          </w:p>
        </w:tc>
      </w:tr>
    </w:tbl>
    <w:p>
      <w:pPr>
        <w:pStyle w:val="SpacerX"/>
      </w:pPr>
    </w:p>
    <w:p>
      <w:pPr>
        <w:pStyle w:val="BodyX"/>
      </w:pPr>
      <w:r>
        <w:t xml:space="preserve">Schema — nine migrations, RLS on every table: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400"/>
        <w:gridCol w:w="6600"/>
      </w:tblGrid>
      <w:tr>
        <w:tc>
          <w:tcPr>
            <w:tcW w:w="2400" w:type="dxa"/>
            <w:shd w:val="clear" w:color="auto" w:fill="F1F5F9"/>
            <w:vAlign w:val="center"/>
          </w:tcPr>
          <w:p>
            <w:pPr>
              <w:pStyle w:val="TableTextX"/>
            </w:pPr>
            <w:r>
              <w:rPr>
                <w:b/>
              </w:rPr>
              <w:t xml:space="preserve">Table</w:t>
            </w:r>
          </w:p>
        </w:tc>
        <w:tc>
          <w:tcPr>
            <w:tcW w:w="6600" w:type="dxa"/>
            <w:shd w:val="clear" w:color="auto" w:fill="F1F5F9"/>
            <w:vAlign w:val="center"/>
          </w:tcPr>
          <w:p>
            <w:pPr>
              <w:pStyle w:val="TableTextX"/>
            </w:pPr>
            <w:r>
              <w:rPr>
                <w:b/>
              </w:rPr>
              <w:t xml:space="preserve">Holds</w:t>
            </w:r>
          </w:p>
        </w:tc>
      </w:tr>
      <w:tr>
        <w:tc>
          <w:tcPr>
            <w:tcW w:w="2400" w:type="dxa"/>
            <w:vAlign w:val="center"/>
          </w:tcPr>
          <w:p>
            <w:pPr>
              <w:pStyle w:val="TableTextX"/>
            </w:pPr>
            <w:r>
              <w:t xml:space="preserve">departments</w:t>
            </w:r>
          </w:p>
        </w:tc>
        <w:tc>
          <w:tcPr>
            <w:tcW w:w="6600" w:type="dxa"/>
            <w:vAlign w:val="center"/>
          </w:tcPr>
          <w:p>
            <w:pPr>
              <w:pStyle w:val="TableTextX"/>
            </w:pPr>
            <w:r>
              <w:t xml:space="preserve">Six seeded departments (roads, electrical, sanitation, water, public_works, other)</w:t>
            </w:r>
          </w:p>
        </w:tc>
      </w:tr>
      <w:tr>
        <w:tc>
          <w:tcPr>
            <w:tcW w:w="2400" w:type="dxa"/>
            <w:vAlign w:val="center"/>
          </w:tcPr>
          <w:p>
            <w:pPr>
              <w:pStyle w:val="TableTextX"/>
            </w:pPr>
            <w:r>
              <w:t xml:space="preserve">profiles</w:t>
            </w:r>
          </w:p>
        </w:tc>
        <w:tc>
          <w:tcPr>
            <w:tcW w:w="6600" w:type="dxa"/>
            <w:vAlign w:val="center"/>
          </w:tcPr>
          <w:p>
            <w:pPr>
              <w:pStyle w:val="TableTextX"/>
            </w:pPr>
            <w:r>
              <w:t xml:space="preserve">Staff only — role, department, is_active, phone, created_by. Residents never have a row.</w:t>
            </w:r>
          </w:p>
        </w:tc>
      </w:tr>
      <w:tr>
        <w:tc>
          <w:tcPr>
            <w:tcW w:w="2400" w:type="dxa"/>
            <w:vAlign w:val="center"/>
          </w:tcPr>
          <w:p>
            <w:pPr>
              <w:pStyle w:val="TableTextX"/>
            </w:pPr>
            <w:r>
              <w:t xml:space="preserve">issues</w:t>
            </w:r>
          </w:p>
        </w:tc>
        <w:tc>
          <w:tcPr>
            <w:tcW w:w="6600" w:type="dxa"/>
            <w:vAlign w:val="center"/>
          </w:tcPr>
          <w:p>
            <w:pPr>
              <w:pStyle w:val="TableTextX"/>
            </w:pPr>
            <w:r>
              <w:t xml:space="preserve">Ticket CP-000001+ : reporter, photo/comment/geo, image_signature, classification, lifecycle, resolution, rating</w:t>
            </w:r>
          </w:p>
        </w:tc>
      </w:tr>
      <w:tr>
        <w:tc>
          <w:tcPr>
            <w:tcW w:w="2400" w:type="dxa"/>
            <w:vAlign w:val="center"/>
          </w:tcPr>
          <w:p>
            <w:pPr>
              <w:pStyle w:val="TableTextX"/>
            </w:pPr>
            <w:r>
              <w:t xml:space="preserve">issue_status_history</w:t>
            </w:r>
          </w:p>
        </w:tc>
        <w:tc>
          <w:tcPr>
            <w:tcW w:w="6600" w:type="dxa"/>
            <w:vAlign w:val="center"/>
          </w:tcPr>
          <w:p>
            <w:pPr>
              <w:pStyle w:val="TableTextX"/>
            </w:pPr>
            <w:r>
              <w:t xml:space="preserve">Append-only audit: status, note, actor (ai / resident / system / staff:name)</w:t>
            </w:r>
          </w:p>
        </w:tc>
      </w:tr>
      <w:tr>
        <w:tc>
          <w:tcPr>
            <w:tcW w:w="2400" w:type="dxa"/>
            <w:vAlign w:val="center"/>
          </w:tcPr>
          <w:p>
            <w:pPr>
              <w:pStyle w:val="TableTextX"/>
            </w:pPr>
            <w:r>
              <w:t xml:space="preserve">roster_shifts</w:t>
            </w:r>
          </w:p>
        </w:tc>
        <w:tc>
          <w:tcPr>
            <w:tcW w:w="6600" w:type="dxa"/>
            <w:vAlign w:val="center"/>
          </w:tcPr>
          <w:p>
            <w:pPr>
              <w:pStyle w:val="TableTextX"/>
            </w:pPr>
            <w:r>
              <w:t xml:space="preserve">Weekly recurring: engineer, weekday 0–6 (Mon–Sun), start/end time in IST</w:t>
            </w:r>
          </w:p>
        </w:tc>
      </w:tr>
      <w:tr>
        <w:tc>
          <w:tcPr>
            <w:tcW w:w="2400" w:type="dxa"/>
            <w:vAlign w:val="center"/>
          </w:tcPr>
          <w:p>
            <w:pPr>
              <w:pStyle w:val="TableTextX"/>
            </w:pPr>
            <w:r>
              <w:t xml:space="preserve">issue_subscribers</w:t>
            </w:r>
          </w:p>
        </w:tc>
        <w:tc>
          <w:tcPr>
            <w:tcW w:w="6600" w:type="dxa"/>
            <w:vAlign w:val="center"/>
          </w:tcPr>
          <w:p>
            <w:pPr>
              <w:pStyle w:val="TableTextX"/>
            </w:pPr>
            <w:r>
              <w:t xml:space="preserve">Who gets told about a ticket: contact, unsubscribe token, opt-out timestamp</w:t>
            </w:r>
          </w:p>
        </w:tc>
      </w:tr>
      <w:tr>
        <w:tc>
          <w:tcPr>
            <w:tcW w:w="2400" w:type="dxa"/>
            <w:vAlign w:val="center"/>
          </w:tcPr>
          <w:p>
            <w:pPr>
              <w:pStyle w:val="TableTextX"/>
            </w:pPr>
            <w:r>
              <w:t xml:space="preserve">notifications</w:t>
            </w:r>
          </w:p>
        </w:tc>
        <w:tc>
          <w:tcPr>
            <w:tcW w:w="6600" w:type="dxa"/>
            <w:vAlign w:val="center"/>
          </w:tcPr>
          <w:p>
            <w:pPr>
              <w:pStyle w:val="TableTextX"/>
            </w:pPr>
            <w:r>
              <w:t xml:space="preserve">Work queue: event, payload, status, attempts, last_error, sent_at</w:t>
            </w:r>
          </w:p>
        </w:tc>
      </w:tr>
    </w:tbl>
    <w:p>
      <w:pPr>
        <w:pStyle w:val="SpacerX"/>
      </w:pP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3200"/>
        <w:gridCol w:w="5800"/>
      </w:tblGrid>
      <w:tr>
        <w:tc>
          <w:tcPr>
            <w:tcW w:w="3200" w:type="dxa"/>
            <w:shd w:val="clear" w:color="auto" w:fill="F1F5F9"/>
            <w:vAlign w:val="center"/>
          </w:tcPr>
          <w:p>
            <w:pPr>
              <w:pStyle w:val="TableTextX"/>
            </w:pPr>
            <w:r>
              <w:rPr>
                <w:b/>
              </w:rPr>
              <w:t xml:space="preserve">Function / trigger</w:t>
            </w:r>
          </w:p>
        </w:tc>
        <w:tc>
          <w:tcPr>
            <w:tcW w:w="5800" w:type="dxa"/>
            <w:shd w:val="clear" w:color="auto" w:fill="F1F5F9"/>
            <w:vAlign w:val="center"/>
          </w:tcPr>
          <w:p>
            <w:pPr>
              <w:pStyle w:val="TableTextX"/>
            </w:pPr>
            <w:r>
              <w:rPr>
                <w:b/>
              </w:rPr>
              <w:t xml:space="preserve">Purpose</w:t>
            </w:r>
          </w:p>
        </w:tc>
      </w:tr>
      <w:tr>
        <w:tc>
          <w:tcPr>
            <w:tcW w:w="3200" w:type="dxa"/>
            <w:vAlign w:val="center"/>
          </w:tcPr>
          <w:p>
            <w:pPr>
              <w:pStyle w:val="TableTextX"/>
            </w:pPr>
            <w:r>
              <w:t xml:space="preserve">auth_role() · auth_department()</w:t>
            </w:r>
          </w:p>
        </w:tc>
        <w:tc>
          <w:tcPr>
            <w:tcW w:w="5800" w:type="dxa"/>
            <w:vAlign w:val="center"/>
          </w:tcPr>
          <w:p>
            <w:pPr>
              <w:pStyle w:val="TableTextX"/>
            </w:pPr>
            <w:r>
              <w:t xml:space="preserve">Read the caller’s role without re-entering profiles RLS and recursing</w:t>
            </w:r>
          </w:p>
        </w:tc>
      </w:tr>
      <w:tr>
        <w:tc>
          <w:tcPr>
            <w:tcW w:w="3200" w:type="dxa"/>
            <w:vAlign w:val="center"/>
          </w:tcPr>
          <w:p>
            <w:pPr>
              <w:pStyle w:val="TableTextX"/>
            </w:pPr>
            <w:r>
              <w:t xml:space="preserve">pick_engineer_for()</w:t>
            </w:r>
          </w:p>
        </w:tc>
        <w:tc>
          <w:tcPr>
            <w:tcW w:w="5800" w:type="dxa"/>
            <w:vAlign w:val="center"/>
          </w:tcPr>
          <w:p>
            <w:pPr>
              <w:pStyle w:val="TableTextX"/>
            </w:pPr>
            <w:r>
              <w:t xml:space="preserve">Least-loaded active on-shift engineer in a department, or NULL</w:t>
            </w:r>
          </w:p>
        </w:tc>
      </w:tr>
      <w:tr>
        <w:tc>
          <w:tcPr>
            <w:tcW w:w="3200" w:type="dxa"/>
            <w:vAlign w:val="center"/>
          </w:tcPr>
          <w:p>
            <w:pPr>
              <w:pStyle w:val="TableTextX"/>
            </w:pPr>
            <w:r>
              <w:t xml:space="preserve">issues_auto_assign (BEFORE INSERT)</w:t>
            </w:r>
          </w:p>
        </w:tc>
        <w:tc>
          <w:tcPr>
            <w:tcW w:w="5800" w:type="dxa"/>
            <w:vAlign w:val="center"/>
          </w:tcPr>
          <w:p>
            <w:pPr>
              <w:pStyle w:val="TableTextX"/>
            </w:pPr>
            <w:r>
              <w:t xml:space="preserve">Sets assigned_to on the row being written — no second write</w:t>
            </w:r>
          </w:p>
        </w:tc>
      </w:tr>
      <w:tr>
        <w:tc>
          <w:tcPr>
            <w:tcW w:w="3200" w:type="dxa"/>
            <w:vAlign w:val="center"/>
          </w:tcPr>
          <w:p>
            <w:pPr>
              <w:pStyle w:val="TableTextX"/>
            </w:pPr>
            <w:r>
              <w:t xml:space="preserve">issues_log_assignment (AFTER INSERT)</w:t>
            </w:r>
          </w:p>
        </w:tc>
        <w:tc>
          <w:tcPr>
            <w:tcW w:w="5800" w:type="dxa"/>
            <w:vAlign w:val="center"/>
          </w:tcPr>
          <w:p>
            <w:pPr>
              <w:pStyle w:val="TableTextX"/>
            </w:pPr>
            <w:r>
              <w:t xml:space="preserve">Writes the assignment or queued audit row</w:t>
            </w:r>
          </w:p>
        </w:tc>
      </w:tr>
      <w:tr>
        <w:tc>
          <w:tcPr>
            <w:tcW w:w="3200" w:type="dxa"/>
            <w:vAlign w:val="center"/>
          </w:tcPr>
          <w:p>
            <w:pPr>
              <w:pStyle w:val="TableTextX"/>
            </w:pPr>
            <w:r>
              <w:t xml:space="preserve">profiles_release_tickets (AFTER UPDATE)</w:t>
            </w:r>
          </w:p>
        </w:tc>
        <w:tc>
          <w:tcPr>
            <w:tcW w:w="5800" w:type="dxa"/>
            <w:vAlign w:val="center"/>
          </w:tcPr>
          <w:p>
            <w:pPr>
              <w:pStyle w:val="TableTextX"/>
            </w:pPr>
            <w:r>
              <w:t xml:space="preserve">Deactivating a user returns their open tickets to the queue</w:t>
            </w:r>
          </w:p>
        </w:tc>
      </w:tr>
      <w:tr>
        <w:tc>
          <w:tcPr>
            <w:tcW w:w="3200" w:type="dxa"/>
            <w:vAlign w:val="center"/>
          </w:tcPr>
          <w:p>
            <w:pPr>
              <w:pStyle w:val="TableTextX"/>
            </w:pPr>
            <w:r>
              <w:t xml:space="preserve">profiles_guard_privileged_columns (BEFORE UPDATE)</w:t>
            </w:r>
          </w:p>
        </w:tc>
        <w:tc>
          <w:tcPr>
            <w:tcW w:w="5800" w:type="dxa"/>
            <w:vAlign w:val="center"/>
          </w:tcPr>
          <w:p>
            <w:pPr>
              <w:pStyle w:val="TableTextX"/>
            </w:pPr>
            <w:r>
              <w:t xml:space="preserve">Only a super admin may change a role, department or active status</w:t>
            </w:r>
          </w:p>
        </w:tc>
      </w:tr>
      <w:tr>
        <w:tc>
          <w:tcPr>
            <w:tcW w:w="3200" w:type="dxa"/>
            <w:vAlign w:val="center"/>
          </w:tcPr>
          <w:p>
            <w:pPr>
              <w:pStyle w:val="TableTextX"/>
            </w:pPr>
            <w:r>
              <w:t xml:space="preserve">sweep_unassigned_issues()</w:t>
            </w:r>
          </w:p>
        </w:tc>
        <w:tc>
          <w:tcPr>
            <w:tcW w:w="5800" w:type="dxa"/>
            <w:vAlign w:val="center"/>
          </w:tcPr>
          <w:p>
            <w:pPr>
              <w:pStyle w:val="TableTextX"/>
            </w:pPr>
            <w:r>
              <w:t xml:space="preserve">Drains the queue incl. tickets held by inactive users; idempotent, every 15 min</w:t>
            </w:r>
          </w:p>
        </w:tc>
      </w:tr>
      <w:tr>
        <w:tc>
          <w:tcPr>
            <w:tcW w:w="3200" w:type="dxa"/>
            <w:vAlign w:val="center"/>
          </w:tcPr>
          <w:p>
            <w:pPr>
              <w:pStyle w:val="TableTextX"/>
            </w:pPr>
            <w:r>
              <w:t xml:space="preserve">rate_issue() (SECURITY DEFINER)</w:t>
            </w:r>
          </w:p>
        </w:tc>
        <w:tc>
          <w:tcPr>
            <w:tcW w:w="5800" w:type="dxa"/>
            <w:vAlign w:val="center"/>
          </w:tcPr>
          <w:p>
            <w:pPr>
              <w:pStyle w:val="TableTextX"/>
            </w:pPr>
            <w:r>
              <w:t xml:space="preserve">Anonymous rating; reopens on 1–2 and enforces the reopen limit</w:t>
            </w:r>
          </w:p>
        </w:tc>
      </w:tr>
      <w:tr>
        <w:tc>
          <w:tcPr>
            <w:tcW w:w="3200" w:type="dxa"/>
            <w:vAlign w:val="center"/>
          </w:tcPr>
          <w:p>
            <w:pPr>
              <w:pStyle w:val="TableTextX"/>
            </w:pPr>
            <w:r>
              <w:t xml:space="preserve">issues_enrol_reporter (AFTER INSERT)</w:t>
            </w:r>
          </w:p>
        </w:tc>
        <w:tc>
          <w:tcPr>
            <w:tcW w:w="5800" w:type="dxa"/>
            <w:vAlign w:val="center"/>
          </w:tcPr>
          <w:p>
            <w:pPr>
              <w:pStyle w:val="TableTextX"/>
            </w:pPr>
            <w:r>
              <w:t xml:space="preserve">Adds an email reporter as a subscriber and queues the confirmation</w:t>
            </w:r>
          </w:p>
        </w:tc>
      </w:tr>
      <w:tr>
        <w:tc>
          <w:tcPr>
            <w:tcW w:w="3200" w:type="dxa"/>
            <w:vAlign w:val="center"/>
          </w:tcPr>
          <w:p>
            <w:pPr>
              <w:pStyle w:val="TableTextX"/>
            </w:pPr>
            <w:r>
              <w:t xml:space="preserve">issues_notify_status_change (AFTER UPDATE OF status)</w:t>
            </w:r>
          </w:p>
        </w:tc>
        <w:tc>
          <w:tcPr>
            <w:tcW w:w="5800" w:type="dxa"/>
            <w:vAlign w:val="center"/>
          </w:tcPr>
          <w:p>
            <w:pPr>
              <w:pStyle w:val="TableTextX"/>
            </w:pPr>
            <w:r>
              <w:t xml:space="preserve">Queues an email for every subscriber on a real transition</w:t>
            </w:r>
          </w:p>
        </w:tc>
      </w:tr>
      <w:tr>
        <w:tc>
          <w:tcPr>
            <w:tcW w:w="3200" w:type="dxa"/>
            <w:vAlign w:val="center"/>
          </w:tcPr>
          <w:p>
            <w:pPr>
              <w:pStyle w:val="TableTextX"/>
            </w:pPr>
            <w:r>
              <w:t xml:space="preserve">enqueue_issue_notifications()</w:t>
            </w:r>
          </w:p>
        </w:tc>
        <w:tc>
          <w:tcPr>
            <w:tcW w:w="5800" w:type="dxa"/>
            <w:vAlign w:val="center"/>
          </w:tcPr>
          <w:p>
            <w:pPr>
              <w:pStyle w:val="TableTextX"/>
            </w:pPr>
            <w:r>
              <w:t xml:space="preserve">Fans one event out to every active subscriber with a JSON payload</w:t>
            </w:r>
          </w:p>
        </w:tc>
      </w:tr>
      <w:tr>
        <w:tc>
          <w:tcPr>
            <w:tcW w:w="3200" w:type="dxa"/>
            <w:vAlign w:val="center"/>
          </w:tcPr>
          <w:p>
            <w:pPr>
              <w:pStyle w:val="TableTextX"/>
            </w:pPr>
            <w:r>
              <w:t xml:space="preserve">subscribe_to_ticket() (SECURITY DEFINER)</w:t>
            </w:r>
          </w:p>
        </w:tc>
        <w:tc>
          <w:tcPr>
            <w:tcW w:w="5800" w:type="dxa"/>
            <w:vAlign w:val="center"/>
          </w:tcPr>
          <w:p>
            <w:pPr>
              <w:pStyle w:val="TableTextX"/>
            </w:pPr>
            <w:r>
              <w:t xml:space="preserve">Attaches a deduplicated reporter to the ticket they were merged into</w:t>
            </w:r>
          </w:p>
        </w:tc>
      </w:tr>
      <w:tr>
        <w:tc>
          <w:tcPr>
            <w:tcW w:w="3200" w:type="dxa"/>
            <w:vAlign w:val="center"/>
          </w:tcPr>
          <w:p>
            <w:pPr>
              <w:pStyle w:val="TableTextX"/>
            </w:pPr>
            <w:r>
              <w:t xml:space="preserve">claim_notifications()</w:t>
            </w:r>
          </w:p>
        </w:tc>
        <w:tc>
          <w:tcPr>
            <w:tcW w:w="5800" w:type="dxa"/>
            <w:vAlign w:val="center"/>
          </w:tcPr>
          <w:p>
            <w:pPr>
              <w:pStyle w:val="TableTextX"/>
            </w:pPr>
            <w:r>
              <w:t xml:space="preserve">Claims a batch in one UPDATE … FOR UPDATE SKIP LOCKED — no double sends</w:t>
            </w:r>
          </w:p>
        </w:tc>
      </w:tr>
      <w:tr>
        <w:tc>
          <w:tcPr>
            <w:tcW w:w="3200" w:type="dxa"/>
            <w:vAlign w:val="center"/>
          </w:tcPr>
          <w:p>
            <w:pPr>
              <w:pStyle w:val="TableTextX"/>
            </w:pPr>
            <w:r>
              <w:t xml:space="preserve">requeue_stuck_notifications()</w:t>
            </w:r>
          </w:p>
        </w:tc>
        <w:tc>
          <w:tcPr>
            <w:tcW w:w="5800" w:type="dxa"/>
            <w:vAlign w:val="center"/>
          </w:tcPr>
          <w:p>
            <w:pPr>
              <w:pStyle w:val="TableTextX"/>
            </w:pPr>
            <w:r>
              <w:t xml:space="preserve">Recovers rows stranded in sending by a worker that died; every 15 min</w:t>
            </w:r>
          </w:p>
        </w:tc>
      </w:tr>
      <w:tr>
        <w:tc>
          <w:tcPr>
            <w:tcW w:w="3200" w:type="dxa"/>
            <w:vAlign w:val="center"/>
          </w:tcPr>
          <w:p>
            <w:pPr>
              <w:pStyle w:val="TableTextX"/>
            </w:pPr>
            <w:r>
              <w:t xml:space="preserve">dispatch_notifications()</w:t>
            </w:r>
          </w:p>
        </w:tc>
        <w:tc>
          <w:tcPr>
            <w:tcW w:w="5800" w:type="dxa"/>
            <w:vAlign w:val="center"/>
          </w:tcPr>
          <w:p>
            <w:pPr>
              <w:pStyle w:val="TableTextX"/>
            </w:pPr>
            <w:r>
              <w:t xml:space="preserve">pg_cron entry point; pg_net POST to the sender, skipped when the queue is empty</w:t>
            </w:r>
          </w:p>
        </w:tc>
      </w:tr>
      <w:tr>
        <w:tc>
          <w:tcPr>
            <w:tcW w:w="3200" w:type="dxa"/>
            <w:vAlign w:val="center"/>
          </w:tcPr>
          <w:p>
            <w:pPr>
              <w:pStyle w:val="TableTextX"/>
            </w:pPr>
            <w:r>
              <w:t xml:space="preserve">unsubscribe_from_ticket() (SECURITY DEFINER)</w:t>
            </w:r>
          </w:p>
        </w:tc>
        <w:tc>
          <w:tcPr>
            <w:tcW w:w="5800" w:type="dxa"/>
            <w:vAlign w:val="center"/>
          </w:tcPr>
          <w:p>
            <w:pPr>
              <w:pStyle w:val="TableTextX"/>
            </w:pPr>
            <w:r>
              <w:t xml:space="preserve">Redeems an opt-out token and cancels that subscriber’s queued mail</w:t>
            </w:r>
          </w:p>
        </w:tc>
      </w:tr>
    </w:tbl>
    <w:p>
      <w:pPr>
        <w:pStyle w:val="SpacerX"/>
      </w:pPr>
    </w:p>
    <w:p>
      <w:pPr>
        <w:pStyle w:val="BodyX"/>
      </w:pPr>
      <w:r>
        <w:rPr>
          <w:b/>
        </w:rPr>
        <w:t xml:space="preserve">Storage &amp; security.</w:t>
      </w:r>
      <w:r>
        <w:t xml:space="preserve"> One public bucket, issue-photos, with UUID-prefixed object names; public read and insert, no delete policy, so photographic evidence cannot be removed through the app. Every secret is server-side only: OPENAI_API_KEY, SUPABASE_SERVICE_ROLE_KEY and GMAIL_APP_PASSWORD live in the Edge Function environment, and the two values pg_cron needs at run time live in Supabase Vault rather than inline in the scheduled command, which is stored as plain text and is in version control. The browser holds only the anon key, which grants nothing beyond RLS. Local secrets are gitignored and absent from the public repo.</w:t>
      </w:r>
    </w:p>
    <w:p>
      <w:pPr>
        <w:pStyle w:val="NoteX"/>
      </w:pPr>
      <w:r>
        <w:t xml:space="preserve">Two consequences worth planning for. Nothing deletes storage objects from the app, so deleting a ticket orphans its images permanently — and if a ticket’s photo is removed out of band, the duplicate check can no longer fetch it, which is why that path falls back to comparing descriptions alone. And Edge Functions must return CORS headers on every path including errors — the first deployment answered the preflight with a bare 405, so the browser blocked the request before any status existed.</w:t>
      </w:r>
    </w:p>
    <w:p>
      <w:pPr>
        <w:pStyle w:val="SpacerX"/>
      </w:pPr>
    </w:p>
    <w:p>
      <w:pPr>
        <w:pStyle w:val="Heading1"/>
      </w:pPr>
      <w:r>
        <w:t xml:space="preserve">6. AI Processing &amp; Data Structuring</w:t>
      </w:r>
    </w:p>
    <w:p>
      <w:pPr>
        <w:pStyle w:val="BodyX"/>
      </w:pPr>
      <w:r>
        <w:t xml:space="preserve">All AI runs in Edge Functions. The browser sends photo, comment and location; the function returns validated fields. No model call is made from client code and no key reaches the browser.</w:t>
      </w:r>
    </w:p>
    <w:p>
      <w:pPr>
        <w:pStyle w:val="BodyX"/>
      </w:pPr>
      <w:r>
        <w:rPr>
          <w:b/>
        </w:rPr>
        <w:t xml:space="preserve">Classification —</w:t>
      </w:r>
      <w:r>
        <w:t xml:space="preserve"> Image and text together, returned under a strict JSON Schema. Strict mode is a hard guarantee, not a prompt instruction: no prose, no partial objects, no extra fields. Sampling temperature is 0 — classification is a lookup, not a piece of writing.</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400"/>
        <w:gridCol w:w="6600"/>
      </w:tblGrid>
      <w:tr>
        <w:tc>
          <w:tcPr>
            <w:tcW w:w="2400" w:type="dxa"/>
            <w:shd w:val="clear" w:color="auto" w:fill="F1F5F9"/>
            <w:vAlign w:val="center"/>
          </w:tcPr>
          <w:p>
            <w:pPr>
              <w:pStyle w:val="TableTextX"/>
            </w:pPr>
            <w:r>
              <w:rPr>
                <w:b/>
              </w:rPr>
              <w:t xml:space="preserve">Field</w:t>
            </w:r>
          </w:p>
        </w:tc>
        <w:tc>
          <w:tcPr>
            <w:tcW w:w="6600" w:type="dxa"/>
            <w:shd w:val="clear" w:color="auto" w:fill="F1F5F9"/>
            <w:vAlign w:val="center"/>
          </w:tcPr>
          <w:p>
            <w:pPr>
              <w:pStyle w:val="TableTextX"/>
            </w:pPr>
            <w:r>
              <w:rPr>
                <w:b/>
              </w:rPr>
              <w:t xml:space="preserve">Value</w:t>
            </w:r>
          </w:p>
        </w:tc>
      </w:tr>
      <w:tr>
        <w:tc>
          <w:tcPr>
            <w:tcW w:w="2400" w:type="dxa"/>
            <w:vAlign w:val="center"/>
          </w:tcPr>
          <w:p>
            <w:pPr>
              <w:pStyle w:val="TableTextX"/>
            </w:pPr>
            <w:r>
              <w:t xml:space="preserve">issue_type</w:t>
            </w:r>
          </w:p>
        </w:tc>
        <w:tc>
          <w:tcPr>
            <w:tcW w:w="6600" w:type="dxa"/>
            <w:vAlign w:val="center"/>
          </w:tcPr>
          <w:p>
            <w:pPr>
              <w:pStyle w:val="TableTextX"/>
            </w:pPr>
            <w:r>
              <w:t xml:space="preserve">pothole · streetlight · garbage · water_leakage · damaged_infrastructure · other</w:t>
            </w:r>
          </w:p>
        </w:tc>
      </w:tr>
      <w:tr>
        <w:tc>
          <w:tcPr>
            <w:tcW w:w="2400" w:type="dxa"/>
            <w:vAlign w:val="center"/>
          </w:tcPr>
          <w:p>
            <w:pPr>
              <w:pStyle w:val="TableTextX"/>
            </w:pPr>
            <w:r>
              <w:t xml:space="preserve">department_slug</w:t>
            </w:r>
          </w:p>
        </w:tc>
        <w:tc>
          <w:tcPr>
            <w:tcW w:w="6600" w:type="dxa"/>
            <w:vAlign w:val="center"/>
          </w:tcPr>
          <w:p>
            <w:pPr>
              <w:pStyle w:val="TableTextX"/>
            </w:pPr>
            <w:r>
              <w:t xml:space="preserve">The routing decision</w:t>
            </w:r>
          </w:p>
        </w:tc>
      </w:tr>
      <w:tr>
        <w:tc>
          <w:tcPr>
            <w:tcW w:w="2400" w:type="dxa"/>
            <w:vAlign w:val="center"/>
          </w:tcPr>
          <w:p>
            <w:pPr>
              <w:pStyle w:val="TableTextX"/>
            </w:pPr>
            <w:r>
              <w:t xml:space="preserve">priority</w:t>
            </w:r>
          </w:p>
        </w:tc>
        <w:tc>
          <w:tcPr>
            <w:tcW w:w="6600" w:type="dxa"/>
            <w:vAlign w:val="center"/>
          </w:tcPr>
          <w:p>
            <w:pPr>
              <w:pStyle w:val="TableTextX"/>
            </w:pPr>
            <w:r>
              <w:t xml:space="preserve">high = hazard/blocks access · medium = nuisance · low = cosmetic</w:t>
            </w:r>
          </w:p>
        </w:tc>
      </w:tr>
      <w:tr>
        <w:tc>
          <w:tcPr>
            <w:tcW w:w="2400" w:type="dxa"/>
            <w:vAlign w:val="center"/>
          </w:tcPr>
          <w:p>
            <w:pPr>
              <w:pStyle w:val="TableTextX"/>
            </w:pPr>
            <w:r>
              <w:t xml:space="preserve">confidence</w:t>
            </w:r>
          </w:p>
        </w:tc>
        <w:tc>
          <w:tcPr>
            <w:tcW w:w="6600" w:type="dxa"/>
            <w:vAlign w:val="center"/>
          </w:tcPr>
          <w:p>
            <w:pPr>
              <w:pStyle w:val="TableTextX"/>
            </w:pPr>
            <w:r>
              <w:t xml:space="preserve">0–1, shown to staff, never used to gate</w:t>
            </w:r>
          </w:p>
        </w:tc>
      </w:tr>
      <w:tr>
        <w:tc>
          <w:tcPr>
            <w:tcW w:w="2400" w:type="dxa"/>
            <w:vAlign w:val="center"/>
          </w:tcPr>
          <w:p>
            <w:pPr>
              <w:pStyle w:val="TableTextX"/>
            </w:pPr>
            <w:r>
              <w:t xml:space="preserve">summary</w:t>
            </w:r>
          </w:p>
        </w:tc>
        <w:tc>
          <w:tcPr>
            <w:tcW w:w="6600" w:type="dxa"/>
            <w:vAlign w:val="center"/>
          </w:tcPr>
          <w:p>
            <w:pPr>
              <w:pStyle w:val="TableTextX"/>
            </w:pPr>
            <w:r>
              <w:t xml:space="preserve">One sentence shown on the ticket</w:t>
            </w:r>
          </w:p>
        </w:tc>
      </w:tr>
      <w:tr>
        <w:tc>
          <w:tcPr>
            <w:tcW w:w="2400" w:type="dxa"/>
            <w:vAlign w:val="center"/>
          </w:tcPr>
          <w:p>
            <w:pPr>
              <w:pStyle w:val="TableTextX"/>
            </w:pPr>
            <w:r>
              <w:t xml:space="preserve">duplicate_of_ticket</w:t>
            </w:r>
          </w:p>
        </w:tc>
        <w:tc>
          <w:tcPr>
            <w:tcW w:w="6600" w:type="dxa"/>
            <w:vAlign w:val="center"/>
          </w:tcPr>
          <w:p>
            <w:pPr>
              <w:pStyle w:val="TableTextX"/>
            </w:pPr>
            <w:r>
              <w:t xml:space="preserve">A nearby ticket number, or "none" — see below</w:t>
            </w:r>
          </w:p>
        </w:tc>
      </w:tr>
    </w:tbl>
    <w:p>
      <w:pPr>
        <w:pStyle w:val="SpacerX"/>
      </w:pPr>
    </w:p>
    <w:p>
      <w:pPr>
        <w:pStyle w:val="BodyX"/>
      </w:pPr>
      <w:r>
        <w:t xml:space="preserve">Classification is advisory: staff may change department and priority, and the audit trail records who did.</w:t>
      </w:r>
    </w:p>
    <w:p>
      <w:pPr>
        <w:pStyle w:val="SpacerX"/>
      </w:pPr>
    </w:p>
    <w:p>
      <w:pPr>
        <w:pStyle w:val="BodyX"/>
      </w:pPr>
      <w:r>
        <w:rPr>
          <w:b/>
        </w:rPr>
        <w:t xml:space="preserve">Duplicate detection.</w:t>
      </w:r>
      <w:r>
        <w:t xml:space="preserve"> Runs before the ticket exists — otherwise every duplicate still creates a ticket and dedup is cosmetic. It has two parts doing different jobs.</w:t>
      </w:r>
    </w:p>
    <w:p>
      <w:pPr>
        <w:pStyle w:val="BodyX"/>
      </w:pPr>
      <w:r>
        <w:rPr>
          <w:b/>
        </w:rPr>
        <w:t xml:space="preserve">Location is a hard gate:</w:t>
      </w:r>
      <w:r>
        <w:t xml:space="preserve"> only open tickets within 120 m of the new report are considered at all. Candidates are found by coordinates, which needs no classification, so the lookup happens before the model call and folds into it. Distance is a required condition, not one signal among several, so the same issue reported from Delhi can never merge into a Kolkata ticket.</w:t>
      </w:r>
    </w:p>
    <w:p>
      <w:pPr>
        <w:pStyle w:val="BodyX"/>
      </w:pPr>
      <w:r>
        <w:rPr>
          <w:b/>
        </w:rPr>
        <w:t xml:space="preserve">Sameness is decided by comparing the reports:</w:t>
      </w:r>
      <w:r>
        <w:t xml:space="preserve"> the model is shown this report’s photo and description alongside each nearby ticket’s photo and description, and names the one reporting the same physical problem, or "none". The candidate ticket numbers form the enum for that field in the strict schema, so it cannot name a ticket it was not offered, nor invent one.</w:t>
      </w:r>
    </w:p>
    <w:p>
      <w:pPr>
        <w:pStyle w:val="BodyX"/>
      </w:pPr>
      <w:r>
        <w:t xml:space="preserve">On a match the resident is shown the existing ticket — its number, current status and the date it was raised — and a history row records the corroborating report.</w:t>
      </w:r>
    </w:p>
    <w:p>
      <w:pPr>
        <w:pStyle w:val="NoteX"/>
      </w:pPr>
      <w:r>
        <w:t xml:space="preserve">Three cheaper schemes were tried first and each failed, because none of them expresses "the same physical problem". A perceptual hash of the photo recognises the same image file, not the same object: two photos of one pothole 5 m apart differ by 29 of 64 bits, and two unrelated images average 32. issue_type is not stable enough to key on — one transformer photo classified six times returned three different types. The department is stable but far too coarse: every roads report within 120 m collapses into one ticket, and a broken road is not a pothole. A footpath, a pothole and a failed transformer sit within 4 m of each other on one junction in the live data, as three separate tickets in three departments; all three now correctly resolve to themselves.</w:t>
      </w:r>
    </w:p>
    <w:p>
      <w:pPr>
        <w:pStyle w:val="BodyX"/>
      </w:pPr>
      <w:r>
        <w:t xml:space="preserve">image_signature is still computed in the browser and stored on each row, but nothing matches on it. Candidates are capped at the six nearest and their photos sent at low detail, which bounds cost and latency.</w:t>
      </w:r>
    </w:p>
    <w:p>
      <w:pPr>
        <w:pStyle w:val="SpacerX"/>
      </w:pPr>
    </w:p>
    <w:p>
      <w:pPr>
        <w:pStyle w:val="BodyX"/>
      </w:pPr>
      <w:r>
        <w:rPr>
          <w:b/>
        </w:rPr>
        <w:t xml:space="preserve">Assignment is</w:t>
      </w:r>
      <w:r>
        <w:t xml:space="preserve"> A database trigger, so every insert path is covered — web form or any future writer.</w:t>
      </w:r>
    </w:p>
    <w:p>
      <w:pPr>
        <w:pStyle w:val="BodyX"/>
      </w:pPr>
      <w:r>
        <w:t xml:space="preserve">•  Converts now() to Asia/Kolkata, derives the weekday, selects active engineers whose shift covers this moment.</w:t>
      </w:r>
    </w:p>
    <w:p>
      <w:pPr>
        <w:pStyle w:val="BodyX"/>
      </w:pPr>
      <w:r>
        <w:t xml:space="preserve">•  Picks the fewest open tickets (created / assigned / in_progress) — the bandwidth measure.</w:t>
      </w:r>
    </w:p>
    <w:p>
      <w:pPr>
        <w:pStyle w:val="BodyX"/>
      </w:pPr>
      <w:r>
        <w:t xml:space="preserve">•  Off-hours: created unassigned with the reason in the audit trail; pg_cron sweep drains it high-priority first.</w:t>
      </w:r>
    </w:p>
    <w:p>
      <w:pPr>
        <w:pStyle w:val="NoteX"/>
      </w:pPr>
      <w:r>
        <w:t xml:space="preserve">Timezone correctness is load-bearing and silent when wrong — a bad IST conversion or weekday index raises no error, it just queues tickets during hours believed covered. Verified explicitly.</w:t>
      </w:r>
    </w:p>
    <w:p>
      <w:pPr>
        <w:pStyle w:val="SpacerX"/>
      </w:pPr>
    </w:p>
    <w:p>
      <w:pPr>
        <w:pStyle w:val="BodyX"/>
      </w:pPr>
      <w:r>
        <w:rPr>
          <w:b/>
        </w:rPr>
        <w:t xml:space="preserve">Closure.</w:t>
      </w:r>
      <w:r>
        <w:t xml:space="preserve"> Resolution requires photo and description; there is no path around it. The resident then rates via the rate_issue RPC (SECURITY DEFINER, so an anonymous caller needs no table permission): 1–2 reopens and routes back, the reopen limit escalates instead, 3+ closes. Every branch writes its own audit row.</w:t>
      </w:r>
    </w:p>
    <w:p>
      <w:pPr>
        <w:pStyle w:val="SpacerX"/>
      </w:pPr>
    </w:p>
    <w:p>
      <w:pPr>
        <w:pStyle w:val="Heading1"/>
      </w:pPr>
      <w:r>
        <w:t xml:space="preserve">7. Email Notifications</w:t>
      </w:r>
    </w:p>
    <w:p>
      <w:pPr>
        <w:pStyle w:val="BodyX"/>
      </w:pPr>
      <w:r>
        <w:t xml:space="preserve">A resident who chooses Email instead of Stay Anonymous is emailed when their ticket is created and again on every status change, until they opt out. Delivery runs on Gmail SMTP from an Edge Function, scheduled from inside the database. Phone reporters are recorded but not messaged: no SMS provider is connected.</w:t>
      </w:r>
    </w:p>
    <w:p>
      <w:pPr>
        <w:pStyle w:val="Heading2"/>
      </w:pPr>
      <w:r>
        <w:t xml:space="preserve">7.1 What a resident receives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900"/>
        <w:gridCol w:w="3600"/>
        <w:gridCol w:w="3500"/>
      </w:tblGrid>
      <w:tr>
        <w:tc>
          <w:tcPr>
            <w:tcW w:w="1900" w:type="dxa"/>
            <w:shd w:val="clear" w:color="auto" w:fill="F1F5F9"/>
            <w:vAlign w:val="center"/>
          </w:tcPr>
          <w:p>
            <w:pPr>
              <w:pStyle w:val="TableTextX"/>
            </w:pPr>
            <w:r>
              <w:rPr>
                <w:b/>
              </w:rPr>
              <w:t xml:space="preserve">Event</w:t>
            </w:r>
          </w:p>
        </w:tc>
        <w:tc>
          <w:tcPr>
            <w:tcW w:w="3600" w:type="dxa"/>
            <w:shd w:val="clear" w:color="auto" w:fill="F1F5F9"/>
            <w:vAlign w:val="center"/>
          </w:tcPr>
          <w:p>
            <w:pPr>
              <w:pStyle w:val="TableTextX"/>
            </w:pPr>
            <w:r>
              <w:rPr>
                <w:b/>
              </w:rPr>
              <w:t xml:space="preserve">Sent when</w:t>
            </w:r>
          </w:p>
        </w:tc>
        <w:tc>
          <w:tcPr>
            <w:tcW w:w="3500" w:type="dxa"/>
            <w:shd w:val="clear" w:color="auto" w:fill="F1F5F9"/>
            <w:vAlign w:val="center"/>
          </w:tcPr>
          <w:p>
            <w:pPr>
              <w:pStyle w:val="TableTextX"/>
            </w:pPr>
            <w:r>
              <w:rPr>
                <w:b/>
              </w:rPr>
              <w:t xml:space="preserve">Subject</w:t>
            </w:r>
          </w:p>
        </w:tc>
      </w:tr>
      <w:tr>
        <w:tc>
          <w:tcPr>
            <w:tcW w:w="1900" w:type="dxa"/>
            <w:vAlign w:val="center"/>
          </w:tcPr>
          <w:p>
            <w:pPr>
              <w:pStyle w:val="TableTextX"/>
            </w:pPr>
            <w:r>
              <w:t xml:space="preserve">ticket_created</w:t>
            </w:r>
          </w:p>
        </w:tc>
        <w:tc>
          <w:tcPr>
            <w:tcW w:w="3600" w:type="dxa"/>
            <w:vAlign w:val="center"/>
          </w:tcPr>
          <w:p>
            <w:pPr>
              <w:pStyle w:val="TableTextX"/>
            </w:pPr>
            <w:r>
              <w:t xml:space="preserve">Their report becomes a ticket</w:t>
            </w:r>
          </w:p>
        </w:tc>
        <w:tc>
          <w:tcPr>
            <w:tcW w:w="3500" w:type="dxa"/>
            <w:vAlign w:val="center"/>
          </w:tcPr>
          <w:p>
            <w:pPr>
              <w:pStyle w:val="TableTextX"/>
            </w:pPr>
            <w:r>
              <w:t xml:space="preserve">CP-000123 — we’ve got your report</w:t>
            </w:r>
          </w:p>
        </w:tc>
      </w:tr>
      <w:tr>
        <w:tc>
          <w:tcPr>
            <w:tcW w:w="1900" w:type="dxa"/>
            <w:vAlign w:val="center"/>
          </w:tcPr>
          <w:p>
            <w:pPr>
              <w:pStyle w:val="TableTextX"/>
            </w:pPr>
            <w:r>
              <w:t xml:space="preserve">ticket_followed</w:t>
            </w:r>
          </w:p>
        </w:tc>
        <w:tc>
          <w:tcPr>
            <w:tcW w:w="3600" w:type="dxa"/>
            <w:vAlign w:val="center"/>
          </w:tcPr>
          <w:p>
            <w:pPr>
              <w:pStyle w:val="TableTextX"/>
            </w:pPr>
            <w:r>
              <w:t xml:space="preserve">Their report was merged into an existing ticket</w:t>
            </w:r>
          </w:p>
        </w:tc>
        <w:tc>
          <w:tcPr>
            <w:tcW w:w="3500" w:type="dxa"/>
            <w:vAlign w:val="center"/>
          </w:tcPr>
          <w:p>
            <w:pPr>
              <w:pStyle w:val="TableTextX"/>
            </w:pPr>
            <w:r>
              <w:t xml:space="preserve">CP-000123 — someone already reported this</w:t>
            </w:r>
          </w:p>
        </w:tc>
      </w:tr>
      <w:tr>
        <w:tc>
          <w:tcPr>
            <w:tcW w:w="1900" w:type="dxa"/>
            <w:vAlign w:val="center"/>
          </w:tcPr>
          <w:p>
            <w:pPr>
              <w:pStyle w:val="TableTextX"/>
            </w:pPr>
            <w:r>
              <w:t xml:space="preserve">status_changed</w:t>
            </w:r>
          </w:p>
        </w:tc>
        <w:tc>
          <w:tcPr>
            <w:tcW w:w="3600" w:type="dxa"/>
            <w:vAlign w:val="center"/>
          </w:tcPr>
          <w:p>
            <w:pPr>
              <w:pStyle w:val="TableTextX"/>
            </w:pPr>
            <w:r>
              <w:t xml:space="preserve">The ticket moves to any new status</w:t>
            </w:r>
          </w:p>
        </w:tc>
        <w:tc>
          <w:tcPr>
            <w:tcW w:w="3500" w:type="dxa"/>
            <w:vAlign w:val="center"/>
          </w:tcPr>
          <w:p>
            <w:pPr>
              <w:pStyle w:val="TableTextX"/>
            </w:pPr>
            <w:r>
              <w:t xml:space="preserve">CP-000123 — now in progress</w:t>
            </w:r>
          </w:p>
        </w:tc>
      </w:tr>
    </w:tbl>
    <w:p>
      <w:pPr>
        <w:pStyle w:val="BodyX"/>
      </w:pPr>
      <w:r>
        <w:t xml:space="preserve">Each email carries the ticket number, current status, department, location, the original description, a Track this ticket link, and an unsubscribe link. A resolution email also includes the crew’s completion note. Both HTML and plain-text bodies are sent; resident text is HTML-escaped, because a report description is untrusted input rendered into markup.</w:t>
      </w:r>
    </w:p>
    <w:p>
      <w:pPr>
        <w:pStyle w:val="Heading2"/>
      </w:pPr>
      <w:r>
        <w:t xml:space="preserve">7.2 The flow, end to end</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700"/>
        <w:gridCol w:w="2100"/>
        <w:gridCol w:w="6200"/>
      </w:tblGrid>
      <w:tr>
        <w:tc>
          <w:tcPr>
            <w:tcW w:w="700" w:type="dxa"/>
            <w:shd w:val="clear" w:color="auto" w:fill="F1F5F9"/>
            <w:vAlign w:val="center"/>
          </w:tcPr>
          <w:p>
            <w:pPr>
              <w:pStyle w:val="TableTextX"/>
            </w:pPr>
            <w:r>
              <w:rPr>
                <w:b/>
              </w:rPr>
              <w:t xml:space="preserve">Step</w:t>
            </w:r>
          </w:p>
        </w:tc>
        <w:tc>
          <w:tcPr>
            <w:tcW w:w="2100" w:type="dxa"/>
            <w:shd w:val="clear" w:color="auto" w:fill="F1F5F9"/>
            <w:vAlign w:val="center"/>
          </w:tcPr>
          <w:p>
            <w:pPr>
              <w:pStyle w:val="TableTextX"/>
            </w:pPr>
            <w:r>
              <w:rPr>
                <w:b/>
              </w:rPr>
              <w:t xml:space="preserve">Where</w:t>
            </w:r>
          </w:p>
        </w:tc>
        <w:tc>
          <w:tcPr>
            <w:tcW w:w="6200" w:type="dxa"/>
            <w:shd w:val="clear" w:color="auto" w:fill="F1F5F9"/>
            <w:vAlign w:val="center"/>
          </w:tcPr>
          <w:p>
            <w:pPr>
              <w:pStyle w:val="TableTextX"/>
            </w:pPr>
            <w:r>
              <w:rPr>
                <w:b/>
              </w:rPr>
              <w:t xml:space="preserve">What happens</w:t>
            </w:r>
          </w:p>
        </w:tc>
      </w:tr>
      <w:tr>
        <w:tc>
          <w:tcPr>
            <w:tcW w:w="700" w:type="dxa"/>
            <w:vAlign w:val="center"/>
          </w:tcPr>
          <w:p>
            <w:pPr>
              <w:pStyle w:val="TableTextX"/>
            </w:pPr>
            <w:r>
              <w:t xml:space="preserve">1</w:t>
            </w:r>
          </w:p>
        </w:tc>
        <w:tc>
          <w:tcPr>
            <w:tcW w:w="2100" w:type="dxa"/>
            <w:vAlign w:val="center"/>
          </w:tcPr>
          <w:p>
            <w:pPr>
              <w:pStyle w:val="TableTextX"/>
            </w:pPr>
            <w:r>
              <w:t xml:space="preserve">Postgres trigger</w:t>
            </w:r>
          </w:p>
        </w:tc>
        <w:tc>
          <w:tcPr>
            <w:tcW w:w="6200" w:type="dxa"/>
            <w:vAlign w:val="center"/>
          </w:tcPr>
          <w:p>
            <w:pPr>
              <w:pStyle w:val="TableTextX"/>
            </w:pPr>
            <w:r>
              <w:t xml:space="preserve">A ticket is created or its status changes; a row per subscriber is queued</w:t>
            </w:r>
          </w:p>
        </w:tc>
      </w:tr>
      <w:tr>
        <w:tc>
          <w:tcPr>
            <w:tcW w:w="700" w:type="dxa"/>
            <w:vAlign w:val="center"/>
          </w:tcPr>
          <w:p>
            <w:pPr>
              <w:pStyle w:val="TableTextX"/>
            </w:pPr>
            <w:r>
              <w:t xml:space="preserve">2</w:t>
            </w:r>
          </w:p>
        </w:tc>
        <w:tc>
          <w:tcPr>
            <w:tcW w:w="2100" w:type="dxa"/>
            <w:vAlign w:val="center"/>
          </w:tcPr>
          <w:p>
            <w:pPr>
              <w:pStyle w:val="TableTextX"/>
            </w:pPr>
            <w:r>
              <w:t xml:space="preserve">pg_cron, every minute</w:t>
            </w:r>
          </w:p>
        </w:tc>
        <w:tc>
          <w:tcPr>
            <w:tcW w:w="6200" w:type="dxa"/>
            <w:vAlign w:val="center"/>
          </w:tcPr>
          <w:p>
            <w:pPr>
              <w:pStyle w:val="TableTextX"/>
            </w:pPr>
            <w:r>
              <w:t xml:space="preserve">dispatch_notifications() checks for queued rows and returns early if none</w:t>
            </w:r>
          </w:p>
        </w:tc>
      </w:tr>
      <w:tr>
        <w:tc>
          <w:tcPr>
            <w:tcW w:w="700" w:type="dxa"/>
            <w:vAlign w:val="center"/>
          </w:tcPr>
          <w:p>
            <w:pPr>
              <w:pStyle w:val="TableTextX"/>
            </w:pPr>
            <w:r>
              <w:t xml:space="preserve">3</w:t>
            </w:r>
          </w:p>
        </w:tc>
        <w:tc>
          <w:tcPr>
            <w:tcW w:w="2100" w:type="dxa"/>
            <w:vAlign w:val="center"/>
          </w:tcPr>
          <w:p>
            <w:pPr>
              <w:pStyle w:val="TableTextX"/>
            </w:pPr>
            <w:r>
              <w:t xml:space="preserve">pg_net</w:t>
            </w:r>
          </w:p>
        </w:tc>
        <w:tc>
          <w:tcPr>
            <w:tcW w:w="6200" w:type="dxa"/>
            <w:vAlign w:val="center"/>
          </w:tcPr>
          <w:p>
            <w:pPr>
              <w:pStyle w:val="TableTextX"/>
            </w:pPr>
            <w:r>
              <w:t xml:space="preserve">POSTs to the send-notifications function with a service-role bearer token</w:t>
            </w:r>
          </w:p>
        </w:tc>
      </w:tr>
      <w:tr>
        <w:tc>
          <w:tcPr>
            <w:tcW w:w="700" w:type="dxa"/>
            <w:vAlign w:val="center"/>
          </w:tcPr>
          <w:p>
            <w:pPr>
              <w:pStyle w:val="TableTextX"/>
            </w:pPr>
            <w:r>
              <w:t xml:space="preserve">4</w:t>
            </w:r>
          </w:p>
        </w:tc>
        <w:tc>
          <w:tcPr>
            <w:tcW w:w="2100" w:type="dxa"/>
            <w:vAlign w:val="center"/>
          </w:tcPr>
          <w:p>
            <w:pPr>
              <w:pStyle w:val="TableTextX"/>
            </w:pPr>
            <w:r>
              <w:t xml:space="preserve">Edge Function</w:t>
            </w:r>
          </w:p>
        </w:tc>
        <w:tc>
          <w:tcPr>
            <w:tcW w:w="6200" w:type="dxa"/>
            <w:vAlign w:val="center"/>
          </w:tcPr>
          <w:p>
            <w:pPr>
              <w:pStyle w:val="TableTextX"/>
            </w:pPr>
            <w:r>
              <w:t xml:space="preserve">claim_notifications(20) claims a batch atomically and marks it sending</w:t>
            </w:r>
          </w:p>
        </w:tc>
      </w:tr>
      <w:tr>
        <w:tc>
          <w:tcPr>
            <w:tcW w:w="700" w:type="dxa"/>
            <w:vAlign w:val="center"/>
          </w:tcPr>
          <w:p>
            <w:pPr>
              <w:pStyle w:val="TableTextX"/>
            </w:pPr>
            <w:r>
              <w:t xml:space="preserve">5</w:t>
            </w:r>
          </w:p>
        </w:tc>
        <w:tc>
          <w:tcPr>
            <w:tcW w:w="2100" w:type="dxa"/>
            <w:vAlign w:val="center"/>
          </w:tcPr>
          <w:p>
            <w:pPr>
              <w:pStyle w:val="TableTextX"/>
            </w:pPr>
            <w:r>
              <w:t xml:space="preserve">Edge Function</w:t>
            </w:r>
          </w:p>
        </w:tc>
        <w:tc>
          <w:tcPr>
            <w:tcW w:w="6200" w:type="dxa"/>
            <w:vAlign w:val="center"/>
          </w:tcPr>
          <w:p>
            <w:pPr>
              <w:pStyle w:val="TableTextX"/>
            </w:pPr>
            <w:r>
              <w:t xml:space="preserve">Renders subject and body from the event and payload</w:t>
            </w:r>
          </w:p>
        </w:tc>
      </w:tr>
      <w:tr>
        <w:tc>
          <w:tcPr>
            <w:tcW w:w="700" w:type="dxa"/>
            <w:vAlign w:val="center"/>
          </w:tcPr>
          <w:p>
            <w:pPr>
              <w:pStyle w:val="TableTextX"/>
            </w:pPr>
            <w:r>
              <w:t xml:space="preserve">6</w:t>
            </w:r>
          </w:p>
        </w:tc>
        <w:tc>
          <w:tcPr>
            <w:tcW w:w="2100" w:type="dxa"/>
            <w:vAlign w:val="center"/>
          </w:tcPr>
          <w:p>
            <w:pPr>
              <w:pStyle w:val="TableTextX"/>
            </w:pPr>
            <w:r>
              <w:t xml:space="preserve">Gmail SMTP</w:t>
            </w:r>
          </w:p>
        </w:tc>
        <w:tc>
          <w:tcPr>
            <w:tcW w:w="6200" w:type="dxa"/>
            <w:vAlign w:val="center"/>
          </w:tcPr>
          <w:p>
            <w:pPr>
              <w:pStyle w:val="TableTextX"/>
            </w:pPr>
            <w:r>
              <w:t xml:space="preserve">Sent sequentially over one TLS connection on port 465</w:t>
            </w:r>
          </w:p>
        </w:tc>
      </w:tr>
      <w:tr>
        <w:tc>
          <w:tcPr>
            <w:tcW w:w="700" w:type="dxa"/>
            <w:vAlign w:val="center"/>
          </w:tcPr>
          <w:p>
            <w:pPr>
              <w:pStyle w:val="TableTextX"/>
            </w:pPr>
            <w:r>
              <w:t xml:space="preserve">7</w:t>
            </w:r>
          </w:p>
        </w:tc>
        <w:tc>
          <w:tcPr>
            <w:tcW w:w="2100" w:type="dxa"/>
            <w:vAlign w:val="center"/>
          </w:tcPr>
          <w:p>
            <w:pPr>
              <w:pStyle w:val="TableTextX"/>
            </w:pPr>
            <w:r>
              <w:t xml:space="preserve">Edge Function</w:t>
            </w:r>
          </w:p>
        </w:tc>
        <w:tc>
          <w:tcPr>
            <w:tcW w:w="6200" w:type="dxa"/>
            <w:vAlign w:val="center"/>
          </w:tcPr>
          <w:p>
            <w:pPr>
              <w:pStyle w:val="TableTextX"/>
            </w:pPr>
            <w:r>
              <w:t xml:space="preserve">Marks each row sent, or failed with the reason recorded</w:t>
            </w:r>
          </w:p>
        </w:tc>
      </w:tr>
    </w:tbl>
    <w:p>
      <w:pPr>
        <w:pStyle w:val="MetaX"/>
      </w:pPr>
      <w:r>
        <w:t xml:space="preserve">Measured in production: a report filed at 09:04:02 was delivered at 09:05:04 — 62 seconds, almost all of it waiting for the next cron tick.</w:t>
      </w:r>
    </w:p>
    <w:p>
      <w:pPr>
        <w:pStyle w:val="Heading2"/>
      </w:pPr>
      <w:r>
        <w:t xml:space="preserve">7.3 Why the database decides what to send</w:t>
      </w:r>
    </w:p>
    <w:p>
      <w:pPr>
        <w:pStyle w:val="BodyX"/>
      </w:pPr>
      <w:r>
        <w:t xml:space="preserve">Before this, notification rows were written by the frontend in two places — report submission and resolution. Eight code paths change a ticket’s status. The result was that a resident heard about creation and resolution and nothing in between, and three of those paths run inside Postgres where no frontend code could ever have reached them: the reopen and close branches of rate_issue(), the off-hours assignment sweep, and the trigger that returns tickets to the queue when a staff member is deactivated.</w:t>
      </w:r>
    </w:p>
    <w:p>
      <w:pPr>
        <w:pStyle w:val="BodyX"/>
      </w:pPr>
      <w:r>
        <w:t xml:space="preserve">An AFTER UPDATE OF status trigger covers all eight at once, and any path added later without anyone remembering this feature exists. Its WHEN clause tests old.status IS DISTINCT FROM new.status, so writing the same status again sends nothing.</w:t>
      </w:r>
    </w:p>
    <w:p>
      <w:pPr>
        <w:pStyle w:val="NoteX"/>
      </w:pPr>
      <w:r>
        <w:t xml:space="preserve">The same reasoning already applies to the audit trail, which is still written by hand at each call site and so still carries the risk this removed for email.</w:t>
      </w:r>
    </w:p>
    <w:p>
      <w:pPr>
        <w:pStyle w:val="Heading2"/>
      </w:pPr>
      <w:r>
        <w:t xml:space="preserve">7.4 Subscribers are a table, not a column</w:t>
      </w:r>
    </w:p>
    <w:p>
      <w:pPr>
        <w:pStyle w:val="BodyX"/>
      </w:pPr>
      <w:r>
        <w:t xml:space="preserve">Recipients live in issue_subscribers rather than being read from issues.reporter_contact, because of deduplication. When a report is merged into an existing ticket no new row is created, so a second resident who supplied an email had nowhere to be recorded and would never have heard anything again. They are now attached to the ticket they were merged into through subscribe_to_ticket(), and receive the same updates as the original reporter. One ticket, many followers.</w:t>
      </w:r>
    </w:p>
    <w:p>
      <w:pPr>
        <w:pStyle w:val="BodyX"/>
      </w:pPr>
      <w:r>
        <w:t xml:space="preserve">The RPC is SECURITY DEFINER because anonymous callers hold no privileges on the table at all. It validates the address shape, is idempotent on (issue_id, contact), and caps a ticket at 50 followers so it cannot be turned into a mailing list aimed at someone else.</w:t>
      </w:r>
    </w:p>
    <w:p>
      <w:pPr>
        <w:pStyle w:val="Heading2"/>
      </w:pPr>
      <w:r>
        <w:t xml:space="preserve">7.5 The queue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1500"/>
        <w:gridCol w:w="7500"/>
      </w:tblGrid>
      <w:tr>
        <w:tc>
          <w:tcPr>
            <w:tcW w:w="1500" w:type="dxa"/>
            <w:shd w:val="clear" w:color="auto" w:fill="F1F5F9"/>
            <w:vAlign w:val="center"/>
          </w:tcPr>
          <w:p>
            <w:pPr>
              <w:pStyle w:val="TableTextX"/>
            </w:pPr>
            <w:r>
              <w:rPr>
                <w:b/>
              </w:rPr>
              <w:t xml:space="preserve">Status</w:t>
            </w:r>
          </w:p>
        </w:tc>
        <w:tc>
          <w:tcPr>
            <w:tcW w:w="7500" w:type="dxa"/>
            <w:shd w:val="clear" w:color="auto" w:fill="F1F5F9"/>
            <w:vAlign w:val="center"/>
          </w:tcPr>
          <w:p>
            <w:pPr>
              <w:pStyle w:val="TableTextX"/>
            </w:pPr>
            <w:r>
              <w:rPr>
                <w:b/>
              </w:rPr>
              <w:t xml:space="preserve">Meaning</w:t>
            </w:r>
          </w:p>
        </w:tc>
      </w:tr>
      <w:tr>
        <w:tc>
          <w:tcPr>
            <w:tcW w:w="1500" w:type="dxa"/>
            <w:vAlign w:val="center"/>
          </w:tcPr>
          <w:p>
            <w:pPr>
              <w:pStyle w:val="TableTextX"/>
            </w:pPr>
            <w:r>
              <w:t xml:space="preserve">queued</w:t>
            </w:r>
          </w:p>
        </w:tc>
        <w:tc>
          <w:tcPr>
            <w:tcW w:w="7500" w:type="dxa"/>
            <w:vAlign w:val="center"/>
          </w:tcPr>
          <w:p>
            <w:pPr>
              <w:pStyle w:val="TableTextX"/>
            </w:pPr>
            <w:r>
              <w:t xml:space="preserve">Waiting to be sent</w:t>
            </w:r>
          </w:p>
        </w:tc>
      </w:tr>
      <w:tr>
        <w:tc>
          <w:tcPr>
            <w:tcW w:w="1500" w:type="dxa"/>
            <w:vAlign w:val="center"/>
          </w:tcPr>
          <w:p>
            <w:pPr>
              <w:pStyle w:val="TableTextX"/>
            </w:pPr>
            <w:r>
              <w:t xml:space="preserve">sending</w:t>
            </w:r>
          </w:p>
        </w:tc>
        <w:tc>
          <w:tcPr>
            <w:tcW w:w="7500" w:type="dxa"/>
            <w:vAlign w:val="center"/>
          </w:tcPr>
          <w:p>
            <w:pPr>
              <w:pStyle w:val="TableTextX"/>
            </w:pPr>
            <w:r>
              <w:t xml:space="preserve">Claimed by a worker right now</w:t>
            </w:r>
          </w:p>
        </w:tc>
      </w:tr>
      <w:tr>
        <w:tc>
          <w:tcPr>
            <w:tcW w:w="1500" w:type="dxa"/>
            <w:vAlign w:val="center"/>
          </w:tcPr>
          <w:p>
            <w:pPr>
              <w:pStyle w:val="TableTextX"/>
            </w:pPr>
            <w:r>
              <w:t xml:space="preserve">sent</w:t>
            </w:r>
          </w:p>
        </w:tc>
        <w:tc>
          <w:tcPr>
            <w:tcW w:w="7500" w:type="dxa"/>
            <w:vAlign w:val="center"/>
          </w:tcPr>
          <w:p>
            <w:pPr>
              <w:pStyle w:val="TableTextX"/>
            </w:pPr>
            <w:r>
              <w:t xml:space="preserve">Accepted by Gmail; sent_at recorded</w:t>
            </w:r>
          </w:p>
        </w:tc>
      </w:tr>
      <w:tr>
        <w:tc>
          <w:tcPr>
            <w:tcW w:w="1500" w:type="dxa"/>
            <w:vAlign w:val="center"/>
          </w:tcPr>
          <w:p>
            <w:pPr>
              <w:pStyle w:val="TableTextX"/>
            </w:pPr>
            <w:r>
              <w:t xml:space="preserve">failed</w:t>
            </w:r>
          </w:p>
        </w:tc>
        <w:tc>
          <w:tcPr>
            <w:tcW w:w="7500" w:type="dxa"/>
            <w:vAlign w:val="center"/>
          </w:tcPr>
          <w:p>
            <w:pPr>
              <w:pStyle w:val="TableTextX"/>
            </w:pPr>
            <w:r>
              <w:t xml:space="preserve">Five attempts exhausted; last_error holds the reason</w:t>
            </w:r>
          </w:p>
        </w:tc>
      </w:tr>
      <w:tr>
        <w:tc>
          <w:tcPr>
            <w:tcW w:w="1500" w:type="dxa"/>
            <w:vAlign w:val="center"/>
          </w:tcPr>
          <w:p>
            <w:pPr>
              <w:pStyle w:val="TableTextX"/>
            </w:pPr>
            <w:r>
              <w:t xml:space="preserve">skipped</w:t>
            </w:r>
          </w:p>
        </w:tc>
        <w:tc>
          <w:tcPr>
            <w:tcW w:w="7500" w:type="dxa"/>
            <w:vAlign w:val="center"/>
          </w:tcPr>
          <w:p>
            <w:pPr>
              <w:pStyle w:val="TableTextX"/>
            </w:pPr>
            <w:r>
              <w:t xml:space="preserve">Cancelled because the subscriber unsubscribed before it went out</w:t>
            </w:r>
          </w:p>
        </w:tc>
      </w:tr>
      <w:tr>
        <w:tc>
          <w:tcPr>
            <w:tcW w:w="1500" w:type="dxa"/>
            <w:vAlign w:val="center"/>
          </w:tcPr>
          <w:p>
            <w:pPr>
              <w:pStyle w:val="TableTextX"/>
            </w:pPr>
            <w:r>
              <w:t xml:space="preserve">logged</w:t>
            </w:r>
          </w:p>
        </w:tc>
        <w:tc>
          <w:tcPr>
            <w:tcW w:w="7500" w:type="dxa"/>
            <w:vAlign w:val="center"/>
          </w:tcPr>
          <w:p>
            <w:pPr>
              <w:pStyle w:val="TableTextX"/>
            </w:pPr>
            <w:r>
              <w:t xml:space="preserve">Pre-existing rows from before delivery existed; never eligible to send</w:t>
            </w:r>
          </w:p>
        </w:tc>
      </w:tr>
    </w:tbl>
    <w:p>
      <w:pPr>
        <w:pStyle w:val="BodyX"/>
      </w:pPr>
      <w:r>
        <w:t xml:space="preserve">claim_notifications() does the claim in a single UPDATE … FOR UPDATE SKIP LOCKED. Selecting rows and then marking them in a second statement would let two overlapping runs claim the same row and email a resident twice. The attempt counter increments at claim time, not on failure, so a row that kills the worker mid-send still burns an attempt and cannot retry forever.</w:t>
      </w:r>
    </w:p>
    <w:p>
      <w:pPr>
        <w:pStyle w:val="BodyX"/>
      </w:pPr>
      <w:r>
        <w:t xml:space="preserve">A failure returns the row to queued for the next tick, or marks it failed once five attempts are used. If a worker dies between sending and reporting, its rows are stranded in sending; requeue_stuck_notifications() recovers anything held longer than ten minutes and runs on its own fifteen-minute schedule.</w:t>
      </w:r>
    </w:p>
    <w:p>
      <w:pPr>
        <w:pStyle w:val="Heading2"/>
      </w:pPr>
      <w:r>
        <w:t xml:space="preserve">7.6 Dispatch and the Gmail account</w:t>
      </w:r>
    </w:p>
    <w:p>
      <w:pPr>
        <w:pStyle w:val="BodyX"/>
      </w:pPr>
      <w:r>
        <w:t xml:space="preserve">pg_cron was already in use for the assignment sweep, so scheduling needed no new infrastructure. pg_net makes the outbound call. The scheduled command reads the function URL and a service-role key from Supabase Vault: cron.job stores its command as plain text, so an inline key would be readable and would end up in version control.</w:t>
      </w:r>
    </w:p>
    <w:p>
      <w:pPr>
        <w:pStyle w:val="BodyX"/>
      </w:pPr>
      <w:r>
        <w:t xml:space="preserve">The call is deliberately fire-and-forget. pg_net is asynchronous and nothing reads the response, because the function reports what it did by updating the queue rows themselves. A POST that never lands leaves rows queued and the next tick retries.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2000"/>
        <w:gridCol w:w="7000"/>
      </w:tblGrid>
      <w:tr>
        <w:tc>
          <w:tcPr>
            <w:tcW w:w="2000" w:type="dxa"/>
            <w:shd w:val="clear" w:color="auto" w:fill="F1F5F9"/>
            <w:vAlign w:val="center"/>
          </w:tcPr>
          <w:p>
            <w:pPr>
              <w:pStyle w:val="TableTextX"/>
            </w:pPr>
            <w:r>
              <w:rPr>
                <w:b/>
              </w:rPr>
              <w:t xml:space="preserve">Setting</w:t>
            </w:r>
          </w:p>
        </w:tc>
        <w:tc>
          <w:tcPr>
            <w:tcW w:w="7000" w:type="dxa"/>
            <w:shd w:val="clear" w:color="auto" w:fill="F1F5F9"/>
            <w:vAlign w:val="center"/>
          </w:tcPr>
          <w:p>
            <w:pPr>
              <w:pStyle w:val="TableTextX"/>
            </w:pPr>
            <w:r>
              <w:rPr>
                <w:b/>
              </w:rPr>
              <w:t xml:space="preserve">Value</w:t>
            </w:r>
          </w:p>
        </w:tc>
      </w:tr>
      <w:tr>
        <w:tc>
          <w:tcPr>
            <w:tcW w:w="2000" w:type="dxa"/>
            <w:vAlign w:val="center"/>
          </w:tcPr>
          <w:p>
            <w:pPr>
              <w:pStyle w:val="TableTextX"/>
            </w:pPr>
            <w:r>
              <w:t xml:space="preserve">Sender account</w:t>
            </w:r>
          </w:p>
        </w:tc>
        <w:tc>
          <w:tcPr>
            <w:tcW w:w="7000" w:type="dxa"/>
            <w:vAlign w:val="center"/>
          </w:tcPr>
          <w:p>
            <w:pPr>
              <w:pStyle w:val="TableTextX"/>
            </w:pPr>
            <w:r>
              <w:t xml:space="preserve">A Gmail account with 2-Step Verification enabled</w:t>
            </w:r>
          </w:p>
        </w:tc>
      </w:tr>
      <w:tr>
        <w:tc>
          <w:tcPr>
            <w:tcW w:w="2000" w:type="dxa"/>
            <w:vAlign w:val="center"/>
          </w:tcPr>
          <w:p>
            <w:pPr>
              <w:pStyle w:val="TableTextX"/>
            </w:pPr>
            <w:r>
              <w:t xml:space="preserve">Credential</w:t>
            </w:r>
          </w:p>
        </w:tc>
        <w:tc>
          <w:tcPr>
            <w:tcW w:w="7000" w:type="dxa"/>
            <w:vAlign w:val="center"/>
          </w:tcPr>
          <w:p>
            <w:pPr>
              <w:pStyle w:val="TableTextX"/>
            </w:pPr>
            <w:r>
              <w:t xml:space="preserve">A 16-character Google App Password — a normal password cannot authenticate SMTP</w:t>
            </w:r>
          </w:p>
        </w:tc>
      </w:tr>
      <w:tr>
        <w:tc>
          <w:tcPr>
            <w:tcW w:w="2000" w:type="dxa"/>
            <w:vAlign w:val="center"/>
          </w:tcPr>
          <w:p>
            <w:pPr>
              <w:pStyle w:val="TableTextX"/>
            </w:pPr>
            <w:r>
              <w:t xml:space="preserve">Transport</w:t>
            </w:r>
          </w:p>
        </w:tc>
        <w:tc>
          <w:tcPr>
            <w:tcW w:w="7000" w:type="dxa"/>
            <w:vAlign w:val="center"/>
          </w:tcPr>
          <w:p>
            <w:pPr>
              <w:pStyle w:val="TableTextX"/>
            </w:pPr>
            <w:r>
              <w:t xml:space="preserve">smtp.gmail.com : 465, implicit TLS, via denomailer</w:t>
            </w:r>
          </w:p>
        </w:tc>
      </w:tr>
      <w:tr>
        <w:tc>
          <w:tcPr>
            <w:tcW w:w="2000" w:type="dxa"/>
            <w:vAlign w:val="center"/>
          </w:tcPr>
          <w:p>
            <w:pPr>
              <w:pStyle w:val="TableTextX"/>
            </w:pPr>
            <w:r>
              <w:t xml:space="preserve">Function secrets</w:t>
            </w:r>
          </w:p>
        </w:tc>
        <w:tc>
          <w:tcPr>
            <w:tcW w:w="7000" w:type="dxa"/>
            <w:vAlign w:val="center"/>
          </w:tcPr>
          <w:p>
            <w:pPr>
              <w:pStyle w:val="TableTextX"/>
            </w:pPr>
            <w:r>
              <w:t xml:space="preserve">GMAIL_USER · GMAIL_APP_PASSWORD · PUBLIC_SITE_URL</w:t>
            </w:r>
          </w:p>
        </w:tc>
      </w:tr>
      <w:tr>
        <w:tc>
          <w:tcPr>
            <w:tcW w:w="2000" w:type="dxa"/>
            <w:vAlign w:val="center"/>
          </w:tcPr>
          <w:p>
            <w:pPr>
              <w:pStyle w:val="TableTextX"/>
            </w:pPr>
            <w:r>
              <w:t xml:space="preserve">Vault secrets</w:t>
            </w:r>
          </w:p>
        </w:tc>
        <w:tc>
          <w:tcPr>
            <w:tcW w:w="7000" w:type="dxa"/>
            <w:vAlign w:val="center"/>
          </w:tcPr>
          <w:p>
            <w:pPr>
              <w:pStyle w:val="TableTextX"/>
            </w:pPr>
            <w:r>
              <w:t xml:space="preserve">notifications_function_url · notifications_service_key</w:t>
            </w:r>
          </w:p>
        </w:tc>
      </w:tr>
      <w:tr>
        <w:tc>
          <w:tcPr>
            <w:tcW w:w="2000" w:type="dxa"/>
            <w:vAlign w:val="center"/>
          </w:tcPr>
          <w:p>
            <w:pPr>
              <w:pStyle w:val="TableTextX"/>
            </w:pPr>
            <w:r>
              <w:t xml:space="preserve">Practical ceiling</w:t>
            </w:r>
          </w:p>
        </w:tc>
        <w:tc>
          <w:tcPr>
            <w:tcW w:w="7000" w:type="dxa"/>
            <w:vAlign w:val="center"/>
          </w:tcPr>
          <w:p>
            <w:pPr>
              <w:pStyle w:val="TableTextX"/>
            </w:pPr>
            <w:r>
              <w:t xml:space="preserve">~500 recipients per day on a free Gmail account</w:t>
            </w:r>
          </w:p>
        </w:tc>
      </w:tr>
    </w:tbl>
    <w:p>
      <w:pPr>
        <w:pStyle w:val="BodyX"/>
      </w:pPr>
      <w:r>
        <w:t xml:space="preserve">Gmail forces the From header to the authenticated account, so the sending address is whichever account issued the App Password. The sender sits behind a small interface in the function, so moving to an HTTPS provider later means replacing one factory and nothing else.</w:t>
      </w:r>
    </w:p>
    <w:p>
      <w:pPr>
        <w:pStyle w:val="NoteX"/>
      </w:pPr>
      <w:r>
        <w:t xml:space="preserve">Two things were unknown until tested against the deployed project and are worth recording. Supabase’s edge runtime does permit raw SMTP on port 465 — this was the main risk in choosing Gmail over an HTTP API. And a project can hold more than one valid service_role key, so the function authorises on the token’s role claim rather than comparing bytes against the key injected into its own environment; the first version rejected a perfectly good key with a 403.</w:t>
      </w:r>
    </w:p>
    <w:p>
      <w:pPr>
        <w:pStyle w:val="Heading2"/>
      </w:pPr>
      <w:r>
        <w:t xml:space="preserve">7.7 Security work this required</w:t>
      </w:r>
    </w:p>
    <w:p>
      <w:pPr>
        <w:pStyle w:val="BodyX"/>
      </w:pPr>
      <w:r>
        <w:t xml:space="preserve">Two pre-existing defects were harmless while notifications were only a log and would have become incidents the moment anything drained the table. Both were fixed before the sender was built.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10" w:type="dxa"/>
          <w:bottom w:w="60" w:type="dxa"/>
          <w:right w:w="110" w:type="dxa"/>
        </w:tblCellMar>
      </w:tblPr>
      <w:tblGrid>
        <w:gridCol w:w="3900"/>
        <w:gridCol w:w="5100"/>
      </w:tblGrid>
      <w:tr>
        <w:tc>
          <w:tcPr>
            <w:tcW w:w="3900" w:type="dxa"/>
            <w:shd w:val="clear" w:color="auto" w:fill="F1F5F9"/>
            <w:vAlign w:val="center"/>
          </w:tcPr>
          <w:p>
            <w:pPr>
              <w:pStyle w:val="TableTextX"/>
            </w:pPr>
            <w:r>
              <w:rPr>
                <w:b/>
              </w:rPr>
              <w:t xml:space="preserve">Defect</w:t>
            </w:r>
          </w:p>
        </w:tc>
        <w:tc>
          <w:tcPr>
            <w:tcW w:w="5100" w:type="dxa"/>
            <w:shd w:val="clear" w:color="auto" w:fill="F1F5F9"/>
            <w:vAlign w:val="center"/>
          </w:tcPr>
          <w:p>
            <w:pPr>
              <w:pStyle w:val="TableTextX"/>
            </w:pPr>
            <w:r>
              <w:rPr>
                <w:b/>
              </w:rPr>
              <w:t xml:space="preserve">Fix</w:t>
            </w:r>
          </w:p>
        </w:tc>
      </w:tr>
      <w:tr>
        <w:tc>
          <w:tcPr>
            <w:tcW w:w="3900" w:type="dxa"/>
            <w:vAlign w:val="center"/>
          </w:tcPr>
          <w:p>
            <w:pPr>
              <w:pStyle w:val="TableTextX"/>
            </w:pPr>
            <w:r>
              <w:t xml:space="preserve">issues was readable in full by anyone with the anon key, exposing every reporter’s contact details</w:t>
            </w:r>
          </w:p>
        </w:tc>
        <w:tc>
          <w:tcPr>
            <w:tcW w:w="5100" w:type="dxa"/>
            <w:vAlign w:val="center"/>
          </w:tcPr>
          <w:p>
            <w:pPr>
              <w:pStyle w:val="TableTextX"/>
            </w:pPr>
            <w:r>
              <w:t xml:space="preserve">Column-level GRANT to anon withholding reporter_contact, reporter_channel and image_signature; the tracking page names its columns</w:t>
            </w:r>
          </w:p>
        </w:tc>
      </w:tr>
      <w:tr>
        <w:tc>
          <w:tcPr>
            <w:tcW w:w="3900" w:type="dxa"/>
            <w:vAlign w:val="center"/>
          </w:tcPr>
          <w:p>
            <w:pPr>
              <w:pStyle w:val="TableTextX"/>
            </w:pPr>
            <w:r>
              <w:t xml:space="preserve">notifications allowed public INSERT — an open email relay once a sender exists</w:t>
            </w:r>
          </w:p>
        </w:tc>
        <w:tc>
          <w:tcPr>
            <w:tcW w:w="5100" w:type="dxa"/>
            <w:vAlign w:val="center"/>
          </w:tcPr>
          <w:p>
            <w:pPr>
              <w:pStyle w:val="TableTextX"/>
            </w:pPr>
            <w:r>
              <w:t xml:space="preserve">Insert policy dropped; rows are written only by SECURITY DEFINER functions</w:t>
            </w:r>
          </w:p>
        </w:tc>
      </w:tr>
      <w:tr>
        <w:tc>
          <w:tcPr>
            <w:tcW w:w="3900" w:type="dxa"/>
            <w:vAlign w:val="center"/>
          </w:tcPr>
          <w:p>
            <w:pPr>
              <w:pStyle w:val="TableTextX"/>
            </w:pPr>
            <w:r>
              <w:t xml:space="preserve">Queue functions were callable by anonymous visitors, who could read every queued recipient and discard mail</w:t>
            </w:r>
          </w:p>
        </w:tc>
        <w:tc>
          <w:tcPr>
            <w:tcW w:w="5100" w:type="dxa"/>
            <w:vAlign w:val="center"/>
          </w:tcPr>
          <w:p>
            <w:pPr>
              <w:pStyle w:val="TableTextX"/>
            </w:pPr>
            <w:r>
              <w:t xml:space="preserve">EXECUTE revoked from anon and authenticated by name, and revoked by default for future functions</w:t>
            </w:r>
          </w:p>
        </w:tc>
      </w:tr>
    </w:tbl>
    <w:p>
      <w:pPr>
        <w:pStyle w:val="NoteX"/>
      </w:pPr>
      <w:r>
        <w:t xml:space="preserve">The third was introduced by this work and caught by testing the grants rather than assuming them. Revoking EXECUTE from PUBLIC is the usual advice and is not sufficient on Supabase, whose default privileges grant EXECUTE directly to anon and authenticated as well.</w:t>
      </w:r>
    </w:p>
    <w:p>
      <w:pPr>
        <w:pStyle w:val="Heading2"/>
      </w:pPr>
      <w:r>
        <w:t xml:space="preserve">7.8 Opting out</w:t>
      </w:r>
    </w:p>
    <w:p>
      <w:pPr>
        <w:pStyle w:val="BodyX"/>
      </w:pPr>
      <w:r>
        <w:t xml:space="preserve">Every email links to /unsubscribe carrying an unguessable token scoped to one subscription. The page requires a button press rather than acting on page load, because mail clients and security scanners follow links before a person reads them and would otherwise unsubscribe residents who never clicked. Redeeming the token also cancels anything already queued for that subscriber, so no further mail arrives after the confirmation. The ticket itself is unaffected and can still be tracked.</w:t>
      </w:r>
    </w:p>
    <w:p>
      <w:pPr>
        <w:pStyle w:val="SpacerX"/>
      </w:pPr>
    </w:p>
    <w:sectPr>
      <w:pgSz w:w="11906" w:h="16838"/>
      <w:pgMar w:top="1021" w:right="1021" w:bottom="1021" w:left="1021" w:header="708" w:footer="708" w:gutter="0"/>
    </w:sectPr>
  </w:body>
</w:document>
</file>

<file path=word/styles.xml><?xml version="1.0" encoding="utf-8"?>
<w:styles xmlns:w="http://schemas.openxmlformats.org/wordprocessingml/2006/main">
  <w:docDefaults>
    <w:rPrDefault>
      <w:rPr>
        <w:rFonts w:ascii="Calibri" w:hAnsi="Calibri" w:cs="Calibri"/>
        <w:sz w:val="19"/>
        <w:szCs w:val="19"/>
      </w:rPr>
    </w:rPrDefault>
  </w:docDefaults>
  <w:style w:type="paragraph" w:default="1" w:styleId="Normal">
    <w:name w:val="Normal"/>
    <w:pPr>
      <w:spacing w:after="90" w:line="252" w:lineRule="auto"/>
    </w:pPr>
  </w:style>
  <w:style w:type="paragraph" w:styleId="TitleX">
    <w:name w:val="TitleX"/>
    <w:basedOn w:val="Normal"/>
    <w:pPr>
      <w:spacing w:before="0" w:after="40"/>
    </w:pPr>
    <w:rPr>
      <w:b/>
      <w:color w:val="0F766E"/>
      <w:sz w:val="48"/>
    </w:rPr>
  </w:style>
  <w:style w:type="paragraph" w:styleId="SubtitleX">
    <w:name w:val="SubtitleX"/>
    <w:basedOn w:val="Normal"/>
    <w:pPr>
      <w:spacing w:after="20"/>
    </w:pPr>
    <w:rPr>
      <w:color w:val="334155"/>
      <w:sz w:val="26"/>
    </w:rPr>
  </w:style>
  <w:style w:type="paragraph" w:styleId="MetaX">
    <w:name w:val="MetaX"/>
    <w:basedOn w:val="Normal"/>
    <w:pPr>
      <w:spacing w:after="140"/>
    </w:pPr>
    <w:rPr>
      <w:color w:val="64748B"/>
      <w:sz w:val="17"/>
    </w:rPr>
  </w:style>
  <w:style w:type="paragraph" w:styleId="Heading1">
    <w:name w:val="heading 1"/>
    <w:basedOn w:val="Normal"/>
    <w:pPr>
      <w:keepNext/>
      <w:spacing w:before="260" w:after="100"/>
      <w:pBdr>
        <w:bottom w:val="single" w:sz="6" w:space="3" w:color="99F6E4"/>
      </w:pBdr>
      <w:outlineLvl w:val="0"/>
    </w:pPr>
    <w:rPr>
      <w:b/>
      <w:color w:val="0F766E"/>
      <w:sz w:val="28"/>
    </w:rPr>
  </w:style>
  <w:style w:type="paragraph" w:styleId="Heading2">
    <w:name w:val="heading 2"/>
    <w:basedOn w:val="Normal"/>
    <w:pPr>
      <w:keepNext/>
      <w:spacing w:before="180" w:after="70"/>
      <w:outlineLvl w:val="1"/>
    </w:pPr>
    <w:rPr>
      <w:b/>
      <w:color w:val="0F172A"/>
      <w:sz w:val="22"/>
    </w:rPr>
  </w:style>
  <w:style w:type="paragraph" w:styleId="BodyX">
    <w:name w:val="BodyX"/>
    <w:basedOn w:val="Normal"/>
    <w:pPr>
      <w:spacing w:after="80"/>
    </w:pPr>
  </w:style>
  <w:style w:type="paragraph" w:styleId="NoteX">
    <w:name w:val="NoteX"/>
    <w:basedOn w:val="Normal"/>
    <w:pPr>
      <w:spacing w:before="90" w:after="110"/>
      <w:ind w:left="170" w:right="170"/>
      <w:pBdr>
        <w:left w:val="single" w:sz="16" w:space="7" w:color="14B8A6"/>
      </w:pBdr>
      <w:shd w:val="clear" w:color="auto" w:fill="F8FAFC"/>
    </w:pPr>
    <w:rPr>
      <w:i/>
      <w:color w:val="334155"/>
      <w:sz w:val="18"/>
    </w:rPr>
  </w:style>
  <w:style w:type="paragraph" w:styleId="TableTextX">
    <w:name w:val="TableTextX"/>
    <w:basedOn w:val="Normal"/>
    <w:pPr>
      <w:spacing w:before="30" w:after="30" w:line="240" w:lineRule="auto"/>
    </w:pPr>
    <w:rPr>
      <w:sz w:val="17"/>
    </w:rPr>
  </w:style>
  <w:style w:type="paragraph" w:styleId="SpacerX">
    <w:name w:val="SpacerX"/>
    <w:basedOn w:val="Normal"/>
    <w:pPr>
      <w:spacing w:after="0"/>
    </w:pPr>
    <w:rPr>
      <w:sz w:val="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