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BC" w:rsidRDefault="00C17B4F" w:rsidP="00947BAE">
      <w:pPr>
        <w:spacing w:line="500" w:lineRule="exact"/>
        <w:jc w:val="center"/>
        <w:rPr>
          <w:rFonts w:ascii="微軟正黑體" w:eastAsia="微軟正黑體" w:hAnsi="微軟正黑體"/>
          <w:b/>
          <w:sz w:val="32"/>
        </w:rPr>
      </w:pPr>
      <w:bookmarkStart w:id="0" w:name="_GoBack"/>
      <w:bookmarkEnd w:id="0"/>
      <w:r w:rsidRPr="00C17B4F">
        <w:rPr>
          <w:rFonts w:ascii="微軟正黑體" w:eastAsia="微軟正黑體" w:hAnsi="微軟正黑體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A0B87" wp14:editId="52892EC8">
                <wp:simplePos x="0" y="0"/>
                <wp:positionH relativeFrom="column">
                  <wp:posOffset>48029</wp:posOffset>
                </wp:positionH>
                <wp:positionV relativeFrom="paragraph">
                  <wp:posOffset>-401955</wp:posOffset>
                </wp:positionV>
                <wp:extent cx="942109" cy="394855"/>
                <wp:effectExtent l="0" t="0" r="10795" b="2476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109" cy="39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B4F" w:rsidRPr="00C17B4F" w:rsidRDefault="00C17B4F" w:rsidP="00C17B4F">
                            <w:pPr>
                              <w:spacing w:line="400" w:lineRule="exac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17B4F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附表</w:t>
                            </w:r>
                            <w:proofErr w:type="gramStart"/>
                            <w:r w:rsidR="004D5FC9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.8pt;margin-top:-31.65pt;width:74.2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FHQQIAAEgEAAAOAAAAZHJzL2Uyb0RvYy54bWysVF1u2zAMfh+wOwh6X+ykyZoYcYouXYYB&#10;3Q/Q7QCyLMfCZFGTlNjZBQrsAN3zDrAD7EDtOUbJaZp2b8P8IJAi9ZH8SHp+1jWKbIV1EnROh4OU&#10;EqE5lFKvc/r50+rFlBLnmS6ZAi1yuhOOni2eP5u3JhMjqEGVwhIE0S5rTU5r702WJI7XomFuAEZo&#10;NFZgG+ZRteuktKxF9EYlozR9mbRgS2OBC+fw9qI30kXEryrB/YeqcsITlVPMzcfTxrMIZ7KYs2xt&#10;makl36fB/iGLhkmNQQ9QF8wzsrHyL6hGcgsOKj/g0CRQVZKLWANWM0yfVHNVMyNiLUiOMwea3P+D&#10;5e+3Hy2RZU5P0lNKNGuwSXc317e/ftzd/L79+Z2MAketcRm6Xhl09t0r6LDXsV5nLoF/cUTDsmZ6&#10;Lc6thbYWrMQch+FlcvS0x3EBpGjfQYmh2MZDBOoq2wQCkRKC6Nir3aE/ovOE4+VsPBqmM0o4mk5m&#10;4+lkEiOw7P6xsc6/EdCQIOTUYvsjONteOh+SYdm9S4jlQMlyJZWKil0XS2XJluGorOK3R3/kpjRp&#10;MZPJaNLX/wgiTK04gPiuZ+BJoEZ6HHklm5xO0/CFMCwLpL3WZZQ9k6qXMWOl9ywG4noKfVd06Bio&#10;LaDcIZ8W+tHGVUShBvuNkhbHOqfu64ZZQYl6q7Ens+F4HPYgKuPJ6QgVe2wpji1Mc4TKqaekF5c+&#10;7k7IV8M59q6SkdeHTPa54rhGuverFfbhWI9eDz+AxR8AAAD//wMAUEsDBBQABgAIAAAAIQAmdsp9&#10;3QAAAAgBAAAPAAAAZHJzL2Rvd25yZXYueG1sTI9BS8NAEIXvgv9hGcFbu4nFKDGbIpXUk0KjIN6m&#10;2TEJZmdDdtvGf+/0pMd57/Hme8V6doM60hR6zwbSZQKKuPG259bA+1u1uAcVIrLFwTMZ+KEA6/Ly&#10;osDc+hPv6FjHVkkJhxwNdDGOudah6chhWPqRWLwvPzmMck6tthOepNwN+iZJMu2wZ/nQ4Uibjprv&#10;+uAMPG+bpzrogNV29zJ+bj5sZV+tMddX8+MDqEhz/AvDGV/QoRSmvT+wDWowcJdJ0MAiW61Anf3b&#10;TLbtRUlT0GWh/w8ofwEAAP//AwBQSwECLQAUAAYACAAAACEAtoM4kv4AAADhAQAAEwAAAAAAAAAA&#10;AAAAAAAAAAAAW0NvbnRlbnRfVHlwZXNdLnhtbFBLAQItABQABgAIAAAAIQA4/SH/1gAAAJQBAAAL&#10;AAAAAAAAAAAAAAAAAC8BAABfcmVscy8ucmVsc1BLAQItABQABgAIAAAAIQAksvFHQQIAAEgEAAAO&#10;AAAAAAAAAAAAAAAAAC4CAABkcnMvZTJvRG9jLnhtbFBLAQItABQABgAIAAAAIQAmdsp93QAAAAgB&#10;AAAPAAAAAAAAAAAAAAAAAJsEAABkcnMvZG93bnJldi54bWxQSwUGAAAAAAQABADzAAAApQUAAAAA&#10;" strokecolor="black [3213]">
                <v:textbox>
                  <w:txbxContent>
                    <w:p w:rsidR="00C17B4F" w:rsidRPr="00C17B4F" w:rsidRDefault="00C17B4F" w:rsidP="00C17B4F">
                      <w:pPr>
                        <w:spacing w:line="400" w:lineRule="exact"/>
                        <w:rPr>
                          <w:b/>
                          <w:sz w:val="36"/>
                          <w:szCs w:val="36"/>
                        </w:rPr>
                      </w:pPr>
                      <w:r w:rsidRPr="00C17B4F">
                        <w:rPr>
                          <w:rFonts w:hint="eastAsia"/>
                          <w:b/>
                          <w:sz w:val="36"/>
                          <w:szCs w:val="36"/>
                        </w:rPr>
                        <w:t>附表</w:t>
                      </w:r>
                      <w:proofErr w:type="gramStart"/>
                      <w:r w:rsidR="004D5FC9">
                        <w:rPr>
                          <w:rFonts w:hint="eastAsia"/>
                          <w:b/>
                          <w:sz w:val="36"/>
                          <w:szCs w:val="36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5CBC" w:rsidRPr="00537F09">
        <w:rPr>
          <w:rFonts w:ascii="微軟正黑體" w:eastAsia="微軟正黑體" w:hAnsi="微軟正黑體" w:hint="eastAsia"/>
          <w:b/>
          <w:sz w:val="32"/>
        </w:rPr>
        <w:t>天災費率結構類別及說明</w:t>
      </w:r>
    </w:p>
    <w:p w:rsidR="00947BAE" w:rsidRDefault="00947BAE" w:rsidP="00947BAE">
      <w:pPr>
        <w:spacing w:line="500" w:lineRule="exact"/>
        <w:jc w:val="center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(僅供103.4.1起</w:t>
      </w:r>
      <w:r w:rsidR="008E1D5F">
        <w:rPr>
          <w:rFonts w:ascii="微軟正黑體" w:eastAsia="微軟正黑體" w:hAnsi="微軟正黑體" w:hint="eastAsia"/>
          <w:b/>
          <w:sz w:val="32"/>
        </w:rPr>
        <w:t>為配合保發</w:t>
      </w:r>
      <w:r w:rsidR="00F31B86">
        <w:rPr>
          <w:rFonts w:ascii="微軟正黑體" w:eastAsia="微軟正黑體" w:hAnsi="微軟正黑體" w:hint="eastAsia"/>
          <w:b/>
          <w:sz w:val="32"/>
        </w:rPr>
        <w:t>天災</w:t>
      </w:r>
      <w:r w:rsidR="008E0EA7">
        <w:rPr>
          <w:rFonts w:ascii="微軟正黑體" w:eastAsia="微軟正黑體" w:hAnsi="微軟正黑體" w:hint="eastAsia"/>
          <w:b/>
          <w:sz w:val="32"/>
        </w:rPr>
        <w:t>模型建置</w:t>
      </w:r>
      <w:r>
        <w:rPr>
          <w:rFonts w:ascii="微軟正黑體" w:eastAsia="微軟正黑體" w:hAnsi="微軟正黑體" w:hint="eastAsia"/>
          <w:b/>
          <w:sz w:val="32"/>
        </w:rPr>
        <w:t>蒐集資料適用)</w:t>
      </w:r>
    </w:p>
    <w:p w:rsidR="009D1B0D" w:rsidRPr="009D1B0D" w:rsidRDefault="009D1B0D" w:rsidP="00947BAE">
      <w:pPr>
        <w:spacing w:line="240" w:lineRule="exact"/>
        <w:ind w:rightChars="353" w:right="847"/>
        <w:jc w:val="right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(103.</w:t>
      </w:r>
      <w:r w:rsidR="008F22E0">
        <w:rPr>
          <w:rFonts w:ascii="微軟正黑體" w:eastAsia="微軟正黑體" w:hAnsi="微軟正黑體" w:hint="eastAsia"/>
          <w:b/>
          <w:sz w:val="20"/>
          <w:szCs w:val="20"/>
        </w:rPr>
        <w:t>4.16</w:t>
      </w:r>
      <w:proofErr w:type="gramStart"/>
      <w:r w:rsidR="00577D28">
        <w:rPr>
          <w:rFonts w:ascii="微軟正黑體" w:eastAsia="微軟正黑體" w:hAnsi="微軟正黑體" w:hint="eastAsia"/>
          <w:b/>
          <w:sz w:val="20"/>
          <w:szCs w:val="20"/>
        </w:rPr>
        <w:t>火委會</w:t>
      </w:r>
      <w:proofErr w:type="gramEnd"/>
      <w:r w:rsidR="00577D28">
        <w:rPr>
          <w:rFonts w:ascii="微軟正黑體" w:eastAsia="微軟正黑體" w:hAnsi="微軟正黑體" w:hint="eastAsia"/>
          <w:b/>
          <w:sz w:val="20"/>
          <w:szCs w:val="20"/>
        </w:rPr>
        <w:t>通過</w:t>
      </w:r>
      <w:r>
        <w:rPr>
          <w:rFonts w:ascii="微軟正黑體" w:eastAsia="微軟正黑體" w:hAnsi="微軟正黑體" w:hint="eastAsia"/>
          <w:b/>
          <w:sz w:val="20"/>
          <w:szCs w:val="20"/>
        </w:rPr>
        <w:t>)</w:t>
      </w:r>
    </w:p>
    <w:tbl>
      <w:tblPr>
        <w:tblStyle w:val="a3"/>
        <w:tblW w:w="10206" w:type="dxa"/>
        <w:tblInd w:w="392" w:type="dxa"/>
        <w:tblLook w:val="04A0" w:firstRow="1" w:lastRow="0" w:firstColumn="1" w:lastColumn="0" w:noHBand="0" w:noVBand="1"/>
      </w:tblPr>
      <w:tblGrid>
        <w:gridCol w:w="992"/>
        <w:gridCol w:w="1560"/>
        <w:gridCol w:w="7654"/>
      </w:tblGrid>
      <w:tr w:rsidR="00947BAE" w:rsidTr="00947BAE">
        <w:trPr>
          <w:trHeight w:val="898"/>
        </w:trPr>
        <w:tc>
          <w:tcPr>
            <w:tcW w:w="992" w:type="dxa"/>
          </w:tcPr>
          <w:p w:rsidR="00947BAE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保發</w:t>
            </w:r>
          </w:p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代碼</w:t>
            </w:r>
          </w:p>
        </w:tc>
        <w:tc>
          <w:tcPr>
            <w:tcW w:w="1560" w:type="dxa"/>
            <w:vAlign w:val="center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結構類別</w:t>
            </w:r>
          </w:p>
        </w:tc>
        <w:tc>
          <w:tcPr>
            <w:tcW w:w="7654" w:type="dxa"/>
            <w:vAlign w:val="center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說</w:t>
            </w:r>
            <w:r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 xml:space="preserve">    </w:t>
            </w: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明</w:t>
            </w:r>
          </w:p>
        </w:tc>
      </w:tr>
      <w:tr w:rsidR="00947BAE" w:rsidTr="00947BAE">
        <w:trPr>
          <w:trHeight w:val="2483"/>
        </w:trPr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C279F8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鋼骨混凝土(水泥)造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建築物之</w:t>
            </w: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樑</w:t>
            </w:r>
            <w:proofErr w:type="gramEnd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柱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架構以各種型鋼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(L型、H型、</w:t>
            </w: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槽型等</w:t>
            </w:r>
            <w:proofErr w:type="gramEnd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)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組合而成，以支承垂直及水平載重。</w:t>
            </w:r>
          </w:p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樑</w:t>
            </w:r>
            <w:proofErr w:type="gramEnd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柱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使用鋼骨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為主筋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，澆灌混凝土之房屋，其牆壁及床板大部分為鋼筋混凝土造。</w:t>
            </w:r>
          </w:p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樑</w:t>
            </w:r>
            <w:proofErr w:type="gramEnd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柱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使用鋼骨，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間有部分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使用鋼筋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為主筋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，澆灌混凝土之房屋，其牆壁及床板大部分為鋼筋混凝土造。</w:t>
            </w:r>
          </w:p>
        </w:tc>
      </w:tr>
      <w:tr w:rsidR="00947BAE" w:rsidTr="00947BAE"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C279F8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鋼筋混凝土(水泥)造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建築物以混凝土配以鋼筋或鋼材建造。</w:t>
            </w:r>
          </w:p>
        </w:tc>
      </w:tr>
      <w:tr w:rsidR="00947BAE" w:rsidTr="00947BAE"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C279F8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加強磚造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構造主體為磚造，而其柱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樑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使用鋼筋混凝土補強，但其牆壁仍承載垂直荷重，其床板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及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屋頂大部分為鋼筋混凝土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造。</w:t>
            </w:r>
          </w:p>
        </w:tc>
      </w:tr>
      <w:tr w:rsidR="00947BAE" w:rsidTr="00947BAE"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C279F8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金屬(鐵皮) 造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樑</w:t>
            </w:r>
            <w:proofErr w:type="gramEnd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柱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使用各型鐵材，其牆壁大部分為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金屬板鐵皮造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，屋頂為山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形鐵造屋架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以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C型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鋼鐵、角鋼鐵及圓鋼條組之桁架式架構，牆壁及屋頂為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金屬板</w:t>
            </w: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或</w:t>
            </w: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石棉板造</w:t>
            </w:r>
            <w:proofErr w:type="gramEnd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947BAE" w:rsidTr="00947BAE"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947BAE" w:rsidRPr="002F571A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2F571A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木造</w:t>
            </w:r>
          </w:p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樑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、柱、牆壁使用木材之建築物，其屋頂大部分使用木造，或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竹造屋架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</w:tr>
      <w:tr w:rsidR="00947BAE" w:rsidTr="00947BAE"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2F571A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石造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以石材為主要結構材料構築之建築物。</w:t>
            </w:r>
          </w:p>
        </w:tc>
      </w:tr>
      <w:tr w:rsidR="00947BAE" w:rsidTr="00947BAE"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947BAE" w:rsidRPr="002F571A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2F571A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磚造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以紅磚、</w:t>
            </w:r>
            <w:proofErr w:type="gramStart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砂灰磚</w:t>
            </w:r>
            <w:proofErr w:type="gramEnd"/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、混凝土空心磚為主要結構材料構築之建築物。</w:t>
            </w:r>
          </w:p>
        </w:tc>
      </w:tr>
      <w:tr w:rsidR="00947BAE" w:rsidTr="00947BAE">
        <w:tc>
          <w:tcPr>
            <w:tcW w:w="992" w:type="dxa"/>
          </w:tcPr>
          <w:p w:rsidR="00947BAE" w:rsidRPr="00947BAE" w:rsidRDefault="00947BAE" w:rsidP="00947BAE">
            <w:pPr>
              <w:spacing w:beforeLines="20" w:before="72" w:afterLines="20" w:after="72" w:line="300" w:lineRule="exact"/>
              <w:jc w:val="center"/>
              <w:rPr>
                <w:color w:val="000000" w:themeColor="text1"/>
              </w:rPr>
            </w:pPr>
            <w:r w:rsidRPr="00947BAE">
              <w:rPr>
                <w:rFonts w:ascii="微軟正黑體" w:eastAsia="微軟正黑體" w:hAnsi="微軟正黑體" w:hint="eastAsia"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947BAE" w:rsidRPr="00947BAE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color w:val="000000" w:themeColor="text1"/>
                <w:sz w:val="28"/>
                <w:szCs w:val="28"/>
              </w:rPr>
            </w:pPr>
            <w:r w:rsidRPr="00947BAE">
              <w:rPr>
                <w:rFonts w:hint="eastAsia"/>
                <w:color w:val="000000" w:themeColor="text1"/>
                <w:sz w:val="28"/>
                <w:szCs w:val="28"/>
              </w:rPr>
              <w:t>標的物在</w:t>
            </w:r>
            <w:proofErr w:type="gramStart"/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國外</w:t>
            </w:r>
            <w:r w:rsidRPr="00947BAE">
              <w:rPr>
                <w:rFonts w:hint="eastAsia"/>
                <w:color w:val="000000" w:themeColor="text1"/>
                <w:sz w:val="28"/>
                <w:szCs w:val="28"/>
              </w:rPr>
              <w:t>且</w:t>
            </w:r>
            <w:proofErr w:type="gramEnd"/>
            <w:r w:rsidRPr="00947BAE">
              <w:rPr>
                <w:rFonts w:hint="eastAsia"/>
                <w:color w:val="000000" w:themeColor="text1"/>
                <w:sz w:val="28"/>
                <w:szCs w:val="28"/>
              </w:rPr>
              <w:t>無法確定結構類別者</w:t>
            </w:r>
            <w:r w:rsidRPr="00947BAE">
              <w:rPr>
                <w:rFonts w:ascii="新細明體" w:hAnsi="新細明體" w:hint="eastAsia"/>
                <w:color w:val="000000" w:themeColor="text1"/>
                <w:sz w:val="28"/>
                <w:szCs w:val="28"/>
              </w:rPr>
              <w:t>。</w:t>
            </w:r>
          </w:p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新細明體" w:hAnsi="新細明體" w:hint="eastAsia"/>
                <w:color w:val="000000" w:themeColor="text1"/>
                <w:sz w:val="28"/>
                <w:szCs w:val="28"/>
              </w:rPr>
              <w:t>其他無法</w:t>
            </w:r>
            <w:r w:rsidRPr="00947BAE">
              <w:rPr>
                <w:rFonts w:hint="eastAsia"/>
                <w:color w:val="000000" w:themeColor="text1"/>
                <w:sz w:val="28"/>
                <w:szCs w:val="28"/>
              </w:rPr>
              <w:t>確定結構類別者</w:t>
            </w:r>
            <w:r w:rsidRPr="00947BAE">
              <w:rPr>
                <w:rFonts w:ascii="新細明體" w:hAnsi="新細明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947BAE" w:rsidTr="008E1D5F">
        <w:trPr>
          <w:trHeight w:val="744"/>
        </w:trPr>
        <w:tc>
          <w:tcPr>
            <w:tcW w:w="992" w:type="dxa"/>
          </w:tcPr>
          <w:p w:rsidR="00947BAE" w:rsidRPr="009502A8" w:rsidRDefault="00947BAE" w:rsidP="00947BAE">
            <w:pPr>
              <w:spacing w:beforeLines="20" w:before="72" w:afterLines="20" w:after="72" w:line="300" w:lineRule="exact"/>
              <w:jc w:val="center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 w:rsidRPr="009502A8">
              <w:rPr>
                <w:rFonts w:ascii="微軟正黑體" w:eastAsia="微軟正黑體" w:hAnsi="微軟正黑體"/>
                <w:bCs/>
                <w:sz w:val="28"/>
                <w:szCs w:val="28"/>
              </w:rPr>
              <w:t>A</w:t>
            </w:r>
          </w:p>
        </w:tc>
        <w:tc>
          <w:tcPr>
            <w:tcW w:w="1560" w:type="dxa"/>
          </w:tcPr>
          <w:p w:rsidR="00947BAE" w:rsidRPr="009502A8" w:rsidRDefault="00947BAE" w:rsidP="00947BAE">
            <w:pPr>
              <w:spacing w:beforeLines="20" w:before="72" w:afterLines="20" w:after="72" w:line="400" w:lineRule="exact"/>
              <w:rPr>
                <w:rFonts w:ascii="微軟正黑體" w:eastAsia="微軟正黑體" w:hAnsi="微軟正黑體"/>
                <w:color w:val="FF0000"/>
                <w:sz w:val="28"/>
                <w:szCs w:val="28"/>
              </w:rPr>
            </w:pPr>
            <w:r w:rsidRPr="002F571A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露天</w:t>
            </w:r>
          </w:p>
        </w:tc>
        <w:tc>
          <w:tcPr>
            <w:tcW w:w="7654" w:type="dxa"/>
          </w:tcPr>
          <w:p w:rsidR="00947BAE" w:rsidRPr="00947BAE" w:rsidRDefault="00947BAE" w:rsidP="00947BAE">
            <w:pPr>
              <w:numPr>
                <w:ilvl w:val="0"/>
                <w:numId w:val="1"/>
              </w:numPr>
              <w:tabs>
                <w:tab w:val="clear" w:pos="720"/>
                <w:tab w:val="num" w:pos="294"/>
              </w:tabs>
              <w:spacing w:beforeLines="20" w:before="72" w:afterLines="20" w:after="72" w:line="400" w:lineRule="exact"/>
              <w:ind w:left="295" w:hanging="284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947BAE">
              <w:rPr>
                <w:rFonts w:ascii="微軟正黑體" w:eastAsia="微軟正黑體" w:hAnsi="微軟正黑體" w:hint="eastAsia"/>
                <w:sz w:val="28"/>
                <w:szCs w:val="28"/>
              </w:rPr>
              <w:t>露天儲槽、露天生產設備。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(</w:t>
            </w:r>
            <w:r w:rsidR="008E1D5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暫依附表傳輸資料，日後仍可修正</w:t>
            </w:r>
            <w:r w:rsidRPr="00947BAE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6E5CBC" w:rsidRPr="009452F2" w:rsidRDefault="009452F2" w:rsidP="009452F2">
      <w:pPr>
        <w:spacing w:beforeLines="50" w:before="180" w:line="360" w:lineRule="exact"/>
        <w:ind w:firstLineChars="101" w:firstLine="283"/>
        <w:rPr>
          <w:sz w:val="28"/>
          <w:szCs w:val="28"/>
        </w:rPr>
      </w:pPr>
      <w:r w:rsidRPr="009452F2">
        <w:rPr>
          <w:rFonts w:hint="eastAsia"/>
          <w:sz w:val="28"/>
          <w:szCs w:val="28"/>
        </w:rPr>
        <w:t>註</w:t>
      </w:r>
      <w:r w:rsidRPr="009452F2">
        <w:rPr>
          <w:rFonts w:ascii="新細明體" w:hAnsi="新細明體" w:hint="eastAsia"/>
          <w:sz w:val="28"/>
          <w:szCs w:val="28"/>
        </w:rPr>
        <w:t>：</w:t>
      </w:r>
      <w:r w:rsidRPr="009452F2">
        <w:rPr>
          <w:rFonts w:hint="eastAsia"/>
          <w:sz w:val="28"/>
          <w:szCs w:val="28"/>
        </w:rPr>
        <w:t>於保發中心未公佈新</w:t>
      </w:r>
      <w:r w:rsidR="00CF7D17">
        <w:rPr>
          <w:rFonts w:hint="eastAsia"/>
          <w:sz w:val="28"/>
          <w:szCs w:val="28"/>
        </w:rPr>
        <w:t>的</w:t>
      </w:r>
      <w:r w:rsidRPr="009452F2">
        <w:rPr>
          <w:rFonts w:hint="eastAsia"/>
          <w:sz w:val="28"/>
          <w:szCs w:val="28"/>
        </w:rPr>
        <w:t>天災</w:t>
      </w:r>
      <w:r w:rsidR="004F57EF">
        <w:rPr>
          <w:rFonts w:hint="eastAsia"/>
          <w:sz w:val="28"/>
          <w:szCs w:val="28"/>
        </w:rPr>
        <w:t>險</w:t>
      </w:r>
      <w:r w:rsidRPr="009452F2">
        <w:rPr>
          <w:rFonts w:hint="eastAsia"/>
          <w:sz w:val="28"/>
          <w:szCs w:val="28"/>
        </w:rPr>
        <w:t>參考費率前</w:t>
      </w:r>
      <w:r w:rsidRPr="009452F2">
        <w:rPr>
          <w:rFonts w:ascii="新細明體" w:hAnsi="新細明體" w:hint="eastAsia"/>
          <w:sz w:val="28"/>
          <w:szCs w:val="28"/>
        </w:rPr>
        <w:t>，</w:t>
      </w:r>
      <w:r w:rsidR="004F57EF">
        <w:rPr>
          <w:rFonts w:ascii="新細明體" w:hAnsi="新細明體" w:hint="eastAsia"/>
          <w:sz w:val="28"/>
          <w:szCs w:val="28"/>
        </w:rPr>
        <w:t>天災險</w:t>
      </w:r>
      <w:r w:rsidRPr="009452F2">
        <w:rPr>
          <w:rFonts w:ascii="新細明體" w:hAnsi="新細明體" w:hint="eastAsia"/>
          <w:sz w:val="28"/>
          <w:szCs w:val="28"/>
        </w:rPr>
        <w:t>費率定價仍依現行規定辦理。</w:t>
      </w:r>
    </w:p>
    <w:sectPr w:rsidR="006E5CBC" w:rsidRPr="009452F2" w:rsidSect="00947BAE">
      <w:pgSz w:w="11906" w:h="16838"/>
      <w:pgMar w:top="993" w:right="284" w:bottom="1440" w:left="56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945" w:rsidRDefault="006F1945" w:rsidP="0098158B">
      <w:r>
        <w:separator/>
      </w:r>
    </w:p>
  </w:endnote>
  <w:endnote w:type="continuationSeparator" w:id="0">
    <w:p w:rsidR="006F1945" w:rsidRDefault="006F1945" w:rsidP="0098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945" w:rsidRDefault="006F1945" w:rsidP="0098158B">
      <w:r>
        <w:separator/>
      </w:r>
    </w:p>
  </w:footnote>
  <w:footnote w:type="continuationSeparator" w:id="0">
    <w:p w:rsidR="006F1945" w:rsidRDefault="006F1945" w:rsidP="00981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67B0A"/>
    <w:multiLevelType w:val="hybridMultilevel"/>
    <w:tmpl w:val="084808EA"/>
    <w:lvl w:ilvl="0" w:tplc="70FA8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45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2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C8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89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E5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2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83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01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BC"/>
    <w:rsid w:val="000270D2"/>
    <w:rsid w:val="000A6DAF"/>
    <w:rsid w:val="000E6792"/>
    <w:rsid w:val="000E74D7"/>
    <w:rsid w:val="002F571A"/>
    <w:rsid w:val="00302DD4"/>
    <w:rsid w:val="00342175"/>
    <w:rsid w:val="00364ECC"/>
    <w:rsid w:val="003D2CCC"/>
    <w:rsid w:val="003E3DDD"/>
    <w:rsid w:val="00432410"/>
    <w:rsid w:val="0047402A"/>
    <w:rsid w:val="004D5FC9"/>
    <w:rsid w:val="004F57EF"/>
    <w:rsid w:val="005357FD"/>
    <w:rsid w:val="00575F24"/>
    <w:rsid w:val="00577D28"/>
    <w:rsid w:val="00586845"/>
    <w:rsid w:val="005948AE"/>
    <w:rsid w:val="00662AE2"/>
    <w:rsid w:val="00670AF5"/>
    <w:rsid w:val="006E5CBC"/>
    <w:rsid w:val="006F1945"/>
    <w:rsid w:val="0078557E"/>
    <w:rsid w:val="00863FD5"/>
    <w:rsid w:val="008C5CE1"/>
    <w:rsid w:val="008E0EA7"/>
    <w:rsid w:val="008E1D5F"/>
    <w:rsid w:val="008E79D2"/>
    <w:rsid w:val="008F22E0"/>
    <w:rsid w:val="0093317C"/>
    <w:rsid w:val="009452F2"/>
    <w:rsid w:val="00947BAE"/>
    <w:rsid w:val="0098158B"/>
    <w:rsid w:val="009D1B0D"/>
    <w:rsid w:val="009E2C67"/>
    <w:rsid w:val="00A12ADD"/>
    <w:rsid w:val="00A571B6"/>
    <w:rsid w:val="00A85575"/>
    <w:rsid w:val="00AA4F77"/>
    <w:rsid w:val="00BB2517"/>
    <w:rsid w:val="00BF61C2"/>
    <w:rsid w:val="00C17B4F"/>
    <w:rsid w:val="00C279F8"/>
    <w:rsid w:val="00CF7D17"/>
    <w:rsid w:val="00D4462B"/>
    <w:rsid w:val="00D836C5"/>
    <w:rsid w:val="00EC67C4"/>
    <w:rsid w:val="00F31B86"/>
    <w:rsid w:val="00F4576C"/>
    <w:rsid w:val="00F660C9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B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81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158B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1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158B"/>
    <w:rPr>
      <w:rFonts w:ascii="Calibri" w:eastAsia="新細明體" w:hAnsi="Calibri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5357F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17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7B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B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81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158B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1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158B"/>
    <w:rPr>
      <w:rFonts w:ascii="Calibri" w:eastAsia="新細明體" w:hAnsi="Calibri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5357F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17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7B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3</cp:revision>
  <cp:lastPrinted>2014-04-16T09:40:00Z</cp:lastPrinted>
  <dcterms:created xsi:type="dcterms:W3CDTF">2014-05-20T09:31:00Z</dcterms:created>
  <dcterms:modified xsi:type="dcterms:W3CDTF">2014-05-20T09:32:00Z</dcterms:modified>
</cp:coreProperties>
</file>