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Broadbridge Oil &amp; Gas</w:t>
      </w:r>
    </w:p>
    <w:p>
      <w:pPr>
        <w:pStyle w:val="Subtitle"/>
      </w:pPr>
      <w:r>
        <w:t>Business and operating structure</w:t>
      </w:r>
    </w:p>
    <w:p>
      <w:r>
        <w:rPr>
          <w:sz w:val="18"/>
        </w:rPr>
        <w:t>Broadbridge4096 subsidiary design  |  23 September 2026</w:t>
      </w:r>
    </w:p>
    <w:p>
      <w:pPr>
        <w:pStyle w:val="Heading1"/>
      </w:pPr>
      <w:r>
        <w:t>1 Mandate and business model</w:t>
      </w:r>
    </w:p>
    <w:p>
      <w:r>
        <w:t>Broadbridge Oil &amp; Gas will operate as a dedicated subsidiary of Broadbridge4096, initially assumed to be 100% parent-owned. It will combine expert advisory services, AI products, training and knowledge licensing for external oil and gas customers. The commodity-company documents provide organizational examples; the subsidiary has its own customers, product priorities and operating results.</w:t>
      </w:r>
    </w:p>
    <w:p>
      <w:r>
        <w:t>Broadbridge Oil &amp; Gas is a working name. Incorporation jurisdiction and final legal form will be decided during legal implementation. This design does not depend on either choice and does not represent an incorporation or executed expert appointment.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7056"/>
      </w:tblGrid>
      <w:tr>
        <w:trPr>
          <w:cantSplit/>
          <w:tblHeader/>
        </w:trPr>
        <w:tc>
          <w:tcPr>
            <w:tcW w:type="dxa" w:w="3312"/>
            <w:vAlign w:val="center"/>
            <w:tcMar>
              <w:top w:w="80" w:type="dxa"/>
              <w:left w:w="100" w:type="dxa"/>
              <w:bottom w:w="80" w:type="dxa"/>
              <w:right w:w="100" w:type="dxa"/>
            </w:tcMar>
            <w:shd w:fill="18364D"/>
          </w:tcPr>
          <w:p>
            <w:pPr>
              <w:spacing w:after="0" w:line="245" w:lineRule="auto"/>
            </w:pPr>
            <w:r>
              <w:rPr>
                <w:b/>
                <w:color w:val="FFFFFF"/>
                <w:sz w:val="21"/>
              </w:rPr>
              <w:t>Industry practice</w:t>
            </w:r>
          </w:p>
        </w:tc>
        <w:tc>
          <w:tcPr>
            <w:tcW w:type="dxa" w:w="7056"/>
            <w:vAlign w:val="center"/>
            <w:tcMar>
              <w:top w:w="80" w:type="dxa"/>
              <w:left w:w="100" w:type="dxa"/>
              <w:bottom w:w="80" w:type="dxa"/>
              <w:right w:w="100" w:type="dxa"/>
            </w:tcMar>
            <w:shd w:fill="18364D"/>
          </w:tcPr>
          <w:p>
            <w:pPr>
              <w:spacing w:after="0" w:line="245" w:lineRule="auto"/>
            </w:pPr>
            <w:r>
              <w:rPr>
                <w:b/>
                <w:color w:val="FFFFFF"/>
                <w:sz w:val="21"/>
              </w:rPr>
              <w:t>Business scope and sequence</w:t>
            </w:r>
          </w:p>
        </w:tc>
      </w:tr>
      <w:tr>
        <w:trPr>
          <w:cantSplit/>
        </w:trPr>
        <w:tc>
          <w:tcPr>
            <w:tcW w:type="dxa" w:w="3312"/>
            <w:vAlign w:val="center"/>
            <w:tcMar>
              <w:top w:w="80" w:type="dxa"/>
              <w:left w:w="100" w:type="dxa"/>
              <w:bottom w:w="80" w:type="dxa"/>
              <w:right w:w="100" w:type="dxa"/>
            </w:tcMar>
            <w:shd w:fill="F2F4F5"/>
          </w:tcPr>
          <w:p>
            <w:pPr>
              <w:spacing w:after="0" w:line="245" w:lineRule="auto"/>
            </w:pPr>
            <w:r>
              <w:rPr>
                <w:sz w:val="21"/>
              </w:rPr>
              <w:t>Downstream and Petrochemicals</w:t>
            </w:r>
          </w:p>
        </w:tc>
        <w:tc>
          <w:tcPr>
            <w:tcW w:type="dxa" w:w="7056"/>
            <w:vAlign w:val="center"/>
            <w:tcMar>
              <w:top w:w="80" w:type="dxa"/>
              <w:left w:w="100" w:type="dxa"/>
              <w:bottom w:w="80" w:type="dxa"/>
              <w:right w:w="100" w:type="dxa"/>
            </w:tcMar>
            <w:shd w:fill="F2F4F5"/>
          </w:tcPr>
          <w:p>
            <w:pPr>
              <w:spacing w:after="0" w:line="245" w:lineRule="auto"/>
            </w:pPr>
            <w:r>
              <w:rPr>
                <w:sz w:val="21"/>
              </w:rPr>
              <w:t>Launch in refining and process operations. Begin with a bounded equipment or troubleshooting domain supported by cleared expert material and paid customer demand.</w:t>
            </w:r>
          </w:p>
        </w:tc>
      </w:tr>
      <w:tr>
        <w:trPr>
          <w:cantSplit/>
        </w:trPr>
        <w:tc>
          <w:tcPr>
            <w:tcW w:type="dxa" w:w="3312"/>
            <w:vAlign w:val="center"/>
            <w:tcMar>
              <w:top w:w="80" w:type="dxa"/>
              <w:left w:w="100" w:type="dxa"/>
              <w:bottom w:w="80" w:type="dxa"/>
              <w:right w:w="100" w:type="dxa"/>
            </w:tcMar>
            <w:shd w:fill="FFFFFF"/>
          </w:tcPr>
          <w:p>
            <w:pPr>
              <w:spacing w:after="0" w:line="245" w:lineRule="auto"/>
            </w:pPr>
            <w:r>
              <w:rPr>
                <w:sz w:val="21"/>
              </w:rPr>
              <w:t>Gas Processing and Midstream</w:t>
            </w:r>
          </w:p>
        </w:tc>
        <w:tc>
          <w:tcPr>
            <w:tcW w:type="dxa" w:w="7056"/>
            <w:vAlign w:val="center"/>
            <w:tcMar>
              <w:top w:w="80" w:type="dxa"/>
              <w:left w:w="100" w:type="dxa"/>
              <w:bottom w:w="80" w:type="dxa"/>
              <w:right w:w="100" w:type="dxa"/>
            </w:tcMar>
            <w:shd w:fill="FFFFFF"/>
          </w:tcPr>
          <w:p>
            <w:pPr>
              <w:spacing w:after="0" w:line="245" w:lineRule="auto"/>
            </w:pPr>
            <w:r>
              <w:rPr>
                <w:sz w:val="21"/>
              </w:rPr>
              <w:t>Expand into treatment, compression, processing, LNG-related operations and facilities after securing appropriate specialists and a paid mandate.</w:t>
            </w:r>
          </w:p>
        </w:tc>
      </w:tr>
      <w:tr>
        <w:trPr>
          <w:cantSplit/>
        </w:trPr>
        <w:tc>
          <w:tcPr>
            <w:tcW w:type="dxa" w:w="3312"/>
            <w:vAlign w:val="center"/>
            <w:tcMar>
              <w:top w:w="80" w:type="dxa"/>
              <w:left w:w="100" w:type="dxa"/>
              <w:bottom w:w="80" w:type="dxa"/>
              <w:right w:w="100" w:type="dxa"/>
            </w:tcMar>
            <w:shd w:fill="F2F4F5"/>
          </w:tcPr>
          <w:p>
            <w:pPr>
              <w:spacing w:after="0" w:line="245" w:lineRule="auto"/>
            </w:pPr>
            <w:r>
              <w:rPr>
                <w:sz w:val="21"/>
              </w:rPr>
              <w:t>Upstream Production and Facilities</w:t>
            </w:r>
          </w:p>
        </w:tc>
        <w:tc>
          <w:tcPr>
            <w:tcW w:type="dxa" w:w="7056"/>
            <w:vAlign w:val="center"/>
            <w:tcMar>
              <w:top w:w="80" w:type="dxa"/>
              <w:left w:w="100" w:type="dxa"/>
              <w:bottom w:w="80" w:type="dxa"/>
              <w:right w:w="100" w:type="dxa"/>
            </w:tcMar>
            <w:shd w:fill="F2F4F5"/>
          </w:tcPr>
          <w:p>
            <w:pPr>
              <w:spacing w:after="0" w:line="245" w:lineRule="auto"/>
            </w:pPr>
            <w:r>
              <w:rPr>
                <w:sz w:val="21"/>
              </w:rPr>
              <w:t>Enter later with dedicated specialists. Drilling and subsurface services need separately demonstrated capability before being offered.</w:t>
            </w:r>
          </w:p>
        </w:tc>
      </w:tr>
    </w:tbl>
    <w:p>
      <w:pPr>
        <w:spacing w:after="20" w:line="40" w:lineRule="exact"/>
      </w:pPr>
      <w:r>
        <w:rPr>
          <w:sz w:val="4"/>
        </w:rPr>
      </w:r>
    </w:p>
    <w:p>
      <w:pPr>
        <w:pStyle w:val="Heading2"/>
      </w:pPr>
      <w:r>
        <w:t>Four offerings within each practice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trPr>
        <w:tc>
          <w:tcPr>
            <w:tcW w:type="dxa" w:w="2880"/>
            <w:vAlign w:val="center"/>
            <w:tcMar>
              <w:top w:w="80" w:type="dxa"/>
              <w:left w:w="100" w:type="dxa"/>
              <w:bottom w:w="80" w:type="dxa"/>
              <w:right w:w="100" w:type="dxa"/>
            </w:tcMar>
            <w:shd w:fill="18364D"/>
          </w:tcPr>
          <w:p>
            <w:pPr>
              <w:spacing w:after="0" w:line="245" w:lineRule="auto"/>
            </w:pPr>
            <w:r>
              <w:rPr>
                <w:b/>
                <w:color w:val="FFFFFF"/>
                <w:sz w:val="21"/>
              </w:rPr>
              <w:t>Offering</w:t>
            </w:r>
          </w:p>
        </w:tc>
        <w:tc>
          <w:tcPr>
            <w:tcW w:type="dxa" w:w="7488"/>
            <w:vAlign w:val="center"/>
            <w:tcMar>
              <w:top w:w="80" w:type="dxa"/>
              <w:left w:w="100" w:type="dxa"/>
              <w:bottom w:w="80" w:type="dxa"/>
              <w:right w:w="100" w:type="dxa"/>
            </w:tcMar>
            <w:shd w:fill="18364D"/>
          </w:tcPr>
          <w:p>
            <w:pPr>
              <w:spacing w:after="0" w:line="245" w:lineRule="auto"/>
            </w:pPr>
            <w:r>
              <w:rPr>
                <w:b/>
                <w:color w:val="FFFFFF"/>
                <w:sz w:val="21"/>
              </w:rPr>
              <w:t>Customer purchase and delivery boundary</w:t>
            </w:r>
          </w:p>
        </w:tc>
      </w:tr>
      <w:tr>
        <w:trPr>
          <w:cantSplit/>
        </w:trPr>
        <w:tc>
          <w:tcPr>
            <w:tcW w:type="dxa" w:w="2880"/>
            <w:vAlign w:val="center"/>
            <w:tcMar>
              <w:top w:w="80" w:type="dxa"/>
              <w:left w:w="100" w:type="dxa"/>
              <w:bottom w:w="80" w:type="dxa"/>
              <w:right w:w="100" w:type="dxa"/>
            </w:tcMar>
            <w:shd w:fill="F2F4F5"/>
          </w:tcPr>
          <w:p>
            <w:pPr>
              <w:spacing w:after="0" w:line="245" w:lineRule="auto"/>
            </w:pPr>
            <w:r>
              <w:rPr>
                <w:sz w:val="21"/>
              </w:rPr>
              <w:t>Advisory engagements</w:t>
            </w:r>
          </w:p>
        </w:tc>
        <w:tc>
          <w:tcPr>
            <w:tcW w:type="dxa" w:w="7488"/>
            <w:vAlign w:val="center"/>
            <w:tcMar>
              <w:top w:w="80" w:type="dxa"/>
              <w:left w:w="100" w:type="dxa"/>
              <w:bottom w:w="80" w:type="dxa"/>
              <w:right w:w="100" w:type="dxa"/>
            </w:tcMar>
            <w:shd w:fill="F2F4F5"/>
          </w:tcPr>
          <w:p>
            <w:pPr>
              <w:spacing w:after="0" w:line="245" w:lineRule="auto"/>
            </w:pPr>
            <w:r>
              <w:rPr>
                <w:sz w:val="21"/>
              </w:rPr>
              <w:t>A defined engineering question, scope, assumptions and reviewed deliverable under a statement of work. Complex field work is separately staffed and authorized.</w:t>
            </w:r>
          </w:p>
        </w:tc>
      </w:tr>
      <w:tr>
        <w:trPr>
          <w:cantSplit/>
        </w:trPr>
        <w:tc>
          <w:tcPr>
            <w:tcW w:type="dxa" w:w="2880"/>
            <w:vAlign w:val="center"/>
            <w:tcMar>
              <w:top w:w="80" w:type="dxa"/>
              <w:left w:w="100" w:type="dxa"/>
              <w:bottom w:w="80" w:type="dxa"/>
              <w:right w:w="100" w:type="dxa"/>
            </w:tcMar>
            <w:shd w:fill="FFFFFF"/>
          </w:tcPr>
          <w:p>
            <w:pPr>
              <w:spacing w:after="0" w:line="245" w:lineRule="auto"/>
            </w:pPr>
            <w:r>
              <w:rPr>
                <w:sz w:val="21"/>
              </w:rPr>
              <w:t>Software subscriptions</w:t>
            </w:r>
          </w:p>
        </w:tc>
        <w:tc>
          <w:tcPr>
            <w:tcW w:type="dxa" w:w="7488"/>
            <w:vAlign w:val="center"/>
            <w:tcMar>
              <w:top w:w="80" w:type="dxa"/>
              <w:left w:w="100" w:type="dxa"/>
              <w:bottom w:w="80" w:type="dxa"/>
              <w:right w:w="100" w:type="dxa"/>
            </w:tcMar>
            <w:shd w:fill="FFFFFF"/>
          </w:tcPr>
          <w:p>
            <w:pPr>
              <w:spacing w:after="0" w:line="245" w:lineRule="auto"/>
            </w:pPr>
            <w:r>
              <w:rPr>
                <w:sz w:val="21"/>
              </w:rPr>
              <w:t>A validated workflow or module with defined users/sites, support allowance, updates and human escalation. Bespoke integrations are separately priced.</w:t>
            </w:r>
          </w:p>
        </w:tc>
      </w:tr>
      <w:tr>
        <w:trPr>
          <w:cantSplit/>
        </w:trPr>
        <w:tc>
          <w:tcPr>
            <w:tcW w:type="dxa" w:w="2880"/>
            <w:vAlign w:val="center"/>
            <w:tcMar>
              <w:top w:w="80" w:type="dxa"/>
              <w:left w:w="100" w:type="dxa"/>
              <w:bottom w:w="80" w:type="dxa"/>
              <w:right w:w="100" w:type="dxa"/>
            </w:tcMar>
            <w:shd w:fill="F2F4F5"/>
          </w:tcPr>
          <w:p>
            <w:pPr>
              <w:spacing w:after="0" w:line="245" w:lineRule="auto"/>
            </w:pPr>
            <w:r>
              <w:rPr>
                <w:sz w:val="21"/>
              </w:rPr>
              <w:t>Training programs</w:t>
            </w:r>
          </w:p>
        </w:tc>
        <w:tc>
          <w:tcPr>
            <w:tcW w:type="dxa" w:w="7488"/>
            <w:vAlign w:val="center"/>
            <w:tcMar>
              <w:top w:w="80" w:type="dxa"/>
              <w:left w:w="100" w:type="dxa"/>
              <w:bottom w:w="80" w:type="dxa"/>
              <w:right w:w="100" w:type="dxa"/>
            </w:tcMar>
            <w:shd w:fill="F2F4F5"/>
          </w:tcPr>
          <w:p>
            <w:pPr>
              <w:spacing w:after="0" w:line="245" w:lineRule="auto"/>
            </w:pPr>
            <w:r>
              <w:rPr>
                <w:sz w:val="21"/>
              </w:rPr>
              <w:t>Instructor-led or digital case-based learning with learning objectives, cleared materials and reviewed exercises. Launch staff and contracted experts deliver the academy offering.</w:t>
            </w:r>
          </w:p>
        </w:tc>
      </w:tr>
      <w:tr>
        <w:trPr>
          <w:cantSplit/>
        </w:trPr>
        <w:tc>
          <w:tcPr>
            <w:tcW w:type="dxa" w:w="2880"/>
            <w:vAlign w:val="center"/>
            <w:tcMar>
              <w:top w:w="80" w:type="dxa"/>
              <w:left w:w="100" w:type="dxa"/>
              <w:bottom w:w="80" w:type="dxa"/>
              <w:right w:w="100" w:type="dxa"/>
            </w:tcMar>
            <w:shd w:fill="FFFFFF"/>
          </w:tcPr>
          <w:p>
            <w:pPr>
              <w:spacing w:after="0" w:line="245" w:lineRule="auto"/>
            </w:pPr>
            <w:r>
              <w:rPr>
                <w:sz w:val="21"/>
              </w:rPr>
              <w:t>Licensed expert knowledge</w:t>
            </w:r>
          </w:p>
        </w:tc>
        <w:tc>
          <w:tcPr>
            <w:tcW w:type="dxa" w:w="7488"/>
            <w:vAlign w:val="center"/>
            <w:tcMar>
              <w:top w:w="80" w:type="dxa"/>
              <w:left w:w="100" w:type="dxa"/>
              <w:bottom w:w="80" w:type="dxa"/>
              <w:right w:w="100" w:type="dxa"/>
            </w:tcMar>
            <w:shd w:fill="FFFFFF"/>
          </w:tcPr>
          <w:p>
            <w:pPr>
              <w:spacing w:after="0" w:line="245" w:lineRule="auto"/>
            </w:pPr>
            <w:r>
              <w:rPr>
                <w:sz w:val="21"/>
              </w:rPr>
              <w:t>Specified access or reuse rights to expert cases, methods or content. The license defines the audience, uses, duration and sublicensing boundaries.</w:t>
            </w:r>
          </w:p>
        </w:tc>
      </w:tr>
    </w:tbl>
    <w:p>
      <w:pPr>
        <w:spacing w:after="20" w:line="40" w:lineRule="exact"/>
      </w:pPr>
      <w:r>
        <w:rPr>
          <w:sz w:val="4"/>
        </w:rPr>
      </w:r>
    </w:p>
    <w:p>
      <w:r>
        <w:t>Customer value must be demonstrated through observed workflow improvements and accepted technical quality. Published expertise is a starting resource; access, rights, transferability and willingness to pay must be established for each offer.</w:t>
      </w:r>
    </w:p>
    <w:p>
      <w:r>
        <w:br w:type="page"/>
      </w:r>
    </w:p>
    <w:p>
      <w:pPr>
        <w:pStyle w:val="Heading1"/>
      </w:pPr>
      <w:r>
        <w:t>2 Launch roles and reporting</w:t>
      </w:r>
    </w:p>
    <w:p>
      <w:r>
        <w:t>The seven dedicated employees below form the launch team. Contracted experts, independent reviewers, board members and parent shared-service personnel are not additional employee positions.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7128"/>
      </w:tblGrid>
      <w:tr>
        <w:trPr>
          <w:cantSplit/>
          <w:tblHeader/>
        </w:trPr>
        <w:tc>
          <w:tcPr>
            <w:tcW w:type="dxa" w:w="3240"/>
            <w:vAlign w:val="center"/>
            <w:tcMar>
              <w:top w:w="80" w:type="dxa"/>
              <w:left w:w="100" w:type="dxa"/>
              <w:bottom w:w="80" w:type="dxa"/>
              <w:right w:w="100" w:type="dxa"/>
            </w:tcMar>
            <w:shd w:fill="18364D"/>
          </w:tcPr>
          <w:p>
            <w:pPr>
              <w:spacing w:after="0" w:line="245" w:lineRule="auto"/>
            </w:pPr>
            <w:r>
              <w:rPr>
                <w:b/>
                <w:color w:val="FFFFFF"/>
                <w:sz w:val="21"/>
              </w:rPr>
              <w:t>Role and line manager</w:t>
            </w:r>
          </w:p>
        </w:tc>
        <w:tc>
          <w:tcPr>
            <w:tcW w:type="dxa" w:w="7128"/>
            <w:vAlign w:val="center"/>
            <w:tcMar>
              <w:top w:w="80" w:type="dxa"/>
              <w:left w:w="100" w:type="dxa"/>
              <w:bottom w:w="80" w:type="dxa"/>
              <w:right w:w="100" w:type="dxa"/>
            </w:tcMar>
            <w:shd w:fill="18364D"/>
          </w:tcPr>
          <w:p>
            <w:pPr>
              <w:spacing w:after="0" w:line="245" w:lineRule="auto"/>
            </w:pPr>
            <w:r>
              <w:rPr>
                <w:b/>
                <w:color w:val="FFFFFF"/>
                <w:sz w:val="21"/>
              </w:rPr>
              <w:t>Charter</w:t>
            </w:r>
          </w:p>
        </w:tc>
      </w:tr>
      <w:tr>
        <w:trPr>
          <w:cantSplit/>
        </w:trPr>
        <w:tc>
          <w:tcPr>
            <w:tcW w:type="dxa" w:w="3240"/>
            <w:vAlign w:val="center"/>
            <w:tcMar>
              <w:top w:w="80" w:type="dxa"/>
              <w:left w:w="100" w:type="dxa"/>
              <w:bottom w:w="80" w:type="dxa"/>
              <w:right w:w="100" w:type="dxa"/>
            </w:tcMar>
            <w:shd w:fill="F2F4F5"/>
          </w:tcPr>
          <w:p>
            <w:pPr>
              <w:spacing w:after="0" w:line="245" w:lineRule="auto"/>
            </w:pPr>
            <w:r>
              <w:rPr>
                <w:sz w:val="21"/>
              </w:rPr>
              <w:t>Managing Director</w:t>
              <w:br/>
              <w:t>Reports to Subsidiary Board</w:t>
            </w:r>
          </w:p>
        </w:tc>
        <w:tc>
          <w:tcPr>
            <w:tcW w:type="dxa" w:w="7128"/>
            <w:vAlign w:val="center"/>
            <w:tcMar>
              <w:top w:w="80" w:type="dxa"/>
              <w:left w:w="100" w:type="dxa"/>
              <w:bottom w:w="80" w:type="dxa"/>
              <w:right w:w="100" w:type="dxa"/>
            </w:tcMar>
            <w:shd w:fill="F2F4F5"/>
          </w:tcPr>
          <w:p>
            <w:pPr>
              <w:spacing w:after="0" w:line="245" w:lineRule="auto"/>
            </w:pPr>
            <w:r>
              <w:rPr>
                <w:sz w:val="21"/>
              </w:rPr>
              <w:t>Own strategy, P&amp;L, partnerships, staffing and execution. Approve customer commitments within delegated limits and report operating results to the board.</w:t>
            </w:r>
          </w:p>
        </w:tc>
      </w:tr>
      <w:tr>
        <w:trPr>
          <w:cantSplit/>
        </w:trPr>
        <w:tc>
          <w:tcPr>
            <w:tcW w:type="dxa" w:w="3240"/>
            <w:vAlign w:val="center"/>
            <w:tcMar>
              <w:top w:w="80" w:type="dxa"/>
              <w:left w:w="100" w:type="dxa"/>
              <w:bottom w:w="80" w:type="dxa"/>
              <w:right w:w="100" w:type="dxa"/>
            </w:tcMar>
            <w:shd w:fill="FFFFFF"/>
          </w:tcPr>
          <w:p>
            <w:pPr>
              <w:spacing w:after="0" w:line="245" w:lineRule="auto"/>
            </w:pPr>
            <w:r>
              <w:rPr>
                <w:sz w:val="21"/>
              </w:rPr>
              <w:t>Commercial Director</w:t>
              <w:br/>
              <w:t>Reports to Managing Director</w:t>
            </w:r>
          </w:p>
        </w:tc>
        <w:tc>
          <w:tcPr>
            <w:tcW w:type="dxa" w:w="7128"/>
            <w:vAlign w:val="center"/>
            <w:tcMar>
              <w:top w:w="80" w:type="dxa"/>
              <w:left w:w="100" w:type="dxa"/>
              <w:bottom w:w="80" w:type="dxa"/>
              <w:right w:w="100" w:type="dxa"/>
            </w:tcMar>
            <w:shd w:fill="FFFFFF"/>
          </w:tcPr>
          <w:p>
            <w:pPr>
              <w:spacing w:after="0" w:line="245" w:lineRule="auto"/>
            </w:pPr>
            <w:r>
              <w:rPr>
                <w:sz w:val="21"/>
              </w:rPr>
              <w:t>Own customer development, qualification, proposals, pricing recommendations and renewals. Maintain the pipeline and confirm the buyer, budget and purchasing route.</w:t>
            </w:r>
          </w:p>
        </w:tc>
      </w:tr>
      <w:tr>
        <w:trPr>
          <w:cantSplit/>
        </w:trPr>
        <w:tc>
          <w:tcPr>
            <w:tcW w:type="dxa" w:w="3240"/>
            <w:vAlign w:val="center"/>
            <w:tcMar>
              <w:top w:w="80" w:type="dxa"/>
              <w:left w:w="100" w:type="dxa"/>
              <w:bottom w:w="80" w:type="dxa"/>
              <w:right w:w="100" w:type="dxa"/>
            </w:tcMar>
            <w:shd w:fill="F2F4F5"/>
          </w:tcPr>
          <w:p>
            <w:pPr>
              <w:spacing w:after="0" w:line="245" w:lineRule="auto"/>
            </w:pPr>
            <w:r>
              <w:rPr>
                <w:sz w:val="21"/>
              </w:rPr>
              <w:t>Technical Director</w:t>
              <w:br/>
              <w:t>Reports to Managing Director</w:t>
            </w:r>
          </w:p>
        </w:tc>
        <w:tc>
          <w:tcPr>
            <w:tcW w:type="dxa" w:w="7128"/>
            <w:vAlign w:val="center"/>
            <w:tcMar>
              <w:top w:w="80" w:type="dxa"/>
              <w:left w:w="100" w:type="dxa"/>
              <w:bottom w:w="80" w:type="dxa"/>
              <w:right w:w="100" w:type="dxa"/>
            </w:tcMar>
            <w:shd w:fill="F2F4F5"/>
          </w:tcPr>
          <w:p>
            <w:pPr>
              <w:spacing w:after="0" w:line="245" w:lineRule="auto"/>
            </w:pPr>
            <w:r>
              <w:rPr>
                <w:sz w:val="21"/>
              </w:rPr>
              <w:t>Own engineering quality, technical scope, experts, independent review and technical acceptance. Lead the launch practice and suspend unsupported or unsafe deliverables.</w:t>
            </w:r>
          </w:p>
        </w:tc>
      </w:tr>
      <w:tr>
        <w:trPr>
          <w:cantSplit/>
        </w:trPr>
        <w:tc>
          <w:tcPr>
            <w:tcW w:type="dxa" w:w="3240"/>
            <w:vAlign w:val="center"/>
            <w:tcMar>
              <w:top w:w="80" w:type="dxa"/>
              <w:left w:w="100" w:type="dxa"/>
              <w:bottom w:w="80" w:type="dxa"/>
              <w:right w:w="100" w:type="dxa"/>
            </w:tcMar>
            <w:shd w:fill="FFFFFF"/>
          </w:tcPr>
          <w:p>
            <w:pPr>
              <w:spacing w:after="0" w:line="245" w:lineRule="auto"/>
            </w:pPr>
            <w:r>
              <w:rPr>
                <w:sz w:val="21"/>
              </w:rPr>
              <w:t>Process Applications Engineer</w:t>
              <w:br/>
              <w:t>Reports to Technical Director</w:t>
            </w:r>
          </w:p>
        </w:tc>
        <w:tc>
          <w:tcPr>
            <w:tcW w:type="dxa" w:w="7128"/>
            <w:vAlign w:val="center"/>
            <w:tcMar>
              <w:top w:w="80" w:type="dxa"/>
              <w:left w:w="100" w:type="dxa"/>
              <w:bottom w:w="80" w:type="dxa"/>
              <w:right w:w="100" w:type="dxa"/>
            </w:tcMar>
            <w:shd w:fill="FFFFFF"/>
          </w:tcPr>
          <w:p>
            <w:pPr>
              <w:spacing w:after="0" w:line="245" w:lineRule="auto"/>
            </w:pPr>
            <w:r>
              <w:rPr>
                <w:sz w:val="21"/>
              </w:rPr>
              <w:t>Define customer problems, check engineering inputs, conduct analysis and coordinate pilot delivery. Record assumptions, evidence and customer acceptance requirements.</w:t>
            </w:r>
          </w:p>
        </w:tc>
      </w:tr>
      <w:tr>
        <w:trPr>
          <w:cantSplit/>
        </w:trPr>
        <w:tc>
          <w:tcPr>
            <w:tcW w:type="dxa" w:w="3240"/>
            <w:vAlign w:val="center"/>
            <w:tcMar>
              <w:top w:w="80" w:type="dxa"/>
              <w:left w:w="100" w:type="dxa"/>
              <w:bottom w:w="80" w:type="dxa"/>
              <w:right w:w="100" w:type="dxa"/>
            </w:tcMar>
            <w:shd w:fill="F2F4F5"/>
          </w:tcPr>
          <w:p>
            <w:pPr>
              <w:spacing w:after="0" w:line="245" w:lineRule="auto"/>
            </w:pPr>
            <w:r>
              <w:rPr>
                <w:sz w:val="21"/>
              </w:rPr>
              <w:t>Head of Product &amp; AI</w:t>
              <w:br/>
              <w:t>Reports to Managing Director</w:t>
            </w:r>
          </w:p>
        </w:tc>
        <w:tc>
          <w:tcPr>
            <w:tcW w:type="dxa" w:w="7128"/>
            <w:vAlign w:val="center"/>
            <w:tcMar>
              <w:top w:w="80" w:type="dxa"/>
              <w:left w:w="100" w:type="dxa"/>
              <w:bottom w:w="80" w:type="dxa"/>
              <w:right w:w="100" w:type="dxa"/>
            </w:tcMar>
            <w:shd w:fill="F2F4F5"/>
          </w:tcPr>
          <w:p>
            <w:pPr>
              <w:spacing w:after="0" w:line="245" w:lineRule="auto"/>
            </w:pPr>
            <w:r>
              <w:rPr>
                <w:sz w:val="21"/>
              </w:rPr>
              <w:t>Own product priorities, platform design, model evaluation and releases. Authorize deployment only after required technical and security acceptance.</w:t>
            </w:r>
          </w:p>
        </w:tc>
      </w:tr>
      <w:tr>
        <w:trPr>
          <w:cantSplit/>
        </w:trPr>
        <w:tc>
          <w:tcPr>
            <w:tcW w:type="dxa" w:w="3240"/>
            <w:vAlign w:val="center"/>
            <w:tcMar>
              <w:top w:w="80" w:type="dxa"/>
              <w:left w:w="100" w:type="dxa"/>
              <w:bottom w:w="80" w:type="dxa"/>
              <w:right w:w="100" w:type="dxa"/>
            </w:tcMar>
            <w:shd w:fill="FFFFFF"/>
          </w:tcPr>
          <w:p>
            <w:pPr>
              <w:spacing w:after="0" w:line="245" w:lineRule="auto"/>
            </w:pPr>
            <w:r>
              <w:rPr>
                <w:sz w:val="21"/>
              </w:rPr>
              <w:t>Applied AI Engineer</w:t>
              <w:br/>
              <w:t>Reports to Head of Product &amp; AI</w:t>
            </w:r>
          </w:p>
        </w:tc>
        <w:tc>
          <w:tcPr>
            <w:tcW w:type="dxa" w:w="7128"/>
            <w:vAlign w:val="center"/>
            <w:tcMar>
              <w:top w:w="80" w:type="dxa"/>
              <w:left w:w="100" w:type="dxa"/>
              <w:bottom w:w="80" w:type="dxa"/>
              <w:right w:w="100" w:type="dxa"/>
            </w:tcMar>
            <w:shd w:fill="FFFFFF"/>
          </w:tcPr>
          <w:p>
            <w:pPr>
              <w:spacing w:after="0" w:line="245" w:lineRule="auto"/>
            </w:pPr>
            <w:r>
              <w:rPr>
                <w:sz w:val="21"/>
              </w:rPr>
              <w:t>Build retrieval, engineering tools, integrations and deployment pipelines. Implement access controls, evaluations, monitoring and rollback under product leadership.</w:t>
            </w:r>
          </w:p>
        </w:tc>
      </w:tr>
      <w:tr>
        <w:trPr>
          <w:cantSplit/>
        </w:trPr>
        <w:tc>
          <w:tcPr>
            <w:tcW w:type="dxa" w:w="3240"/>
            <w:vAlign w:val="center"/>
            <w:tcMar>
              <w:top w:w="80" w:type="dxa"/>
              <w:left w:w="100" w:type="dxa"/>
              <w:bottom w:w="80" w:type="dxa"/>
              <w:right w:w="100" w:type="dxa"/>
            </w:tcMar>
            <w:shd w:fill="F2F4F5"/>
          </w:tcPr>
          <w:p>
            <w:pPr>
              <w:spacing w:after="0" w:line="245" w:lineRule="auto"/>
            </w:pPr>
            <w:r>
              <w:rPr>
                <w:sz w:val="21"/>
              </w:rPr>
              <w:t>Knowledge Engineer</w:t>
              <w:br/>
              <w:t>Reports to Head of Product &amp; AI</w:t>
            </w:r>
          </w:p>
        </w:tc>
        <w:tc>
          <w:tcPr>
            <w:tcW w:type="dxa" w:w="7128"/>
            <w:vAlign w:val="center"/>
            <w:tcMar>
              <w:top w:w="80" w:type="dxa"/>
              <w:left w:w="100" w:type="dxa"/>
              <w:bottom w:w="80" w:type="dxa"/>
              <w:right w:w="100" w:type="dxa"/>
            </w:tcMar>
            <w:shd w:fill="F2F4F5"/>
          </w:tcPr>
          <w:p>
            <w:pPr>
              <w:spacing w:after="0" w:line="245" w:lineRule="auto"/>
            </w:pPr>
            <w:r>
              <w:rPr>
                <w:sz w:val="21"/>
              </w:rPr>
              <w:t>Conduct expert interviews, develop cases, maintain source rights records and prepare training content. Submit domain content to the Technical Director for acceptance.</w:t>
            </w:r>
          </w:p>
        </w:tc>
      </w:tr>
    </w:tbl>
    <w:p>
      <w:pPr>
        <w:spacing w:after="20" w:line="40" w:lineRule="exact"/>
      </w:pPr>
      <w:r>
        <w:rPr>
          <w:sz w:val="4"/>
        </w:rPr>
      </w:r>
    </w:p>
    <w:p>
      <w:pPr>
        <w:pStyle w:val="Heading2"/>
      </w:pPr>
      <w:r>
        <w:t>Delivery and training coverage</w:t>
      </w:r>
    </w:p>
    <w:p>
      <w:r>
        <w:t>At launch, the Technical Director is accountable for customer delivery, with the Process Applications Engineer coordinating each pilot. The Commercial Director owns the customer relationship. The Head of Product &amp; AI owns software implementation, and the Knowledge Engineer prepares training content. The Technical Director approves technical content and instructor capability.</w:t>
      </w:r>
    </w:p>
    <w:p>
      <w:r>
        <w:t>The Knowledge Engineer has one line manager, the Head of Product &amp; AI. The Technical Director sets domain acceptance requirements and provides technical review; this does not create a second reporting line. Each leader plans capacity across client work and reusable product development.</w:t>
      </w:r>
    </w:p>
    <w:p>
      <w:r>
        <w:br w:type="page"/>
      </w:r>
    </w:p>
    <w:p>
      <w:pPr>
        <w:pStyle w:val="Heading1"/>
      </w:pPr>
      <w:r>
        <w:t>3 Governance and decision rights</w:t>
      </w:r>
    </w:p>
    <w:p>
      <w:r>
        <w:t>Broadbridge4096 appoints the Subsidiary Board. The board oversees strategy, performance and management and escalates reserved matters to the parent. The Managing Director reports to the board. Each decision below has one accountable owner; required reviews are conditions of approval, not shared accountability.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592"/>
        <w:gridCol w:w="5184"/>
      </w:tblGrid>
      <w:tr>
        <w:trPr>
          <w:cantSplit/>
          <w:tblHeader/>
        </w:trPr>
        <w:tc>
          <w:tcPr>
            <w:tcW w:type="dxa" w:w="2592"/>
            <w:vAlign w:val="center"/>
            <w:tcMar>
              <w:top w:w="80" w:type="dxa"/>
              <w:left w:w="100" w:type="dxa"/>
              <w:bottom w:w="80" w:type="dxa"/>
              <w:right w:w="100" w:type="dxa"/>
            </w:tcMar>
            <w:shd w:fill="18364D"/>
          </w:tcPr>
          <w:p>
            <w:pPr>
              <w:spacing w:after="0" w:line="245" w:lineRule="auto"/>
            </w:pPr>
            <w:r>
              <w:rPr>
                <w:b/>
                <w:color w:val="FFFFFF"/>
                <w:sz w:val="20"/>
              </w:rPr>
              <w:t>Decision</w:t>
            </w:r>
          </w:p>
        </w:tc>
        <w:tc>
          <w:tcPr>
            <w:tcW w:type="dxa" w:w="2592"/>
            <w:vAlign w:val="center"/>
            <w:tcMar>
              <w:top w:w="80" w:type="dxa"/>
              <w:left w:w="100" w:type="dxa"/>
              <w:bottom w:w="80" w:type="dxa"/>
              <w:right w:w="100" w:type="dxa"/>
            </w:tcMar>
            <w:shd w:fill="18364D"/>
          </w:tcPr>
          <w:p>
            <w:pPr>
              <w:spacing w:after="0" w:line="245" w:lineRule="auto"/>
            </w:pPr>
            <w:r>
              <w:rPr>
                <w:b/>
                <w:color w:val="FFFFFF"/>
                <w:sz w:val="20"/>
              </w:rPr>
              <w:t>Accountable owner</w:t>
            </w:r>
          </w:p>
        </w:tc>
        <w:tc>
          <w:tcPr>
            <w:tcW w:type="dxa" w:w="5184"/>
            <w:vAlign w:val="center"/>
            <w:tcMar>
              <w:top w:w="80" w:type="dxa"/>
              <w:left w:w="100" w:type="dxa"/>
              <w:bottom w:w="80" w:type="dxa"/>
              <w:right w:w="100" w:type="dxa"/>
            </w:tcMar>
            <w:shd w:fill="18364D"/>
          </w:tcPr>
          <w:p>
            <w:pPr>
              <w:spacing w:after="0" w:line="245" w:lineRule="auto"/>
            </w:pPr>
            <w:r>
              <w:rPr>
                <w:b/>
                <w:color w:val="FFFFFF"/>
                <w:sz w:val="20"/>
              </w:rPr>
              <w:t>Required input or boundary</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0"/>
              </w:rPr>
              <w:t>Capital, annual budget, equity and material IP transactions</w:t>
            </w:r>
          </w:p>
        </w:tc>
        <w:tc>
          <w:tcPr>
            <w:tcW w:type="dxa" w:w="2592"/>
            <w:vAlign w:val="center"/>
            <w:tcMar>
              <w:top w:w="80" w:type="dxa"/>
              <w:left w:w="100" w:type="dxa"/>
              <w:bottom w:w="80" w:type="dxa"/>
              <w:right w:w="100" w:type="dxa"/>
            </w:tcMar>
            <w:shd w:fill="F2F4F5"/>
          </w:tcPr>
          <w:p>
            <w:pPr>
              <w:spacing w:after="0" w:line="245" w:lineRule="auto"/>
            </w:pPr>
            <w:r>
              <w:rPr>
                <w:sz w:val="20"/>
              </w:rPr>
              <w:t>Broadbridge4096</w:t>
            </w:r>
          </w:p>
        </w:tc>
        <w:tc>
          <w:tcPr>
            <w:tcW w:type="dxa" w:w="5184"/>
            <w:vAlign w:val="center"/>
            <w:tcMar>
              <w:top w:w="80" w:type="dxa"/>
              <w:left w:w="100" w:type="dxa"/>
              <w:bottom w:w="80" w:type="dxa"/>
              <w:right w:w="100" w:type="dxa"/>
            </w:tcMar>
            <w:shd w:fill="F2F4F5"/>
          </w:tcPr>
          <w:p>
            <w:pPr>
              <w:spacing w:after="0" w:line="245" w:lineRule="auto"/>
            </w:pPr>
            <w:r>
              <w:rPr>
                <w:sz w:val="20"/>
              </w:rPr>
              <w:t>Subsidiary Board recommends; parent approval is required. Materiality is set in the delegation schedule.</w:t>
            </w:r>
          </w:p>
        </w:tc>
      </w:tr>
      <w:tr>
        <w:trPr>
          <w:cantSplit/>
        </w:trPr>
        <w:tc>
          <w:tcPr>
            <w:tcW w:type="dxa" w:w="2592"/>
            <w:vAlign w:val="center"/>
            <w:tcMar>
              <w:top w:w="80" w:type="dxa"/>
              <w:left w:w="100" w:type="dxa"/>
              <w:bottom w:w="80" w:type="dxa"/>
              <w:right w:w="100" w:type="dxa"/>
            </w:tcMar>
            <w:shd w:fill="FFFFFF"/>
          </w:tcPr>
          <w:p>
            <w:pPr>
              <w:spacing w:after="0" w:line="245" w:lineRule="auto"/>
            </w:pPr>
            <w:r>
              <w:rPr>
                <w:sz w:val="20"/>
              </w:rPr>
              <w:t>Senior appointments</w:t>
            </w:r>
          </w:p>
        </w:tc>
        <w:tc>
          <w:tcPr>
            <w:tcW w:type="dxa" w:w="2592"/>
            <w:vAlign w:val="center"/>
            <w:tcMar>
              <w:top w:w="80" w:type="dxa"/>
              <w:left w:w="100" w:type="dxa"/>
              <w:bottom w:w="80" w:type="dxa"/>
              <w:right w:w="100" w:type="dxa"/>
            </w:tcMar>
            <w:shd w:fill="FFFFFF"/>
          </w:tcPr>
          <w:p>
            <w:pPr>
              <w:spacing w:after="0" w:line="245" w:lineRule="auto"/>
            </w:pPr>
            <w:r>
              <w:rPr>
                <w:sz w:val="20"/>
              </w:rPr>
              <w:t>Broadbridge4096</w:t>
            </w:r>
          </w:p>
        </w:tc>
        <w:tc>
          <w:tcPr>
            <w:tcW w:type="dxa" w:w="5184"/>
            <w:vAlign w:val="center"/>
            <w:tcMar>
              <w:top w:w="80" w:type="dxa"/>
              <w:left w:w="100" w:type="dxa"/>
              <w:bottom w:w="80" w:type="dxa"/>
              <w:right w:w="100" w:type="dxa"/>
            </w:tcMar>
            <w:shd w:fill="FFFFFF"/>
          </w:tcPr>
          <w:p>
            <w:pPr>
              <w:spacing w:after="0" w:line="245" w:lineRule="auto"/>
            </w:pPr>
            <w:r>
              <w:rPr>
                <w:sz w:val="20"/>
              </w:rPr>
              <w:t>Board recommends the Managing Director. The Managing Director recommends functional leaders through the board.</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0"/>
              </w:rPr>
              <w:t>Oversight and management performance</w:t>
            </w:r>
          </w:p>
        </w:tc>
        <w:tc>
          <w:tcPr>
            <w:tcW w:type="dxa" w:w="2592"/>
            <w:vAlign w:val="center"/>
            <w:tcMar>
              <w:top w:w="80" w:type="dxa"/>
              <w:left w:w="100" w:type="dxa"/>
              <w:bottom w:w="80" w:type="dxa"/>
              <w:right w:w="100" w:type="dxa"/>
            </w:tcMar>
            <w:shd w:fill="F2F4F5"/>
          </w:tcPr>
          <w:p>
            <w:pPr>
              <w:spacing w:after="0" w:line="245" w:lineRule="auto"/>
            </w:pPr>
            <w:r>
              <w:rPr>
                <w:sz w:val="20"/>
              </w:rPr>
              <w:t>Subsidiary Board</w:t>
            </w:r>
          </w:p>
        </w:tc>
        <w:tc>
          <w:tcPr>
            <w:tcW w:type="dxa" w:w="5184"/>
            <w:vAlign w:val="center"/>
            <w:tcMar>
              <w:top w:w="80" w:type="dxa"/>
              <w:left w:w="100" w:type="dxa"/>
              <w:bottom w:w="80" w:type="dxa"/>
              <w:right w:w="100" w:type="dxa"/>
            </w:tcMar>
            <w:shd w:fill="F2F4F5"/>
          </w:tcPr>
          <w:p>
            <w:pPr>
              <w:spacing w:after="0" w:line="245" w:lineRule="auto"/>
            </w:pPr>
            <w:r>
              <w:rPr>
                <w:sz w:val="20"/>
              </w:rPr>
              <w:t>Review results, challenge risk and hear expert escalations. Respect parent reserved matters.</w:t>
            </w:r>
          </w:p>
        </w:tc>
      </w:tr>
      <w:tr>
        <w:trPr>
          <w:cantSplit/>
        </w:trPr>
        <w:tc>
          <w:tcPr>
            <w:tcW w:type="dxa" w:w="2592"/>
            <w:vAlign w:val="center"/>
            <w:tcMar>
              <w:top w:w="80" w:type="dxa"/>
              <w:left w:w="100" w:type="dxa"/>
              <w:bottom w:w="80" w:type="dxa"/>
              <w:right w:w="100" w:type="dxa"/>
            </w:tcMar>
            <w:shd w:fill="FFFFFF"/>
          </w:tcPr>
          <w:p>
            <w:pPr>
              <w:spacing w:after="0" w:line="245" w:lineRule="auto"/>
            </w:pPr>
            <w:r>
              <w:rPr>
                <w:sz w:val="20"/>
              </w:rPr>
              <w:t>Customer qualification and pipeline</w:t>
            </w:r>
          </w:p>
        </w:tc>
        <w:tc>
          <w:tcPr>
            <w:tcW w:type="dxa" w:w="2592"/>
            <w:vAlign w:val="center"/>
            <w:tcMar>
              <w:top w:w="80" w:type="dxa"/>
              <w:left w:w="100" w:type="dxa"/>
              <w:bottom w:w="80" w:type="dxa"/>
              <w:right w:w="100" w:type="dxa"/>
            </w:tcMar>
            <w:shd w:fill="FFFFFF"/>
          </w:tcPr>
          <w:p>
            <w:pPr>
              <w:spacing w:after="0" w:line="245" w:lineRule="auto"/>
            </w:pPr>
            <w:r>
              <w:rPr>
                <w:sz w:val="20"/>
              </w:rPr>
              <w:t>Commercial Director</w:t>
            </w:r>
          </w:p>
        </w:tc>
        <w:tc>
          <w:tcPr>
            <w:tcW w:type="dxa" w:w="5184"/>
            <w:vAlign w:val="center"/>
            <w:tcMar>
              <w:top w:w="80" w:type="dxa"/>
              <w:left w:w="100" w:type="dxa"/>
              <w:bottom w:w="80" w:type="dxa"/>
              <w:right w:w="100" w:type="dxa"/>
            </w:tcMar>
            <w:shd w:fill="FFFFFF"/>
          </w:tcPr>
          <w:p>
            <w:pPr>
              <w:spacing w:after="0" w:line="245" w:lineRule="auto"/>
            </w:pPr>
            <w:r>
              <w:rPr>
                <w:sz w:val="20"/>
              </w:rPr>
              <w:t>Confirm need, budget, procurement and fit. Technical Director confirms capability before a proposal is committed.</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0"/>
              </w:rPr>
              <w:t>Pricing, contracts and scope changes</w:t>
            </w:r>
          </w:p>
        </w:tc>
        <w:tc>
          <w:tcPr>
            <w:tcW w:type="dxa" w:w="2592"/>
            <w:vAlign w:val="center"/>
            <w:tcMar>
              <w:top w:w="80" w:type="dxa"/>
              <w:left w:w="100" w:type="dxa"/>
              <w:bottom w:w="80" w:type="dxa"/>
              <w:right w:w="100" w:type="dxa"/>
            </w:tcMar>
            <w:shd w:fill="F2F4F5"/>
          </w:tcPr>
          <w:p>
            <w:pPr>
              <w:spacing w:after="0" w:line="245" w:lineRule="auto"/>
            </w:pPr>
            <w:r>
              <w:rPr>
                <w:sz w:val="20"/>
              </w:rPr>
              <w:t>Managing Director</w:t>
            </w:r>
          </w:p>
        </w:tc>
        <w:tc>
          <w:tcPr>
            <w:tcW w:type="dxa" w:w="5184"/>
            <w:vAlign w:val="center"/>
            <w:tcMar>
              <w:top w:w="80" w:type="dxa"/>
              <w:left w:w="100" w:type="dxa"/>
              <w:bottom w:w="80" w:type="dxa"/>
              <w:right w:w="100" w:type="dxa"/>
            </w:tcMar>
            <w:shd w:fill="F2F4F5"/>
          </w:tcPr>
          <w:p>
            <w:pPr>
              <w:spacing w:after="0" w:line="245" w:lineRule="auto"/>
            </w:pPr>
            <w:r>
              <w:rPr>
                <w:sz w:val="20"/>
              </w:rPr>
              <w:t>Commercial Director proposes terms. Obtain technical, delivery, legal and security inputs. Commit within delegated limits.</w:t>
            </w:r>
          </w:p>
        </w:tc>
      </w:tr>
      <w:tr>
        <w:trPr>
          <w:cantSplit/>
        </w:trPr>
        <w:tc>
          <w:tcPr>
            <w:tcW w:type="dxa" w:w="2592"/>
            <w:vAlign w:val="center"/>
            <w:tcMar>
              <w:top w:w="80" w:type="dxa"/>
              <w:left w:w="100" w:type="dxa"/>
              <w:bottom w:w="80" w:type="dxa"/>
              <w:right w:w="100" w:type="dxa"/>
            </w:tcMar>
            <w:shd w:fill="FFFFFF"/>
          </w:tcPr>
          <w:p>
            <w:pPr>
              <w:spacing w:after="0" w:line="245" w:lineRule="auto"/>
            </w:pPr>
            <w:r>
              <w:rPr>
                <w:sz w:val="20"/>
              </w:rPr>
              <w:t>Technical scope and acceptance</w:t>
            </w:r>
          </w:p>
        </w:tc>
        <w:tc>
          <w:tcPr>
            <w:tcW w:type="dxa" w:w="2592"/>
            <w:vAlign w:val="center"/>
            <w:tcMar>
              <w:top w:w="80" w:type="dxa"/>
              <w:left w:w="100" w:type="dxa"/>
              <w:bottom w:w="80" w:type="dxa"/>
              <w:right w:w="100" w:type="dxa"/>
            </w:tcMar>
            <w:shd w:fill="FFFFFF"/>
          </w:tcPr>
          <w:p>
            <w:pPr>
              <w:spacing w:after="0" w:line="245" w:lineRule="auto"/>
            </w:pPr>
            <w:r>
              <w:rPr>
                <w:sz w:val="20"/>
              </w:rPr>
              <w:t>Technical Director</w:t>
            </w:r>
          </w:p>
        </w:tc>
        <w:tc>
          <w:tcPr>
            <w:tcW w:type="dxa" w:w="5184"/>
            <w:vAlign w:val="center"/>
            <w:tcMar>
              <w:top w:w="80" w:type="dxa"/>
              <w:left w:w="100" w:type="dxa"/>
              <w:bottom w:w="80" w:type="dxa"/>
              <w:right w:w="100" w:type="dxa"/>
            </w:tcMar>
            <w:shd w:fill="FFFFFF"/>
          </w:tcPr>
          <w:p>
            <w:pPr>
              <w:spacing w:after="0" w:line="245" w:lineRule="auto"/>
            </w:pPr>
            <w:r>
              <w:rPr>
                <w:sz w:val="20"/>
              </w:rPr>
              <w:t>Obtain independent review and record limitations. May suspend unsupported or unsafe content, advice or releases.</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0"/>
              </w:rPr>
              <w:t>Customer delivery</w:t>
            </w:r>
          </w:p>
        </w:tc>
        <w:tc>
          <w:tcPr>
            <w:tcW w:type="dxa" w:w="2592"/>
            <w:vAlign w:val="center"/>
            <w:tcMar>
              <w:top w:w="80" w:type="dxa"/>
              <w:left w:w="100" w:type="dxa"/>
              <w:bottom w:w="80" w:type="dxa"/>
              <w:right w:w="100" w:type="dxa"/>
            </w:tcMar>
            <w:shd w:fill="F2F4F5"/>
          </w:tcPr>
          <w:p>
            <w:pPr>
              <w:spacing w:after="0" w:line="245" w:lineRule="auto"/>
            </w:pPr>
            <w:r>
              <w:rPr>
                <w:sz w:val="20"/>
              </w:rPr>
              <w:t>Technical Director at launch; Delivery Lead after appointment</w:t>
            </w:r>
          </w:p>
        </w:tc>
        <w:tc>
          <w:tcPr>
            <w:tcW w:type="dxa" w:w="5184"/>
            <w:vAlign w:val="center"/>
            <w:tcMar>
              <w:top w:w="80" w:type="dxa"/>
              <w:left w:w="100" w:type="dxa"/>
              <w:bottom w:w="80" w:type="dxa"/>
              <w:right w:w="100" w:type="dxa"/>
            </w:tcMar>
            <w:shd w:fill="F2F4F5"/>
          </w:tcPr>
          <w:p>
            <w:pPr>
              <w:spacing w:after="0" w:line="245" w:lineRule="auto"/>
            </w:pPr>
            <w:r>
              <w:rPr>
                <w:sz w:val="20"/>
              </w:rPr>
              <w:t>One accountable delivery owner per engagement. Record the handover. Technical acceptance stays with the Technical Director.</w:t>
            </w:r>
          </w:p>
        </w:tc>
      </w:tr>
      <w:tr>
        <w:trPr>
          <w:cantSplit/>
        </w:trPr>
        <w:tc>
          <w:tcPr>
            <w:tcW w:type="dxa" w:w="2592"/>
            <w:vAlign w:val="center"/>
            <w:tcMar>
              <w:top w:w="80" w:type="dxa"/>
              <w:left w:w="100" w:type="dxa"/>
              <w:bottom w:w="80" w:type="dxa"/>
              <w:right w:w="100" w:type="dxa"/>
            </w:tcMar>
            <w:shd w:fill="FFFFFF"/>
          </w:tcPr>
          <w:p>
            <w:pPr>
              <w:spacing w:after="0" w:line="245" w:lineRule="auto"/>
            </w:pPr>
            <w:r>
              <w:rPr>
                <w:sz w:val="20"/>
              </w:rPr>
              <w:t>Product priorities and software release</w:t>
            </w:r>
          </w:p>
        </w:tc>
        <w:tc>
          <w:tcPr>
            <w:tcW w:type="dxa" w:w="2592"/>
            <w:vAlign w:val="center"/>
            <w:tcMar>
              <w:top w:w="80" w:type="dxa"/>
              <w:left w:w="100" w:type="dxa"/>
              <w:bottom w:w="80" w:type="dxa"/>
              <w:right w:w="100" w:type="dxa"/>
            </w:tcMar>
            <w:shd w:fill="FFFFFF"/>
          </w:tcPr>
          <w:p>
            <w:pPr>
              <w:spacing w:after="0" w:line="245" w:lineRule="auto"/>
            </w:pPr>
            <w:r>
              <w:rPr>
                <w:sz w:val="20"/>
              </w:rPr>
              <w:t>Head of Product &amp; AI</w:t>
            </w:r>
          </w:p>
        </w:tc>
        <w:tc>
          <w:tcPr>
            <w:tcW w:type="dxa" w:w="5184"/>
            <w:vAlign w:val="center"/>
            <w:tcMar>
              <w:top w:w="80" w:type="dxa"/>
              <w:left w:w="100" w:type="dxa"/>
              <w:bottom w:w="80" w:type="dxa"/>
              <w:right w:w="100" w:type="dxa"/>
            </w:tcMar>
            <w:shd w:fill="FFFFFF"/>
          </w:tcPr>
          <w:p>
            <w:pPr>
              <w:spacing w:after="0" w:line="245" w:lineRule="auto"/>
            </w:pPr>
            <w:r>
              <w:rPr>
                <w:sz w:val="20"/>
              </w:rPr>
              <w:t>Technical Director accepts domain behavior; parent IT security accepts security controls. Both are required for release.</w:t>
            </w:r>
          </w:p>
        </w:tc>
      </w:tr>
      <w:tr>
        <w:trPr>
          <w:cantSplit/>
        </w:trPr>
        <w:tc>
          <w:tcPr>
            <w:tcW w:type="dxa" w:w="2592"/>
            <w:vAlign w:val="center"/>
            <w:tcMar>
              <w:top w:w="80" w:type="dxa"/>
              <w:left w:w="100" w:type="dxa"/>
              <w:bottom w:w="80" w:type="dxa"/>
              <w:right w:w="100" w:type="dxa"/>
            </w:tcMar>
            <w:shd w:fill="F2F4F5"/>
          </w:tcPr>
          <w:p>
            <w:pPr>
              <w:spacing w:after="0" w:line="245" w:lineRule="auto"/>
            </w:pPr>
            <w:r>
              <w:rPr>
                <w:sz w:val="20"/>
              </w:rPr>
              <w:t>Security acceptance</w:t>
            </w:r>
          </w:p>
        </w:tc>
        <w:tc>
          <w:tcPr>
            <w:tcW w:type="dxa" w:w="2592"/>
            <w:vAlign w:val="center"/>
            <w:tcMar>
              <w:top w:w="80" w:type="dxa"/>
              <w:left w:w="100" w:type="dxa"/>
              <w:bottom w:w="80" w:type="dxa"/>
              <w:right w:w="100" w:type="dxa"/>
            </w:tcMar>
            <w:shd w:fill="F2F4F5"/>
          </w:tcPr>
          <w:p>
            <w:pPr>
              <w:spacing w:after="0" w:line="245" w:lineRule="auto"/>
            </w:pPr>
            <w:r>
              <w:rPr>
                <w:sz w:val="20"/>
              </w:rPr>
              <w:t>Designated parent IT security lead</w:t>
            </w:r>
          </w:p>
        </w:tc>
        <w:tc>
          <w:tcPr>
            <w:tcW w:type="dxa" w:w="5184"/>
            <w:vAlign w:val="center"/>
            <w:tcMar>
              <w:top w:w="80" w:type="dxa"/>
              <w:left w:w="100" w:type="dxa"/>
              <w:bottom w:w="80" w:type="dxa"/>
              <w:right w:w="100" w:type="dxa"/>
            </w:tcMar>
            <w:shd w:fill="F2F4F5"/>
          </w:tcPr>
          <w:p>
            <w:pPr>
              <w:spacing w:after="0" w:line="245" w:lineRule="auto"/>
            </w:pPr>
            <w:r>
              <w:rPr>
                <w:sz w:val="20"/>
              </w:rPr>
              <w:t>Assess access, hosting, isolation and incident controls under the shared-service arrangement.</w:t>
            </w:r>
          </w:p>
        </w:tc>
      </w:tr>
      <w:tr>
        <w:trPr>
          <w:cantSplit/>
        </w:trPr>
        <w:tc>
          <w:tcPr>
            <w:tcW w:type="dxa" w:w="2592"/>
            <w:vAlign w:val="center"/>
            <w:tcMar>
              <w:top w:w="80" w:type="dxa"/>
              <w:left w:w="100" w:type="dxa"/>
              <w:bottom w:w="80" w:type="dxa"/>
              <w:right w:w="100" w:type="dxa"/>
            </w:tcMar>
            <w:shd w:fill="FFFFFF"/>
          </w:tcPr>
          <w:p>
            <w:pPr>
              <w:spacing w:after="0" w:line="245" w:lineRule="auto"/>
            </w:pPr>
            <w:r>
              <w:rPr>
                <w:sz w:val="20"/>
              </w:rPr>
              <w:t>Independent review findings</w:t>
            </w:r>
          </w:p>
        </w:tc>
        <w:tc>
          <w:tcPr>
            <w:tcW w:type="dxa" w:w="2592"/>
            <w:vAlign w:val="center"/>
            <w:tcMar>
              <w:top w:w="80" w:type="dxa"/>
              <w:left w:w="100" w:type="dxa"/>
              <w:bottom w:w="80" w:type="dxa"/>
              <w:right w:w="100" w:type="dxa"/>
            </w:tcMar>
            <w:shd w:fill="FFFFFF"/>
          </w:tcPr>
          <w:p>
            <w:pPr>
              <w:spacing w:after="0" w:line="245" w:lineRule="auto"/>
            </w:pPr>
            <w:r>
              <w:rPr>
                <w:sz w:val="20"/>
              </w:rPr>
              <w:t>Assigned independent reviewer</w:t>
            </w:r>
          </w:p>
        </w:tc>
        <w:tc>
          <w:tcPr>
            <w:tcW w:type="dxa" w:w="5184"/>
            <w:vAlign w:val="center"/>
            <w:tcMar>
              <w:top w:w="80" w:type="dxa"/>
              <w:left w:w="100" w:type="dxa"/>
              <w:bottom w:w="80" w:type="dxa"/>
              <w:right w:w="100" w:type="dxa"/>
            </w:tcMar>
            <w:shd w:fill="FFFFFF"/>
          </w:tcPr>
          <w:p>
            <w:pPr>
              <w:spacing w:after="0" w:line="245" w:lineRule="auto"/>
            </w:pPr>
            <w:r>
              <w:rPr>
                <w:sz w:val="20"/>
              </w:rPr>
              <w:t>Review within their competence. They cannot certify their own source material or implementation.</w:t>
            </w:r>
          </w:p>
        </w:tc>
      </w:tr>
    </w:tbl>
    <w:p>
      <w:pPr>
        <w:spacing w:after="20" w:line="40" w:lineRule="exact"/>
      </w:pPr>
      <w:r>
        <w:rPr>
          <w:sz w:val="4"/>
        </w:rPr>
      </w:r>
    </w:p>
    <w:p>
      <w:r>
        <w:t>Before commitments begin, the parent approves written limits for contract value, term, nonstandard liability, expenditure and material IP transactions. No monetary limits are assumed here. Until delegation is approved, the Managing Director routes commitments to the parent through the board.</w:t>
      </w:r>
    </w:p>
    <w:p>
      <w:r>
        <w:t>Commercial deadlines cannot override technical or security stops. The board resolves resourcing and business choices; the relevant acceptance owner must close the underlying issue before release.</w:t>
      </w:r>
    </w:p>
    <w:p>
      <w:r>
        <w:br w:type="page"/>
      </w:r>
    </w:p>
    <w:p>
      <w:pPr>
        <w:pStyle w:val="Heading1"/>
      </w:pPr>
      <w:r>
        <w:t>4 Experts and intellectual property</w:t>
      </w:r>
    </w:p>
    <w:p>
      <w:r>
        <w:t>The Technical Director appoints and manages contracted experts within the approved budget and delegated contracting process. An Expert Council advises on coverage, methods, evidence and limitations and reports to the Technical Director. Members may raise unresolved concerns directly with the Subsidiary Board. Council membership confers advisory influence, not management or signing authority.</w:t>
      </w:r>
    </w:p>
    <w:p>
      <w:r>
        <w:t>Norman Lieberman is an illustrative founding expert candidate based on his published process-engineering and teaching experience. Participation, availability, content rights and commercial terms are unconfirmed. His name must not imply endorsement or an agreed appointment. Other specialists are required as practices expand.</w:t>
      </w:r>
    </w:p>
    <w:p>
      <w:pPr>
        <w:pStyle w:val="Heading2"/>
      </w:pPr>
      <w:r>
        <w:t>Participation terms</w:t>
      </w:r>
    </w:p>
    <w:p>
      <w:r>
        <w:t>Use defined retainers for availability and review, scoped fees for capture or teaching, and licensing arrangements for content. Specify scope, turnaround, workload, attribution, conflicts, quality obligations and continuity. Royalties must define their revenue base, deductions, timing and audit rights. Equity is a separate parent decision and is not assumed in launch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488"/>
      </w:tblGrid>
      <w:tr>
        <w:trPr>
          <w:cantSplit/>
          <w:tblHeader/>
        </w:trPr>
        <w:tc>
          <w:tcPr>
            <w:tcW w:type="dxa" w:w="2880"/>
            <w:vAlign w:val="center"/>
            <w:tcMar>
              <w:top w:w="80" w:type="dxa"/>
              <w:left w:w="100" w:type="dxa"/>
              <w:bottom w:w="80" w:type="dxa"/>
              <w:right w:w="100" w:type="dxa"/>
            </w:tcMar>
            <w:shd w:fill="18364D"/>
          </w:tcPr>
          <w:p>
            <w:pPr>
              <w:spacing w:after="0" w:line="245" w:lineRule="auto"/>
            </w:pPr>
            <w:r>
              <w:rPr>
                <w:b/>
                <w:color w:val="FFFFFF"/>
                <w:sz w:val="21"/>
              </w:rPr>
              <w:t>Asset or permission</w:t>
            </w:r>
          </w:p>
        </w:tc>
        <w:tc>
          <w:tcPr>
            <w:tcW w:type="dxa" w:w="7488"/>
            <w:vAlign w:val="center"/>
            <w:tcMar>
              <w:top w:w="80" w:type="dxa"/>
              <w:left w:w="100" w:type="dxa"/>
              <w:bottom w:w="80" w:type="dxa"/>
              <w:right w:w="100" w:type="dxa"/>
            </w:tcMar>
            <w:shd w:fill="18364D"/>
          </w:tcPr>
          <w:p>
            <w:pPr>
              <w:spacing w:after="0" w:line="245" w:lineRule="auto"/>
            </w:pPr>
            <w:r>
              <w:rPr>
                <w:b/>
                <w:color w:val="FFFFFF"/>
                <w:sz w:val="21"/>
              </w:rPr>
              <w:t>Responsibility and proposed treatment</w:t>
            </w:r>
          </w:p>
        </w:tc>
      </w:tr>
      <w:tr>
        <w:trPr>
          <w:cantSplit/>
        </w:trPr>
        <w:tc>
          <w:tcPr>
            <w:tcW w:type="dxa" w:w="2880"/>
            <w:vAlign w:val="center"/>
            <w:tcMar>
              <w:top w:w="80" w:type="dxa"/>
              <w:left w:w="100" w:type="dxa"/>
              <w:bottom w:w="80" w:type="dxa"/>
              <w:right w:w="100" w:type="dxa"/>
            </w:tcMar>
            <w:shd w:fill="F2F4F5"/>
          </w:tcPr>
          <w:p>
            <w:pPr>
              <w:spacing w:after="0" w:line="245" w:lineRule="auto"/>
            </w:pPr>
            <w:r>
              <w:rPr>
                <w:sz w:val="21"/>
              </w:rPr>
              <w:t>Expert background content</w:t>
            </w:r>
          </w:p>
        </w:tc>
        <w:tc>
          <w:tcPr>
            <w:tcW w:type="dxa" w:w="7488"/>
            <w:vAlign w:val="center"/>
            <w:tcMar>
              <w:top w:w="80" w:type="dxa"/>
              <w:left w:w="100" w:type="dxa"/>
              <w:bottom w:w="80" w:type="dxa"/>
              <w:right w:w="100" w:type="dxa"/>
            </w:tcMar>
            <w:shd w:fill="F2F4F5"/>
          </w:tcPr>
          <w:p>
            <w:pPr>
              <w:spacing w:after="0" w:line="245" w:lineRule="auto"/>
            </w:pPr>
            <w:r>
              <w:rPr>
                <w:sz w:val="21"/>
              </w:rPr>
              <w:t>The expert or actual rights holder retains pre-existing ownership. The subsidiary secures explicit licenses for permitted uses. Authorship alone does not establish publisher or former-client permissions.</w:t>
            </w:r>
          </w:p>
        </w:tc>
      </w:tr>
      <w:tr>
        <w:trPr>
          <w:cantSplit/>
        </w:trPr>
        <w:tc>
          <w:tcPr>
            <w:tcW w:type="dxa" w:w="2880"/>
            <w:vAlign w:val="center"/>
            <w:tcMar>
              <w:top w:w="80" w:type="dxa"/>
              <w:left w:w="100" w:type="dxa"/>
              <w:bottom w:w="80" w:type="dxa"/>
              <w:right w:w="100" w:type="dxa"/>
            </w:tcMar>
            <w:shd w:fill="FFFFFF"/>
          </w:tcPr>
          <w:p>
            <w:pPr>
              <w:spacing w:after="0" w:line="245" w:lineRule="auto"/>
            </w:pPr>
            <w:r>
              <w:rPr>
                <w:sz w:val="21"/>
              </w:rPr>
              <w:t>New cases and teaching material</w:t>
            </w:r>
          </w:p>
        </w:tc>
        <w:tc>
          <w:tcPr>
            <w:tcW w:type="dxa" w:w="7488"/>
            <w:vAlign w:val="center"/>
            <w:tcMar>
              <w:top w:w="80" w:type="dxa"/>
              <w:left w:w="100" w:type="dxa"/>
              <w:bottom w:w="80" w:type="dxa"/>
              <w:right w:w="100" w:type="dxa"/>
            </w:tcMar>
            <w:shd w:fill="FFFFFF"/>
          </w:tcPr>
          <w:p>
            <w:pPr>
              <w:spacing w:after="0" w:line="245" w:lineRule="auto"/>
            </w:pPr>
            <w:r>
              <w:rPr>
                <w:sz w:val="21"/>
              </w:rPr>
              <w:t>The contract specifies assignment or license, attribution, compensation, revisions and post-termination use. Technical Director owns acceptance; Knowledge Engineer keeps asset and rights records.</w:t>
            </w:r>
          </w:p>
        </w:tc>
      </w:tr>
      <w:tr>
        <w:trPr>
          <w:cantSplit/>
        </w:trPr>
        <w:tc>
          <w:tcPr>
            <w:tcW w:type="dxa" w:w="2880"/>
            <w:vAlign w:val="center"/>
            <w:tcMar>
              <w:top w:w="80" w:type="dxa"/>
              <w:left w:w="100" w:type="dxa"/>
              <w:bottom w:w="80" w:type="dxa"/>
              <w:right w:w="100" w:type="dxa"/>
            </w:tcMar>
            <w:shd w:fill="F2F4F5"/>
          </w:tcPr>
          <w:p>
            <w:pPr>
              <w:spacing w:after="0" w:line="245" w:lineRule="auto"/>
            </w:pPr>
            <w:r>
              <w:rPr>
                <w:sz w:val="21"/>
              </w:rPr>
              <w:t>Software and improvements</w:t>
            </w:r>
          </w:p>
        </w:tc>
        <w:tc>
          <w:tcPr>
            <w:tcW w:type="dxa" w:w="7488"/>
            <w:vAlign w:val="center"/>
            <w:tcMar>
              <w:top w:w="80" w:type="dxa"/>
              <w:left w:w="100" w:type="dxa"/>
              <w:bottom w:w="80" w:type="dxa"/>
              <w:right w:w="100" w:type="dxa"/>
            </w:tcMar>
            <w:shd w:fill="F2F4F5"/>
          </w:tcPr>
          <w:p>
            <w:pPr>
              <w:spacing w:after="0" w:line="245" w:lineRule="auto"/>
            </w:pPr>
            <w:r>
              <w:rPr>
                <w:sz w:val="21"/>
              </w:rPr>
              <w:t>Head of Product &amp; AI maintains the IP register. New subsidiary-funded software should be assigned to the subsidiary through employment and contractor agreements. Parent or third-party components need documented licenses.</w:t>
            </w:r>
          </w:p>
        </w:tc>
      </w:tr>
      <w:tr>
        <w:trPr>
          <w:cantSplit/>
        </w:trPr>
        <w:tc>
          <w:tcPr>
            <w:tcW w:type="dxa" w:w="2880"/>
            <w:vAlign w:val="center"/>
            <w:tcMar>
              <w:top w:w="80" w:type="dxa"/>
              <w:left w:w="100" w:type="dxa"/>
              <w:bottom w:w="80" w:type="dxa"/>
              <w:right w:w="100" w:type="dxa"/>
            </w:tcMar>
            <w:shd w:fill="FFFFFF"/>
          </w:tcPr>
          <w:p>
            <w:pPr>
              <w:spacing w:after="0" w:line="245" w:lineRule="auto"/>
            </w:pPr>
            <w:r>
              <w:rPr>
                <w:sz w:val="21"/>
              </w:rPr>
              <w:t>Customer records and derived cases</w:t>
            </w:r>
          </w:p>
        </w:tc>
        <w:tc>
          <w:tcPr>
            <w:tcW w:type="dxa" w:w="7488"/>
            <w:vAlign w:val="center"/>
            <w:tcMar>
              <w:top w:w="80" w:type="dxa"/>
              <w:left w:w="100" w:type="dxa"/>
              <w:bottom w:w="80" w:type="dxa"/>
              <w:right w:w="100" w:type="dxa"/>
            </w:tcMar>
            <w:shd w:fill="FFFFFF"/>
          </w:tcPr>
          <w:p>
            <w:pPr>
              <w:spacing w:after="0" w:line="245" w:lineRule="auto"/>
            </w:pPr>
            <w:r>
              <w:rPr>
                <w:sz w:val="21"/>
              </w:rPr>
              <w:t>The customer retains its contractual rights in supplied data. Managing Director approves permitted uses on legal advice. Delivery access does not permit general model training, cross-customer reuse or publication.</w:t>
            </w:r>
          </w:p>
        </w:tc>
      </w:tr>
      <w:tr>
        <w:trPr>
          <w:cantSplit/>
        </w:trPr>
        <w:tc>
          <w:tcPr>
            <w:tcW w:type="dxa" w:w="2880"/>
            <w:vAlign w:val="center"/>
            <w:tcMar>
              <w:top w:w="80" w:type="dxa"/>
              <w:left w:w="100" w:type="dxa"/>
              <w:bottom w:w="80" w:type="dxa"/>
              <w:right w:w="100" w:type="dxa"/>
            </w:tcMar>
            <w:shd w:fill="F2F4F5"/>
          </w:tcPr>
          <w:p>
            <w:pPr>
              <w:spacing w:after="0" w:line="245" w:lineRule="auto"/>
            </w:pPr>
            <w:r>
              <w:rPr>
                <w:sz w:val="21"/>
              </w:rPr>
              <w:t>Rights evidence and controls</w:t>
            </w:r>
          </w:p>
        </w:tc>
        <w:tc>
          <w:tcPr>
            <w:tcW w:type="dxa" w:w="7488"/>
            <w:vAlign w:val="center"/>
            <w:tcMar>
              <w:top w:w="80" w:type="dxa"/>
              <w:left w:w="100" w:type="dxa"/>
              <w:bottom w:w="80" w:type="dxa"/>
              <w:right w:w="100" w:type="dxa"/>
            </w:tcMar>
            <w:shd w:fill="F2F4F5"/>
          </w:tcPr>
          <w:p>
            <w:pPr>
              <w:spacing w:after="0" w:line="245" w:lineRule="auto"/>
            </w:pPr>
            <w:r>
              <w:rPr>
                <w:sz w:val="21"/>
              </w:rPr>
              <w:t>Knowledge Engineer records source, rights holder, grant, restrictions, expiry and use history. Product leadership enforces access and removal. Unclear material is held out until cleared.</w:t>
            </w:r>
          </w:p>
        </w:tc>
      </w:tr>
    </w:tbl>
    <w:p>
      <w:pPr>
        <w:spacing w:after="20" w:line="40" w:lineRule="exact"/>
      </w:pPr>
      <w:r>
        <w:rPr>
          <w:sz w:val="4"/>
        </w:rPr>
      </w:r>
    </w:p>
    <w:p>
      <w:r>
        <w:t>Contracts separately address retrieval, training or fine-tuning, derived content, redistribution and sublicensing. Removing names alone does not establish reuse permission. Material IP assignments and licenses remain parent reserved matters; operational licensing within delegation remains with the Managing Director.</w:t>
      </w:r>
    </w:p>
    <w:p>
      <w:r>
        <w:br w:type="page"/>
      </w:r>
    </w:p>
    <w:p>
      <w:pPr>
        <w:pStyle w:val="Heading1"/>
      </w:pPr>
      <w:r>
        <w:t>5 Customer delivery and product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592"/>
        <w:gridCol w:w="5472"/>
      </w:tblGrid>
      <w:tr>
        <w:trPr>
          <w:cantSplit/>
          <w:tblHeader/>
        </w:trPr>
        <w:tc>
          <w:tcPr>
            <w:tcW w:type="dxa" w:w="2304"/>
            <w:vAlign w:val="center"/>
            <w:tcMar>
              <w:top w:w="80" w:type="dxa"/>
              <w:left w:w="100" w:type="dxa"/>
              <w:bottom w:w="80" w:type="dxa"/>
              <w:right w:w="100" w:type="dxa"/>
            </w:tcMar>
            <w:shd w:fill="18364D"/>
          </w:tcPr>
          <w:p>
            <w:pPr>
              <w:spacing w:after="0" w:line="245" w:lineRule="auto"/>
            </w:pPr>
            <w:r>
              <w:rPr>
                <w:b/>
                <w:color w:val="FFFFFF"/>
                <w:sz w:val="21"/>
              </w:rPr>
              <w:t>Step</w:t>
            </w:r>
          </w:p>
        </w:tc>
        <w:tc>
          <w:tcPr>
            <w:tcW w:type="dxa" w:w="2592"/>
            <w:vAlign w:val="center"/>
            <w:tcMar>
              <w:top w:w="80" w:type="dxa"/>
              <w:left w:w="100" w:type="dxa"/>
              <w:bottom w:w="80" w:type="dxa"/>
              <w:right w:w="100" w:type="dxa"/>
            </w:tcMar>
            <w:shd w:fill="18364D"/>
          </w:tcPr>
          <w:p>
            <w:pPr>
              <w:spacing w:after="0" w:line="245" w:lineRule="auto"/>
            </w:pPr>
            <w:r>
              <w:rPr>
                <w:b/>
                <w:color w:val="FFFFFF"/>
                <w:sz w:val="21"/>
              </w:rPr>
              <w:t>Accountable owner</w:t>
            </w:r>
          </w:p>
        </w:tc>
        <w:tc>
          <w:tcPr>
            <w:tcW w:type="dxa" w:w="5472"/>
            <w:vAlign w:val="center"/>
            <w:tcMar>
              <w:top w:w="80" w:type="dxa"/>
              <w:left w:w="100" w:type="dxa"/>
              <w:bottom w:w="80" w:type="dxa"/>
              <w:right w:w="100" w:type="dxa"/>
            </w:tcMar>
            <w:shd w:fill="18364D"/>
          </w:tcPr>
          <w:p>
            <w:pPr>
              <w:spacing w:after="0" w:line="245" w:lineRule="auto"/>
            </w:pPr>
            <w:r>
              <w:rPr>
                <w:b/>
                <w:color w:val="FFFFFF"/>
                <w:sz w:val="21"/>
              </w:rPr>
              <w:t>Required result</w:t>
            </w:r>
          </w:p>
        </w:tc>
      </w:tr>
      <w:tr>
        <w:trPr>
          <w:cantSplit/>
        </w:trPr>
        <w:tc>
          <w:tcPr>
            <w:tcW w:type="dxa" w:w="2304"/>
            <w:vAlign w:val="center"/>
            <w:tcMar>
              <w:top w:w="80" w:type="dxa"/>
              <w:left w:w="100" w:type="dxa"/>
              <w:bottom w:w="80" w:type="dxa"/>
              <w:right w:w="100" w:type="dxa"/>
            </w:tcMar>
            <w:shd w:fill="F2F4F5"/>
          </w:tcPr>
          <w:p>
            <w:pPr>
              <w:spacing w:after="0" w:line="245" w:lineRule="auto"/>
            </w:pPr>
            <w:r>
              <w:rPr>
                <w:sz w:val="21"/>
              </w:rPr>
              <w:t>1 Qualify</w:t>
            </w:r>
          </w:p>
        </w:tc>
        <w:tc>
          <w:tcPr>
            <w:tcW w:type="dxa" w:w="2592"/>
            <w:vAlign w:val="center"/>
            <w:tcMar>
              <w:top w:w="80" w:type="dxa"/>
              <w:left w:w="100" w:type="dxa"/>
              <w:bottom w:w="80" w:type="dxa"/>
              <w:right w:w="100" w:type="dxa"/>
            </w:tcMar>
            <w:shd w:fill="F2F4F5"/>
          </w:tcPr>
          <w:p>
            <w:pPr>
              <w:spacing w:after="0" w:line="245" w:lineRule="auto"/>
            </w:pPr>
            <w:r>
              <w:rPr>
                <w:sz w:val="21"/>
              </w:rPr>
              <w:t>Commercial Director</w:t>
            </w:r>
          </w:p>
        </w:tc>
        <w:tc>
          <w:tcPr>
            <w:tcW w:type="dxa" w:w="5472"/>
            <w:vAlign w:val="center"/>
            <w:tcMar>
              <w:top w:w="80" w:type="dxa"/>
              <w:left w:w="100" w:type="dxa"/>
              <w:bottom w:w="80" w:type="dxa"/>
              <w:right w:w="100" w:type="dxa"/>
            </w:tcMar>
            <w:shd w:fill="F2F4F5"/>
          </w:tcPr>
          <w:p>
            <w:pPr>
              <w:spacing w:after="0" w:line="245" w:lineRule="auto"/>
            </w:pPr>
            <w:r>
              <w:rPr>
                <w:sz w:val="21"/>
              </w:rPr>
              <w:t>Named buyer and sponsor, recurring problem, procurement route and scope fit.</w:t>
            </w:r>
          </w:p>
        </w:tc>
      </w:tr>
      <w:tr>
        <w:trPr>
          <w:cantSplit/>
        </w:trPr>
        <w:tc>
          <w:tcPr>
            <w:tcW w:type="dxa" w:w="2304"/>
            <w:vAlign w:val="center"/>
            <w:tcMar>
              <w:top w:w="80" w:type="dxa"/>
              <w:left w:w="100" w:type="dxa"/>
              <w:bottom w:w="80" w:type="dxa"/>
              <w:right w:w="100" w:type="dxa"/>
            </w:tcMar>
            <w:shd w:fill="FFFFFF"/>
          </w:tcPr>
          <w:p>
            <w:pPr>
              <w:spacing w:after="0" w:line="245" w:lineRule="auto"/>
            </w:pPr>
            <w:r>
              <w:rPr>
                <w:sz w:val="21"/>
              </w:rPr>
              <w:t>2 Accept technical scope</w:t>
            </w:r>
          </w:p>
        </w:tc>
        <w:tc>
          <w:tcPr>
            <w:tcW w:type="dxa" w:w="2592"/>
            <w:vAlign w:val="center"/>
            <w:tcMar>
              <w:top w:w="80" w:type="dxa"/>
              <w:left w:w="100" w:type="dxa"/>
              <w:bottom w:w="80" w:type="dxa"/>
              <w:right w:w="100" w:type="dxa"/>
            </w:tcMar>
            <w:shd w:fill="FFFFFF"/>
          </w:tcPr>
          <w:p>
            <w:pPr>
              <w:spacing w:after="0" w:line="245" w:lineRule="auto"/>
            </w:pPr>
            <w:r>
              <w:rPr>
                <w:sz w:val="21"/>
              </w:rPr>
              <w:t>Technical Director</w:t>
            </w:r>
          </w:p>
        </w:tc>
        <w:tc>
          <w:tcPr>
            <w:tcW w:type="dxa" w:w="5472"/>
            <w:vAlign w:val="center"/>
            <w:tcMar>
              <w:top w:w="80" w:type="dxa"/>
              <w:left w:w="100" w:type="dxa"/>
              <w:bottom w:w="80" w:type="dxa"/>
              <w:right w:w="100" w:type="dxa"/>
            </w:tcMar>
            <w:shd w:fill="FFFFFF"/>
          </w:tcPr>
          <w:p>
            <w:pPr>
              <w:spacing w:after="0" w:line="245" w:lineRule="auto"/>
            </w:pPr>
            <w:r>
              <w:rPr>
                <w:sz w:val="21"/>
              </w:rPr>
              <w:t>Supported domain, required experts, assumptions, exclusions and review plan.</w:t>
            </w:r>
          </w:p>
        </w:tc>
      </w:tr>
      <w:tr>
        <w:trPr>
          <w:cantSplit/>
        </w:trPr>
        <w:tc>
          <w:tcPr>
            <w:tcW w:type="dxa" w:w="2304"/>
            <w:vAlign w:val="center"/>
            <w:tcMar>
              <w:top w:w="80" w:type="dxa"/>
              <w:left w:w="100" w:type="dxa"/>
              <w:bottom w:w="80" w:type="dxa"/>
              <w:right w:w="100" w:type="dxa"/>
            </w:tcMar>
            <w:shd w:fill="F2F4F5"/>
          </w:tcPr>
          <w:p>
            <w:pPr>
              <w:spacing w:after="0" w:line="245" w:lineRule="auto"/>
            </w:pPr>
            <w:r>
              <w:rPr>
                <w:sz w:val="21"/>
              </w:rPr>
              <w:t>3 Agree engagement</w:t>
            </w:r>
          </w:p>
        </w:tc>
        <w:tc>
          <w:tcPr>
            <w:tcW w:type="dxa" w:w="2592"/>
            <w:vAlign w:val="center"/>
            <w:tcMar>
              <w:top w:w="80" w:type="dxa"/>
              <w:left w:w="100" w:type="dxa"/>
              <w:bottom w:w="80" w:type="dxa"/>
              <w:right w:w="100" w:type="dxa"/>
            </w:tcMar>
            <w:shd w:fill="F2F4F5"/>
          </w:tcPr>
          <w:p>
            <w:pPr>
              <w:spacing w:after="0" w:line="245" w:lineRule="auto"/>
            </w:pPr>
            <w:r>
              <w:rPr>
                <w:sz w:val="21"/>
              </w:rPr>
              <w:t>Managing Director</w:t>
            </w:r>
          </w:p>
        </w:tc>
        <w:tc>
          <w:tcPr>
            <w:tcW w:type="dxa" w:w="5472"/>
            <w:vAlign w:val="center"/>
            <w:tcMar>
              <w:top w:w="80" w:type="dxa"/>
              <w:left w:w="100" w:type="dxa"/>
              <w:bottom w:w="80" w:type="dxa"/>
              <w:right w:w="100" w:type="dxa"/>
            </w:tcMar>
            <w:shd w:fill="F2F4F5"/>
          </w:tcPr>
          <w:p>
            <w:pPr>
              <w:spacing w:after="0" w:line="245" w:lineRule="auto"/>
            </w:pPr>
            <w:r>
              <w:rPr>
                <w:sz w:val="21"/>
              </w:rPr>
              <w:t>Signed scope, price, acceptance criteria, data permissions and support limits within delegation.</w:t>
            </w:r>
          </w:p>
        </w:tc>
      </w:tr>
      <w:tr>
        <w:trPr>
          <w:cantSplit/>
        </w:trPr>
        <w:tc>
          <w:tcPr>
            <w:tcW w:type="dxa" w:w="2304"/>
            <w:vAlign w:val="center"/>
            <w:tcMar>
              <w:top w:w="80" w:type="dxa"/>
              <w:left w:w="100" w:type="dxa"/>
              <w:bottom w:w="80" w:type="dxa"/>
              <w:right w:w="100" w:type="dxa"/>
            </w:tcMar>
            <w:shd w:fill="FFFFFF"/>
          </w:tcPr>
          <w:p>
            <w:pPr>
              <w:spacing w:after="0" w:line="245" w:lineRule="auto"/>
            </w:pPr>
            <w:r>
              <w:rPr>
                <w:sz w:val="21"/>
              </w:rPr>
              <w:t>4 Mobilize and baseline</w:t>
            </w:r>
          </w:p>
        </w:tc>
        <w:tc>
          <w:tcPr>
            <w:tcW w:type="dxa" w:w="2592"/>
            <w:vAlign w:val="center"/>
            <w:tcMar>
              <w:top w:w="80" w:type="dxa"/>
              <w:left w:w="100" w:type="dxa"/>
              <w:bottom w:w="80" w:type="dxa"/>
              <w:right w:w="100" w:type="dxa"/>
            </w:tcMar>
            <w:shd w:fill="FFFFFF"/>
          </w:tcPr>
          <w:p>
            <w:pPr>
              <w:spacing w:after="0" w:line="245" w:lineRule="auto"/>
            </w:pPr>
            <w:r>
              <w:rPr>
                <w:sz w:val="21"/>
              </w:rPr>
              <w:t>Delivery owner</w:t>
            </w:r>
          </w:p>
        </w:tc>
        <w:tc>
          <w:tcPr>
            <w:tcW w:type="dxa" w:w="5472"/>
            <w:vAlign w:val="center"/>
            <w:tcMar>
              <w:top w:w="80" w:type="dxa"/>
              <w:left w:w="100" w:type="dxa"/>
              <w:bottom w:w="80" w:type="dxa"/>
              <w:right w:w="100" w:type="dxa"/>
            </w:tcMar>
            <w:shd w:fill="FFFFFF"/>
          </w:tcPr>
          <w:p>
            <w:pPr>
              <w:spacing w:after="0" w:line="245" w:lineRule="auto"/>
            </w:pPr>
            <w:r>
              <w:rPr>
                <w:sz w:val="21"/>
              </w:rPr>
              <w:t>Team, customer access approval, schedule and baseline. This owner is the Technical Director at launch and the Delivery Lead after appointment.</w:t>
            </w:r>
          </w:p>
        </w:tc>
      </w:tr>
      <w:tr>
        <w:trPr>
          <w:cantSplit/>
        </w:trPr>
        <w:tc>
          <w:tcPr>
            <w:tcW w:type="dxa" w:w="2304"/>
            <w:vAlign w:val="center"/>
            <w:tcMar>
              <w:top w:w="80" w:type="dxa"/>
              <w:left w:w="100" w:type="dxa"/>
              <w:bottom w:w="80" w:type="dxa"/>
              <w:right w:w="100" w:type="dxa"/>
            </w:tcMar>
            <w:shd w:fill="F2F4F5"/>
          </w:tcPr>
          <w:p>
            <w:pPr>
              <w:spacing w:after="0" w:line="245" w:lineRule="auto"/>
            </w:pPr>
            <w:r>
              <w:rPr>
                <w:sz w:val="21"/>
              </w:rPr>
              <w:t>5 Prepare and build</w:t>
            </w:r>
          </w:p>
        </w:tc>
        <w:tc>
          <w:tcPr>
            <w:tcW w:type="dxa" w:w="2592"/>
            <w:vAlign w:val="center"/>
            <w:tcMar>
              <w:top w:w="80" w:type="dxa"/>
              <w:left w:w="100" w:type="dxa"/>
              <w:bottom w:w="80" w:type="dxa"/>
              <w:right w:w="100" w:type="dxa"/>
            </w:tcMar>
            <w:shd w:fill="F2F4F5"/>
          </w:tcPr>
          <w:p>
            <w:pPr>
              <w:spacing w:after="0" w:line="245" w:lineRule="auto"/>
            </w:pPr>
            <w:r>
              <w:rPr>
                <w:sz w:val="21"/>
              </w:rPr>
              <w:t>Head of Product &amp; AI</w:t>
            </w:r>
          </w:p>
        </w:tc>
        <w:tc>
          <w:tcPr>
            <w:tcW w:type="dxa" w:w="5472"/>
            <w:vAlign w:val="center"/>
            <w:tcMar>
              <w:top w:w="80" w:type="dxa"/>
              <w:left w:w="100" w:type="dxa"/>
              <w:bottom w:w="80" w:type="dxa"/>
              <w:right w:w="100" w:type="dxa"/>
            </w:tcMar>
            <w:shd w:fill="F2F4F5"/>
          </w:tcPr>
          <w:p>
            <w:pPr>
              <w:spacing w:after="0" w:line="245" w:lineRule="auto"/>
            </w:pPr>
            <w:r>
              <w:rPr>
                <w:sz w:val="21"/>
              </w:rPr>
              <w:t>Permitted sources, reviewed cases, reproducible tools, separated evaluation data and controlled implementation.</w:t>
            </w:r>
          </w:p>
        </w:tc>
      </w:tr>
      <w:tr>
        <w:trPr>
          <w:cantSplit/>
        </w:trPr>
        <w:tc>
          <w:tcPr>
            <w:tcW w:type="dxa" w:w="2304"/>
            <w:vAlign w:val="center"/>
            <w:tcMar>
              <w:top w:w="80" w:type="dxa"/>
              <w:left w:w="100" w:type="dxa"/>
              <w:bottom w:w="80" w:type="dxa"/>
              <w:right w:w="100" w:type="dxa"/>
            </w:tcMar>
            <w:shd w:fill="FFFFFF"/>
          </w:tcPr>
          <w:p>
            <w:pPr>
              <w:spacing w:after="0" w:line="245" w:lineRule="auto"/>
            </w:pPr>
            <w:r>
              <w:rPr>
                <w:sz w:val="21"/>
              </w:rPr>
              <w:t>6 Accept technical output</w:t>
            </w:r>
          </w:p>
        </w:tc>
        <w:tc>
          <w:tcPr>
            <w:tcW w:type="dxa" w:w="2592"/>
            <w:vAlign w:val="center"/>
            <w:tcMar>
              <w:top w:w="80" w:type="dxa"/>
              <w:left w:w="100" w:type="dxa"/>
              <w:bottom w:w="80" w:type="dxa"/>
              <w:right w:w="100" w:type="dxa"/>
            </w:tcMar>
            <w:shd w:fill="FFFFFF"/>
          </w:tcPr>
          <w:p>
            <w:pPr>
              <w:spacing w:after="0" w:line="245" w:lineRule="auto"/>
            </w:pPr>
            <w:r>
              <w:rPr>
                <w:sz w:val="21"/>
              </w:rPr>
              <w:t>Technical Director</w:t>
            </w:r>
          </w:p>
        </w:tc>
        <w:tc>
          <w:tcPr>
            <w:tcW w:type="dxa" w:w="5472"/>
            <w:vAlign w:val="center"/>
            <w:tcMar>
              <w:top w:w="80" w:type="dxa"/>
              <w:left w:w="100" w:type="dxa"/>
              <w:bottom w:w="80" w:type="dxa"/>
              <w:right w:w="100" w:type="dxa"/>
            </w:tcMar>
            <w:shd w:fill="FFFFFF"/>
          </w:tcPr>
          <w:p>
            <w:pPr>
              <w:spacing w:after="0" w:line="245" w:lineRule="auto"/>
            </w:pPr>
            <w:r>
              <w:rPr>
                <w:sz w:val="21"/>
              </w:rPr>
              <w:t>Independent findings resolved; evidence, calculations, limitations and escalation behavior accepted.</w:t>
            </w:r>
          </w:p>
        </w:tc>
      </w:tr>
      <w:tr>
        <w:trPr>
          <w:cantSplit/>
        </w:trPr>
        <w:tc>
          <w:tcPr>
            <w:tcW w:type="dxa" w:w="2304"/>
            <w:vAlign w:val="center"/>
            <w:tcMar>
              <w:top w:w="80" w:type="dxa"/>
              <w:left w:w="100" w:type="dxa"/>
              <w:bottom w:w="80" w:type="dxa"/>
              <w:right w:w="100" w:type="dxa"/>
            </w:tcMar>
            <w:shd w:fill="F2F4F5"/>
          </w:tcPr>
          <w:p>
            <w:pPr>
              <w:spacing w:after="0" w:line="245" w:lineRule="auto"/>
            </w:pPr>
            <w:r>
              <w:rPr>
                <w:sz w:val="21"/>
              </w:rPr>
              <w:t>7 Authorize product release</w:t>
            </w:r>
          </w:p>
        </w:tc>
        <w:tc>
          <w:tcPr>
            <w:tcW w:type="dxa" w:w="2592"/>
            <w:vAlign w:val="center"/>
            <w:tcMar>
              <w:top w:w="80" w:type="dxa"/>
              <w:left w:w="100" w:type="dxa"/>
              <w:bottom w:w="80" w:type="dxa"/>
              <w:right w:w="100" w:type="dxa"/>
            </w:tcMar>
            <w:shd w:fill="F2F4F5"/>
          </w:tcPr>
          <w:p>
            <w:pPr>
              <w:spacing w:after="0" w:line="245" w:lineRule="auto"/>
            </w:pPr>
            <w:r>
              <w:rPr>
                <w:sz w:val="21"/>
              </w:rPr>
              <w:t>Head of Product &amp; AI</w:t>
            </w:r>
          </w:p>
        </w:tc>
        <w:tc>
          <w:tcPr>
            <w:tcW w:type="dxa" w:w="5472"/>
            <w:vAlign w:val="center"/>
            <w:tcMar>
              <w:top w:w="80" w:type="dxa"/>
              <w:left w:w="100" w:type="dxa"/>
              <w:bottom w:w="80" w:type="dxa"/>
              <w:right w:w="100" w:type="dxa"/>
            </w:tcMar>
            <w:shd w:fill="F2F4F5"/>
          </w:tcPr>
          <w:p>
            <w:pPr>
              <w:spacing w:after="0" w:line="245" w:lineRule="auto"/>
            </w:pPr>
            <w:r>
              <w:rPr>
                <w:sz w:val="21"/>
              </w:rPr>
              <w:t>Technical and security acceptance recorded, deployment conditions met, monitoring and rollback ready.</w:t>
            </w:r>
          </w:p>
        </w:tc>
      </w:tr>
      <w:tr>
        <w:trPr>
          <w:cantSplit/>
        </w:trPr>
        <w:tc>
          <w:tcPr>
            <w:tcW w:type="dxa" w:w="2304"/>
            <w:vAlign w:val="center"/>
            <w:tcMar>
              <w:top w:w="80" w:type="dxa"/>
              <w:left w:w="100" w:type="dxa"/>
              <w:bottom w:w="80" w:type="dxa"/>
              <w:right w:w="100" w:type="dxa"/>
            </w:tcMar>
            <w:shd w:fill="FFFFFF"/>
          </w:tcPr>
          <w:p>
            <w:pPr>
              <w:spacing w:after="0" w:line="245" w:lineRule="auto"/>
            </w:pPr>
            <w:r>
              <w:rPr>
                <w:sz w:val="21"/>
              </w:rPr>
              <w:t>8 Deliver and obtain acceptance</w:t>
            </w:r>
          </w:p>
        </w:tc>
        <w:tc>
          <w:tcPr>
            <w:tcW w:type="dxa" w:w="2592"/>
            <w:vAlign w:val="center"/>
            <w:tcMar>
              <w:top w:w="80" w:type="dxa"/>
              <w:left w:w="100" w:type="dxa"/>
              <w:bottom w:w="80" w:type="dxa"/>
              <w:right w:w="100" w:type="dxa"/>
            </w:tcMar>
            <w:shd w:fill="FFFFFF"/>
          </w:tcPr>
          <w:p>
            <w:pPr>
              <w:spacing w:after="0" w:line="245" w:lineRule="auto"/>
            </w:pPr>
            <w:r>
              <w:rPr>
                <w:sz w:val="21"/>
              </w:rPr>
              <w:t>Delivery owner</w:t>
            </w:r>
          </w:p>
        </w:tc>
        <w:tc>
          <w:tcPr>
            <w:tcW w:type="dxa" w:w="5472"/>
            <w:vAlign w:val="center"/>
            <w:tcMar>
              <w:top w:w="80" w:type="dxa"/>
              <w:left w:w="100" w:type="dxa"/>
              <w:bottom w:w="80" w:type="dxa"/>
              <w:right w:w="100" w:type="dxa"/>
            </w:tcMar>
            <w:shd w:fill="FFFFFF"/>
          </w:tcPr>
          <w:p>
            <w:pPr>
              <w:spacing w:after="0" w:line="245" w:lineRule="auto"/>
            </w:pPr>
            <w:r>
              <w:rPr>
                <w:sz w:val="21"/>
              </w:rPr>
              <w:t>Customer sign-off or documented exceptions, training, support handover and actual effort recorded.</w:t>
            </w:r>
          </w:p>
        </w:tc>
      </w:tr>
      <w:tr>
        <w:trPr>
          <w:cantSplit/>
        </w:trPr>
        <w:tc>
          <w:tcPr>
            <w:tcW w:type="dxa" w:w="2304"/>
            <w:vAlign w:val="center"/>
            <w:tcMar>
              <w:top w:w="80" w:type="dxa"/>
              <w:left w:w="100" w:type="dxa"/>
              <w:bottom w:w="80" w:type="dxa"/>
              <w:right w:w="100" w:type="dxa"/>
            </w:tcMar>
            <w:shd w:fill="F2F4F5"/>
          </w:tcPr>
          <w:p>
            <w:pPr>
              <w:spacing w:after="0" w:line="245" w:lineRule="auto"/>
            </w:pPr>
            <w:r>
              <w:rPr>
                <w:sz w:val="21"/>
              </w:rPr>
              <w:t>9 Renew or extend</w:t>
            </w:r>
          </w:p>
        </w:tc>
        <w:tc>
          <w:tcPr>
            <w:tcW w:type="dxa" w:w="2592"/>
            <w:vAlign w:val="center"/>
            <w:tcMar>
              <w:top w:w="80" w:type="dxa"/>
              <w:left w:w="100" w:type="dxa"/>
              <w:bottom w:w="80" w:type="dxa"/>
              <w:right w:w="100" w:type="dxa"/>
            </w:tcMar>
            <w:shd w:fill="F2F4F5"/>
          </w:tcPr>
          <w:p>
            <w:pPr>
              <w:spacing w:after="0" w:line="245" w:lineRule="auto"/>
            </w:pPr>
            <w:r>
              <w:rPr>
                <w:sz w:val="21"/>
              </w:rPr>
              <w:t>Managing Director</w:t>
            </w:r>
          </w:p>
        </w:tc>
        <w:tc>
          <w:tcPr>
            <w:tcW w:type="dxa" w:w="5472"/>
            <w:vAlign w:val="center"/>
            <w:tcMar>
              <w:top w:w="80" w:type="dxa"/>
              <w:left w:w="100" w:type="dxa"/>
              <w:bottom w:w="80" w:type="dxa"/>
              <w:right w:w="100" w:type="dxa"/>
            </w:tcMar>
            <w:shd w:fill="F2F4F5"/>
          </w:tcPr>
          <w:p>
            <w:pPr>
              <w:spacing w:after="0" w:line="245" w:lineRule="auto"/>
            </w:pPr>
            <w:r>
              <w:rPr>
                <w:sz w:val="21"/>
              </w:rPr>
              <w:t>Commercial Director recommends terms using adoption, value, cost and fit. Changed scope returns to technical acceptance.</w:t>
            </w:r>
          </w:p>
        </w:tc>
      </w:tr>
    </w:tbl>
    <w:p>
      <w:pPr>
        <w:spacing w:after="20" w:line="40" w:lineRule="exact"/>
      </w:pPr>
      <w:r>
        <w:rPr>
          <w:sz w:val="4"/>
        </w:rPr>
      </w:r>
    </w:p>
    <w:p>
      <w:pPr>
        <w:pStyle w:val="Heading2"/>
      </w:pPr>
      <w:r>
        <w:t>Evidence required for technical acceptance</w:t>
      </w:r>
    </w:p>
    <w:p>
      <w:r>
        <w:t>Start with retrieval of cleared sources, engineering tools and expert review. Train or fine-tune models only when comparative evaluation demonstrates a need. Keep evaluation incidents separate from development material. Record provenance, units, assumptions, boundary conditions and when the system must abstain or escalate.</w:t>
      </w:r>
    </w:p>
    <w:p>
      <w:r>
        <w:t>Independent reviewers must be competent in the domain and independent of the material being certified. If the Technical Director authored the work, assign a separate reviewer; the Technical Director remains accountable for resolving findings and accepting the deliverable. No author may self-certify an independent review.</w:t>
      </w:r>
    </w:p>
    <w:p>
      <w:r>
        <w:t>Customers retain responsibility for plant operating decisions and their authorization procedures. Outputs identify intended use and limits. Any service requiring professional authorization is scoped with parent legal support before sale. Critical technical findings trigger suspension by the Technical Director, correction, review and reacceptance.</w:t>
      </w:r>
    </w:p>
    <w:p>
      <w:r>
        <w:br w:type="page"/>
      </w:r>
    </w:p>
    <w:p>
      <w:pPr>
        <w:pStyle w:val="Heading1"/>
      </w:pPr>
      <w:r>
        <w:t>6 Shared services and operating economics</w:t>
      </w:r>
    </w:p>
    <w:p>
      <w:r>
        <w:t>Broadbridge4096 supplies shared services through a written arrangement with named owners, service levels, cost allocation, access boundaries and escalation routes. The Managing Director is accountable for the service agreement and operating budget. Customer delivery and product priorities remain with the subsidiary.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888"/>
        <w:gridCol w:w="4752"/>
      </w:tblGrid>
      <w:tr>
        <w:trPr>
          <w:cantSplit/>
          <w:tblHeader/>
        </w:trPr>
        <w:tc>
          <w:tcPr>
            <w:tcW w:type="dxa" w:w="1728"/>
            <w:vAlign w:val="center"/>
            <w:tcMar>
              <w:top w:w="80" w:type="dxa"/>
              <w:left w:w="100" w:type="dxa"/>
              <w:bottom w:w="80" w:type="dxa"/>
              <w:right w:w="100" w:type="dxa"/>
            </w:tcMar>
            <w:shd w:fill="18364D"/>
          </w:tcPr>
          <w:p>
            <w:pPr>
              <w:spacing w:after="0" w:line="245" w:lineRule="auto"/>
            </w:pPr>
            <w:r>
              <w:rPr>
                <w:b/>
                <w:color w:val="FFFFFF"/>
                <w:sz w:val="21"/>
              </w:rPr>
              <w:t>Parent service</w:t>
            </w:r>
          </w:p>
        </w:tc>
        <w:tc>
          <w:tcPr>
            <w:tcW w:type="dxa" w:w="3888"/>
            <w:vAlign w:val="center"/>
            <w:tcMar>
              <w:top w:w="80" w:type="dxa"/>
              <w:left w:w="100" w:type="dxa"/>
              <w:bottom w:w="80" w:type="dxa"/>
              <w:right w:w="100" w:type="dxa"/>
            </w:tcMar>
            <w:shd w:fill="18364D"/>
          </w:tcPr>
          <w:p>
            <w:pPr>
              <w:spacing w:after="0" w:line="245" w:lineRule="auto"/>
            </w:pPr>
            <w:r>
              <w:rPr>
                <w:b/>
                <w:color w:val="FFFFFF"/>
                <w:sz w:val="21"/>
              </w:rPr>
              <w:t>Service responsibility</w:t>
            </w:r>
          </w:p>
        </w:tc>
        <w:tc>
          <w:tcPr>
            <w:tcW w:type="dxa" w:w="4752"/>
            <w:vAlign w:val="center"/>
            <w:tcMar>
              <w:top w:w="80" w:type="dxa"/>
              <w:left w:w="100" w:type="dxa"/>
              <w:bottom w:w="80" w:type="dxa"/>
              <w:right w:w="100" w:type="dxa"/>
            </w:tcMar>
            <w:shd w:fill="18364D"/>
          </w:tcPr>
          <w:p>
            <w:pPr>
              <w:spacing w:after="0" w:line="245" w:lineRule="auto"/>
            </w:pPr>
            <w:r>
              <w:rPr>
                <w:b/>
                <w:color w:val="FFFFFF"/>
                <w:sz w:val="21"/>
              </w:rPr>
              <w:t>Subsidiary interface</w:t>
            </w:r>
          </w:p>
        </w:tc>
      </w:tr>
      <w:tr>
        <w:trPr>
          <w:cantSplit/>
        </w:trPr>
        <w:tc>
          <w:tcPr>
            <w:tcW w:type="dxa" w:w="1728"/>
            <w:vAlign w:val="center"/>
            <w:tcMar>
              <w:top w:w="80" w:type="dxa"/>
              <w:left w:w="100" w:type="dxa"/>
              <w:bottom w:w="80" w:type="dxa"/>
              <w:right w:w="100" w:type="dxa"/>
            </w:tcMar>
            <w:shd w:fill="F2F4F5"/>
          </w:tcPr>
          <w:p>
            <w:pPr>
              <w:spacing w:after="0" w:line="245" w:lineRule="auto"/>
            </w:pPr>
            <w:r>
              <w:rPr>
                <w:sz w:val="21"/>
              </w:rPr>
              <w:t>Finance</w:t>
            </w:r>
          </w:p>
        </w:tc>
        <w:tc>
          <w:tcPr>
            <w:tcW w:type="dxa" w:w="3888"/>
            <w:vAlign w:val="center"/>
            <w:tcMar>
              <w:top w:w="80" w:type="dxa"/>
              <w:left w:w="100" w:type="dxa"/>
              <w:bottom w:w="80" w:type="dxa"/>
              <w:right w:w="100" w:type="dxa"/>
            </w:tcMar>
            <w:shd w:fill="F2F4F5"/>
          </w:tcPr>
          <w:p>
            <w:pPr>
              <w:spacing w:after="0" w:line="245" w:lineRule="auto"/>
            </w:pPr>
            <w:r>
              <w:rPr>
                <w:sz w:val="21"/>
              </w:rPr>
              <w:t>Accounting, reporting, billing support and financial controls.</w:t>
            </w:r>
          </w:p>
        </w:tc>
        <w:tc>
          <w:tcPr>
            <w:tcW w:type="dxa" w:w="4752"/>
            <w:vAlign w:val="center"/>
            <w:tcMar>
              <w:top w:w="80" w:type="dxa"/>
              <w:left w:w="100" w:type="dxa"/>
              <w:bottom w:w="80" w:type="dxa"/>
              <w:right w:w="100" w:type="dxa"/>
            </w:tcMar>
            <w:shd w:fill="F2F4F5"/>
          </w:tcPr>
          <w:p>
            <w:pPr>
              <w:spacing w:after="0" w:line="245" w:lineRule="auto"/>
            </w:pPr>
            <w:r>
              <w:rPr>
                <w:sz w:val="21"/>
              </w:rPr>
              <w:t>Managing Director owns P&amp;L; Commercial Director supplies accepted commercial terms.</w:t>
            </w:r>
          </w:p>
        </w:tc>
      </w:tr>
      <w:tr>
        <w:trPr>
          <w:cantSplit/>
        </w:trPr>
        <w:tc>
          <w:tcPr>
            <w:tcW w:type="dxa" w:w="1728"/>
            <w:vAlign w:val="center"/>
            <w:tcMar>
              <w:top w:w="80" w:type="dxa"/>
              <w:left w:w="100" w:type="dxa"/>
              <w:bottom w:w="80" w:type="dxa"/>
              <w:right w:w="100" w:type="dxa"/>
            </w:tcMar>
            <w:shd w:fill="FFFFFF"/>
          </w:tcPr>
          <w:p>
            <w:pPr>
              <w:spacing w:after="0" w:line="245" w:lineRule="auto"/>
            </w:pPr>
            <w:r>
              <w:rPr>
                <w:sz w:val="21"/>
              </w:rPr>
              <w:t>Treasury</w:t>
            </w:r>
          </w:p>
        </w:tc>
        <w:tc>
          <w:tcPr>
            <w:tcW w:type="dxa" w:w="3888"/>
            <w:vAlign w:val="center"/>
            <w:tcMar>
              <w:top w:w="80" w:type="dxa"/>
              <w:left w:w="100" w:type="dxa"/>
              <w:bottom w:w="80" w:type="dxa"/>
              <w:right w:w="100" w:type="dxa"/>
            </w:tcMar>
            <w:shd w:fill="FFFFFF"/>
          </w:tcPr>
          <w:p>
            <w:pPr>
              <w:spacing w:after="0" w:line="245" w:lineRule="auto"/>
            </w:pPr>
            <w:r>
              <w:rPr>
                <w:sz w:val="21"/>
              </w:rPr>
              <w:t>Cash planning, approved funding and banking support.</w:t>
            </w:r>
          </w:p>
        </w:tc>
        <w:tc>
          <w:tcPr>
            <w:tcW w:type="dxa" w:w="4752"/>
            <w:vAlign w:val="center"/>
            <w:tcMar>
              <w:top w:w="80" w:type="dxa"/>
              <w:left w:w="100" w:type="dxa"/>
              <w:bottom w:w="80" w:type="dxa"/>
              <w:right w:w="100" w:type="dxa"/>
            </w:tcMar>
            <w:shd w:fill="FFFFFF"/>
          </w:tcPr>
          <w:p>
            <w:pPr>
              <w:spacing w:after="0" w:line="245" w:lineRule="auto"/>
            </w:pPr>
            <w:r>
              <w:rPr>
                <w:sz w:val="21"/>
              </w:rPr>
              <w:t>Managing Director forecasts cash and requests funding through the parent capital process.</w:t>
            </w:r>
          </w:p>
        </w:tc>
      </w:tr>
      <w:tr>
        <w:trPr>
          <w:cantSplit/>
        </w:trPr>
        <w:tc>
          <w:tcPr>
            <w:tcW w:type="dxa" w:w="1728"/>
            <w:vAlign w:val="center"/>
            <w:tcMar>
              <w:top w:w="80" w:type="dxa"/>
              <w:left w:w="100" w:type="dxa"/>
              <w:bottom w:w="80" w:type="dxa"/>
              <w:right w:w="100" w:type="dxa"/>
            </w:tcMar>
            <w:shd w:fill="F2F4F5"/>
          </w:tcPr>
          <w:p>
            <w:pPr>
              <w:spacing w:after="0" w:line="245" w:lineRule="auto"/>
            </w:pPr>
            <w:r>
              <w:rPr>
                <w:sz w:val="21"/>
              </w:rPr>
              <w:t>Legal</w:t>
            </w:r>
          </w:p>
        </w:tc>
        <w:tc>
          <w:tcPr>
            <w:tcW w:type="dxa" w:w="3888"/>
            <w:vAlign w:val="center"/>
            <w:tcMar>
              <w:top w:w="80" w:type="dxa"/>
              <w:left w:w="100" w:type="dxa"/>
              <w:bottom w:w="80" w:type="dxa"/>
              <w:right w:w="100" w:type="dxa"/>
            </w:tcMar>
            <w:shd w:fill="F2F4F5"/>
          </w:tcPr>
          <w:p>
            <w:pPr>
              <w:spacing w:after="0" w:line="245" w:lineRule="auto"/>
            </w:pPr>
            <w:r>
              <w:rPr>
                <w:sz w:val="21"/>
              </w:rPr>
              <w:t>Contracts, IP, professional-service requirements and legal implementation.</w:t>
            </w:r>
          </w:p>
        </w:tc>
        <w:tc>
          <w:tcPr>
            <w:tcW w:type="dxa" w:w="4752"/>
            <w:vAlign w:val="center"/>
            <w:tcMar>
              <w:top w:w="80" w:type="dxa"/>
              <w:left w:w="100" w:type="dxa"/>
              <w:bottom w:w="80" w:type="dxa"/>
              <w:right w:w="100" w:type="dxa"/>
            </w:tcMar>
            <w:shd w:fill="F2F4F5"/>
          </w:tcPr>
          <w:p>
            <w:pPr>
              <w:spacing w:after="0" w:line="245" w:lineRule="auto"/>
            </w:pPr>
            <w:r>
              <w:rPr>
                <w:sz w:val="21"/>
              </w:rPr>
              <w:t>Managing Director owns contract decisions; Technical Director defines service scope.</w:t>
            </w:r>
          </w:p>
        </w:tc>
      </w:tr>
      <w:tr>
        <w:trPr>
          <w:cantSplit/>
        </w:trPr>
        <w:tc>
          <w:tcPr>
            <w:tcW w:type="dxa" w:w="1728"/>
            <w:vAlign w:val="center"/>
            <w:tcMar>
              <w:top w:w="80" w:type="dxa"/>
              <w:left w:w="100" w:type="dxa"/>
              <w:bottom w:w="80" w:type="dxa"/>
              <w:right w:w="100" w:type="dxa"/>
            </w:tcMar>
            <w:shd w:fill="FFFFFF"/>
          </w:tcPr>
          <w:p>
            <w:pPr>
              <w:spacing w:after="0" w:line="245" w:lineRule="auto"/>
            </w:pPr>
            <w:r>
              <w:rPr>
                <w:sz w:val="21"/>
              </w:rPr>
              <w:t>HR</w:t>
            </w:r>
          </w:p>
        </w:tc>
        <w:tc>
          <w:tcPr>
            <w:tcW w:type="dxa" w:w="3888"/>
            <w:vAlign w:val="center"/>
            <w:tcMar>
              <w:top w:w="80" w:type="dxa"/>
              <w:left w:w="100" w:type="dxa"/>
              <w:bottom w:w="80" w:type="dxa"/>
              <w:right w:w="100" w:type="dxa"/>
            </w:tcMar>
            <w:shd w:fill="FFFFFF"/>
          </w:tcPr>
          <w:p>
            <w:pPr>
              <w:spacing w:after="0" w:line="245" w:lineRule="auto"/>
            </w:pPr>
            <w:r>
              <w:rPr>
                <w:sz w:val="21"/>
              </w:rPr>
              <w:t>Recruitment, employment administration, compensation and policies.</w:t>
            </w:r>
          </w:p>
        </w:tc>
        <w:tc>
          <w:tcPr>
            <w:tcW w:type="dxa" w:w="4752"/>
            <w:vAlign w:val="center"/>
            <w:tcMar>
              <w:top w:w="80" w:type="dxa"/>
              <w:left w:w="100" w:type="dxa"/>
              <w:bottom w:w="80" w:type="dxa"/>
              <w:right w:w="100" w:type="dxa"/>
            </w:tcMar>
            <w:shd w:fill="FFFFFF"/>
          </w:tcPr>
          <w:p>
            <w:pPr>
              <w:spacing w:after="0" w:line="245" w:lineRule="auto"/>
            </w:pPr>
            <w:r>
              <w:rPr>
                <w:sz w:val="21"/>
              </w:rPr>
              <w:t>Managing Director owns workforce planning; parent approves reserved senior appointments.</w:t>
            </w:r>
          </w:p>
        </w:tc>
      </w:tr>
      <w:tr>
        <w:trPr>
          <w:cantSplit/>
        </w:trPr>
        <w:tc>
          <w:tcPr>
            <w:tcW w:type="dxa" w:w="1728"/>
            <w:vAlign w:val="center"/>
            <w:tcMar>
              <w:top w:w="80" w:type="dxa"/>
              <w:left w:w="100" w:type="dxa"/>
              <w:bottom w:w="80" w:type="dxa"/>
              <w:right w:w="100" w:type="dxa"/>
            </w:tcMar>
            <w:shd w:fill="F2F4F5"/>
          </w:tcPr>
          <w:p>
            <w:pPr>
              <w:spacing w:after="0" w:line="245" w:lineRule="auto"/>
            </w:pPr>
            <w:r>
              <w:rPr>
                <w:sz w:val="21"/>
              </w:rPr>
              <w:t>IT security</w:t>
            </w:r>
          </w:p>
        </w:tc>
        <w:tc>
          <w:tcPr>
            <w:tcW w:type="dxa" w:w="3888"/>
            <w:vAlign w:val="center"/>
            <w:tcMar>
              <w:top w:w="80" w:type="dxa"/>
              <w:left w:w="100" w:type="dxa"/>
              <w:bottom w:w="80" w:type="dxa"/>
              <w:right w:w="100" w:type="dxa"/>
            </w:tcMar>
            <w:shd w:fill="F2F4F5"/>
          </w:tcPr>
          <w:p>
            <w:pPr>
              <w:spacing w:after="0" w:line="245" w:lineRule="auto"/>
            </w:pPr>
            <w:r>
              <w:rPr>
                <w:sz w:val="21"/>
              </w:rPr>
              <w:t>Identity, security review, monitoring standards and incident response support.</w:t>
            </w:r>
          </w:p>
        </w:tc>
        <w:tc>
          <w:tcPr>
            <w:tcW w:type="dxa" w:w="4752"/>
            <w:vAlign w:val="center"/>
            <w:tcMar>
              <w:top w:w="80" w:type="dxa"/>
              <w:left w:w="100" w:type="dxa"/>
              <w:bottom w:w="80" w:type="dxa"/>
              <w:right w:w="100" w:type="dxa"/>
            </w:tcMar>
            <w:shd w:fill="F2F4F5"/>
          </w:tcPr>
          <w:p>
            <w:pPr>
              <w:spacing w:after="0" w:line="245" w:lineRule="auto"/>
            </w:pPr>
            <w:r>
              <w:rPr>
                <w:sz w:val="21"/>
              </w:rPr>
              <w:t>Product leadership implements controls; designated security lead accepts them.</w:t>
            </w:r>
          </w:p>
        </w:tc>
      </w:tr>
      <w:tr>
        <w:trPr>
          <w:cantSplit/>
        </w:trPr>
        <w:tc>
          <w:tcPr>
            <w:tcW w:type="dxa" w:w="1728"/>
            <w:vAlign w:val="center"/>
            <w:tcMar>
              <w:top w:w="80" w:type="dxa"/>
              <w:left w:w="100" w:type="dxa"/>
              <w:bottom w:w="80" w:type="dxa"/>
              <w:right w:w="100" w:type="dxa"/>
            </w:tcMar>
            <w:shd w:fill="FFFFFF"/>
          </w:tcPr>
          <w:p>
            <w:pPr>
              <w:spacing w:after="0" w:line="245" w:lineRule="auto"/>
            </w:pPr>
            <w:r>
              <w:rPr>
                <w:sz w:val="21"/>
              </w:rPr>
              <w:t>Corporate administration</w:t>
            </w:r>
          </w:p>
        </w:tc>
        <w:tc>
          <w:tcPr>
            <w:tcW w:type="dxa" w:w="3888"/>
            <w:vAlign w:val="center"/>
            <w:tcMar>
              <w:top w:w="80" w:type="dxa"/>
              <w:left w:w="100" w:type="dxa"/>
              <w:bottom w:w="80" w:type="dxa"/>
              <w:right w:w="100" w:type="dxa"/>
            </w:tcMar>
            <w:shd w:fill="FFFFFF"/>
          </w:tcPr>
          <w:p>
            <w:pPr>
              <w:spacing w:after="0" w:line="245" w:lineRule="auto"/>
            </w:pPr>
            <w:r>
              <w:rPr>
                <w:sz w:val="21"/>
              </w:rPr>
              <w:t>Board records, statutory administration and entity records after formation.</w:t>
            </w:r>
          </w:p>
        </w:tc>
        <w:tc>
          <w:tcPr>
            <w:tcW w:type="dxa" w:w="4752"/>
            <w:vAlign w:val="center"/>
            <w:tcMar>
              <w:top w:w="80" w:type="dxa"/>
              <w:left w:w="100" w:type="dxa"/>
              <w:bottom w:w="80" w:type="dxa"/>
              <w:right w:w="100" w:type="dxa"/>
            </w:tcMar>
            <w:shd w:fill="FFFFFF"/>
          </w:tcPr>
          <w:p>
            <w:pPr>
              <w:spacing w:after="0" w:line="245" w:lineRule="auto"/>
            </w:pPr>
            <w:r>
              <w:rPr>
                <w:sz w:val="21"/>
              </w:rPr>
              <w:t>Managing Director supplies decisions and records; board owns oversight.</w:t>
            </w:r>
          </w:p>
        </w:tc>
      </w:tr>
    </w:tbl>
    <w:p>
      <w:pPr>
        <w:spacing w:after="20" w:line="40" w:lineRule="exact"/>
      </w:pPr>
      <w:r>
        <w:rPr>
          <w:sz w:val="4"/>
        </w:rPr>
      </w:r>
    </w:p>
    <w:p>
      <w:pPr>
        <w:pStyle w:val="Heading2"/>
      </w:pPr>
      <w:r>
        <w:t>Revenue and cost responsibility</w:t>
      </w:r>
    </w:p>
    <w:p>
      <w:r>
        <w:t>Maintain separate revenue and delivery cost records for advisory, subscriptions, training and licensing. Track expert hours, royalties, cloud usage, implementation and parent service charges. Allocate shared costs on an agreed basis so practice margins and subsidiary results remain interpretable.</w:t>
      </w:r>
    </w:p>
    <w:p>
      <w:r>
        <w:t>The Commercial Director recommends pricing; the Managing Director approves commitments within delegation. Product leadership estimates implementation and support; the Technical Director estimates expert and review capacity. Renewal pricing must reflect actual service consumption.</w:t>
      </w:r>
    </w:p>
    <w:p>
      <w:pPr>
        <w:pStyle w:val="Heading2"/>
      </w:pPr>
      <w:r>
        <w:t>Financial assumptions</w:t>
      </w:r>
    </w:p>
    <w:p>
      <w:r>
        <w:t>The staffing stages are capacity designs, not cost estimates or approved hiring budgets. Salaries, benefits, expert retainers, royalties, parent charges, software costs and working capital remain to be priced. No revenue, margin, salary or funding forecast is adopted by this document.</w:t>
      </w:r>
    </w:p>
    <w:p>
      <w:r>
        <w:t>The companion assessment contains illustrative pricing and unit economics. Its bounded validation expenditure hypothesis is not a fully costed budget for seven employees. Parent funding approval requires a cash plan with hiring dates, compensation assumptions and downside runway.</w:t>
      </w:r>
    </w:p>
    <w:p>
      <w:r>
        <w:br w:type="page"/>
      </w:r>
    </w:p>
    <w:p>
      <w:pPr>
        <w:pStyle w:val="Heading1"/>
      </w:pPr>
      <w:r>
        <w:t>7 Staffing stages and practice expansion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832"/>
        <w:gridCol w:w="1512"/>
        <w:gridCol w:w="1512"/>
        <w:gridCol w:w="1512"/>
      </w:tblGrid>
      <w:tr>
        <w:trPr>
          <w:cantSplit/>
          <w:tblHeader/>
        </w:trPr>
        <w:tc>
          <w:tcPr>
            <w:tcW w:type="dxa" w:w="5832"/>
            <w:vAlign w:val="center"/>
            <w:tcMar>
              <w:top w:w="80" w:type="dxa"/>
              <w:left w:w="100" w:type="dxa"/>
              <w:bottom w:w="80" w:type="dxa"/>
              <w:right w:w="100" w:type="dxa"/>
            </w:tcMar>
            <w:shd w:fill="18364D"/>
          </w:tcPr>
          <w:p>
            <w:pPr>
              <w:spacing w:after="0" w:line="245" w:lineRule="auto"/>
            </w:pPr>
            <w:r>
              <w:rPr>
                <w:b/>
                <w:color w:val="FFFFFF"/>
                <w:sz w:val="21"/>
              </w:rPr>
              <w:t>Function</w:t>
            </w:r>
          </w:p>
        </w:tc>
        <w:tc>
          <w:tcPr>
            <w:tcW w:type="dxa" w:w="1512"/>
            <w:vAlign w:val="center"/>
            <w:tcMar>
              <w:top w:w="80" w:type="dxa"/>
              <w:left w:w="100" w:type="dxa"/>
              <w:bottom w:w="80" w:type="dxa"/>
              <w:right w:w="100" w:type="dxa"/>
            </w:tcMar>
            <w:shd w:fill="18364D"/>
          </w:tcPr>
          <w:p>
            <w:pPr>
              <w:spacing w:after="0" w:line="245" w:lineRule="auto"/>
            </w:pPr>
            <w:r>
              <w:rPr>
                <w:b/>
                <w:color w:val="FFFFFF"/>
                <w:sz w:val="21"/>
              </w:rPr>
              <w:t>Launch</w:t>
            </w:r>
          </w:p>
        </w:tc>
        <w:tc>
          <w:tcPr>
            <w:tcW w:type="dxa" w:w="1512"/>
            <w:vAlign w:val="center"/>
            <w:tcMar>
              <w:top w:w="80" w:type="dxa"/>
              <w:left w:w="100" w:type="dxa"/>
              <w:bottom w:w="80" w:type="dxa"/>
              <w:right w:w="100" w:type="dxa"/>
            </w:tcMar>
            <w:shd w:fill="18364D"/>
          </w:tcPr>
          <w:p>
            <w:pPr>
              <w:spacing w:after="0" w:line="245" w:lineRule="auto"/>
            </w:pPr>
            <w:r>
              <w:rPr>
                <w:b/>
                <w:color w:val="FFFFFF"/>
                <w:sz w:val="21"/>
              </w:rPr>
              <w:t>Expansion</w:t>
            </w:r>
          </w:p>
        </w:tc>
        <w:tc>
          <w:tcPr>
            <w:tcW w:type="dxa" w:w="1512"/>
            <w:vAlign w:val="center"/>
            <w:tcMar>
              <w:top w:w="80" w:type="dxa"/>
              <w:left w:w="100" w:type="dxa"/>
              <w:bottom w:w="80" w:type="dxa"/>
              <w:right w:w="100" w:type="dxa"/>
            </w:tcMar>
            <w:shd w:fill="18364D"/>
          </w:tcPr>
          <w:p>
            <w:pPr>
              <w:spacing w:after="0" w:line="245" w:lineRule="auto"/>
            </w:pPr>
            <w:r>
              <w:rPr>
                <w:b/>
                <w:color w:val="FFFFFF"/>
                <w:sz w:val="21"/>
              </w:rPr>
              <w:t>Mature target</w:t>
            </w:r>
          </w:p>
        </w:tc>
      </w:tr>
      <w:tr>
        <w:trPr>
          <w:cantSplit/>
        </w:trPr>
        <w:tc>
          <w:tcPr>
            <w:tcW w:type="dxa" w:w="5832"/>
            <w:vAlign w:val="center"/>
            <w:tcMar>
              <w:top w:w="80" w:type="dxa"/>
              <w:left w:w="100" w:type="dxa"/>
              <w:bottom w:w="80" w:type="dxa"/>
              <w:right w:w="100" w:type="dxa"/>
            </w:tcMar>
            <w:shd w:fill="F2F4F5"/>
          </w:tcPr>
          <w:p>
            <w:pPr>
              <w:spacing w:after="0" w:line="245" w:lineRule="auto"/>
            </w:pPr>
            <w:r>
              <w:rPr>
                <w:sz w:val="21"/>
              </w:rPr>
              <w:t>Managing Director</w:t>
            </w:r>
          </w:p>
        </w:tc>
        <w:tc>
          <w:tcPr>
            <w:tcW w:type="dxa" w:w="1512"/>
            <w:vAlign w:val="center"/>
            <w:tcMar>
              <w:top w:w="80" w:type="dxa"/>
              <w:left w:w="100" w:type="dxa"/>
              <w:bottom w:w="80" w:type="dxa"/>
              <w:right w:w="100" w:type="dxa"/>
            </w:tcMar>
            <w:shd w:fill="F2F4F5"/>
          </w:tcPr>
          <w:p>
            <w:pPr>
              <w:spacing w:after="0" w:line="245" w:lineRule="auto"/>
              <w:jc w:val="center"/>
            </w:pPr>
            <w:r>
              <w:rPr>
                <w:sz w:val="21"/>
              </w:rPr>
              <w:t>1</w:t>
            </w:r>
          </w:p>
        </w:tc>
        <w:tc>
          <w:tcPr>
            <w:tcW w:type="dxa" w:w="1512"/>
            <w:vAlign w:val="center"/>
            <w:tcMar>
              <w:top w:w="80" w:type="dxa"/>
              <w:left w:w="100" w:type="dxa"/>
              <w:bottom w:w="80" w:type="dxa"/>
              <w:right w:w="100" w:type="dxa"/>
            </w:tcMar>
            <w:shd w:fill="F2F4F5"/>
          </w:tcPr>
          <w:p>
            <w:pPr>
              <w:spacing w:after="0" w:line="245" w:lineRule="auto"/>
              <w:jc w:val="center"/>
            </w:pPr>
            <w:r>
              <w:rPr>
                <w:sz w:val="21"/>
              </w:rPr>
              <w:t>1</w:t>
            </w:r>
          </w:p>
        </w:tc>
        <w:tc>
          <w:tcPr>
            <w:tcW w:type="dxa" w:w="1512"/>
            <w:vAlign w:val="center"/>
            <w:tcMar>
              <w:top w:w="80" w:type="dxa"/>
              <w:left w:w="100" w:type="dxa"/>
              <w:bottom w:w="80" w:type="dxa"/>
              <w:right w:w="100" w:type="dxa"/>
            </w:tcMar>
            <w:shd w:fill="F2F4F5"/>
          </w:tcPr>
          <w:p>
            <w:pPr>
              <w:spacing w:after="0" w:line="245" w:lineRule="auto"/>
              <w:jc w:val="center"/>
            </w:pPr>
            <w:r>
              <w:rPr>
                <w:sz w:val="21"/>
              </w:rPr>
              <w:t>1</w:t>
            </w:r>
          </w:p>
        </w:tc>
      </w:tr>
      <w:tr>
        <w:trPr>
          <w:cantSplit/>
        </w:trPr>
        <w:tc>
          <w:tcPr>
            <w:tcW w:type="dxa" w:w="5832"/>
            <w:vAlign w:val="center"/>
            <w:tcMar>
              <w:top w:w="80" w:type="dxa"/>
              <w:left w:w="100" w:type="dxa"/>
              <w:bottom w:w="80" w:type="dxa"/>
              <w:right w:w="100" w:type="dxa"/>
            </w:tcMar>
            <w:shd w:fill="FFFFFF"/>
          </w:tcPr>
          <w:p>
            <w:pPr>
              <w:spacing w:after="0" w:line="245" w:lineRule="auto"/>
            </w:pPr>
            <w:r>
              <w:rPr>
                <w:sz w:val="21"/>
              </w:rPr>
              <w:t>Commercial</w:t>
            </w:r>
          </w:p>
        </w:tc>
        <w:tc>
          <w:tcPr>
            <w:tcW w:type="dxa" w:w="1512"/>
            <w:vAlign w:val="center"/>
            <w:tcMar>
              <w:top w:w="80" w:type="dxa"/>
              <w:left w:w="100" w:type="dxa"/>
              <w:bottom w:w="80" w:type="dxa"/>
              <w:right w:w="100" w:type="dxa"/>
            </w:tcMar>
            <w:shd w:fill="FFFFFF"/>
          </w:tcPr>
          <w:p>
            <w:pPr>
              <w:spacing w:after="0" w:line="245" w:lineRule="auto"/>
              <w:jc w:val="center"/>
            </w:pPr>
            <w:r>
              <w:rPr>
                <w:sz w:val="21"/>
              </w:rPr>
              <w:t>1</w:t>
            </w:r>
          </w:p>
        </w:tc>
        <w:tc>
          <w:tcPr>
            <w:tcW w:type="dxa" w:w="1512"/>
            <w:vAlign w:val="center"/>
            <w:tcMar>
              <w:top w:w="80" w:type="dxa"/>
              <w:left w:w="100" w:type="dxa"/>
              <w:bottom w:w="80" w:type="dxa"/>
              <w:right w:w="100" w:type="dxa"/>
            </w:tcMar>
            <w:shd w:fill="FFFFFF"/>
          </w:tcPr>
          <w:p>
            <w:pPr>
              <w:spacing w:after="0" w:line="245" w:lineRule="auto"/>
              <w:jc w:val="center"/>
            </w:pPr>
            <w:r>
              <w:rPr>
                <w:sz w:val="21"/>
              </w:rPr>
              <w:t>2</w:t>
            </w:r>
          </w:p>
        </w:tc>
        <w:tc>
          <w:tcPr>
            <w:tcW w:type="dxa" w:w="1512"/>
            <w:vAlign w:val="center"/>
            <w:tcMar>
              <w:top w:w="80" w:type="dxa"/>
              <w:left w:w="100" w:type="dxa"/>
              <w:bottom w:w="80" w:type="dxa"/>
              <w:right w:w="100" w:type="dxa"/>
            </w:tcMar>
            <w:shd w:fill="FFFFFF"/>
          </w:tcPr>
          <w:p>
            <w:pPr>
              <w:spacing w:after="0" w:line="245" w:lineRule="auto"/>
              <w:jc w:val="center"/>
            </w:pPr>
            <w:r>
              <w:rPr>
                <w:sz w:val="21"/>
              </w:rPr>
              <w:t>3</w:t>
            </w:r>
          </w:p>
        </w:tc>
      </w:tr>
      <w:tr>
        <w:trPr>
          <w:cantSplit/>
        </w:trPr>
        <w:tc>
          <w:tcPr>
            <w:tcW w:type="dxa" w:w="5832"/>
            <w:vAlign w:val="center"/>
            <w:tcMar>
              <w:top w:w="80" w:type="dxa"/>
              <w:left w:w="100" w:type="dxa"/>
              <w:bottom w:w="80" w:type="dxa"/>
              <w:right w:w="100" w:type="dxa"/>
            </w:tcMar>
            <w:shd w:fill="F2F4F5"/>
          </w:tcPr>
          <w:p>
            <w:pPr>
              <w:spacing w:after="0" w:line="245" w:lineRule="auto"/>
            </w:pPr>
            <w:r>
              <w:rPr>
                <w:sz w:val="21"/>
              </w:rPr>
              <w:t>Technical practices</w:t>
            </w:r>
          </w:p>
        </w:tc>
        <w:tc>
          <w:tcPr>
            <w:tcW w:type="dxa" w:w="1512"/>
            <w:vAlign w:val="center"/>
            <w:tcMar>
              <w:top w:w="80" w:type="dxa"/>
              <w:left w:w="100" w:type="dxa"/>
              <w:bottom w:w="80" w:type="dxa"/>
              <w:right w:w="100" w:type="dxa"/>
            </w:tcMar>
            <w:shd w:fill="F2F4F5"/>
          </w:tcPr>
          <w:p>
            <w:pPr>
              <w:spacing w:after="0" w:line="245" w:lineRule="auto"/>
              <w:jc w:val="center"/>
            </w:pPr>
            <w:r>
              <w:rPr>
                <w:sz w:val="21"/>
              </w:rPr>
              <w:t>2</w:t>
            </w:r>
          </w:p>
        </w:tc>
        <w:tc>
          <w:tcPr>
            <w:tcW w:type="dxa" w:w="1512"/>
            <w:vAlign w:val="center"/>
            <w:tcMar>
              <w:top w:w="80" w:type="dxa"/>
              <w:left w:w="100" w:type="dxa"/>
              <w:bottom w:w="80" w:type="dxa"/>
              <w:right w:w="100" w:type="dxa"/>
            </w:tcMar>
            <w:shd w:fill="F2F4F5"/>
          </w:tcPr>
          <w:p>
            <w:pPr>
              <w:spacing w:after="0" w:line="245" w:lineRule="auto"/>
              <w:jc w:val="center"/>
            </w:pPr>
            <w:r>
              <w:rPr>
                <w:sz w:val="21"/>
              </w:rPr>
              <w:t>4</w:t>
            </w:r>
          </w:p>
        </w:tc>
        <w:tc>
          <w:tcPr>
            <w:tcW w:type="dxa" w:w="1512"/>
            <w:vAlign w:val="center"/>
            <w:tcMar>
              <w:top w:w="80" w:type="dxa"/>
              <w:left w:w="100" w:type="dxa"/>
              <w:bottom w:w="80" w:type="dxa"/>
              <w:right w:w="100" w:type="dxa"/>
            </w:tcMar>
            <w:shd w:fill="F2F4F5"/>
          </w:tcPr>
          <w:p>
            <w:pPr>
              <w:spacing w:after="0" w:line="245" w:lineRule="auto"/>
              <w:jc w:val="center"/>
            </w:pPr>
            <w:r>
              <w:rPr>
                <w:sz w:val="21"/>
              </w:rPr>
              <w:t>7</w:t>
            </w:r>
          </w:p>
        </w:tc>
      </w:tr>
      <w:tr>
        <w:trPr>
          <w:cantSplit/>
        </w:trPr>
        <w:tc>
          <w:tcPr>
            <w:tcW w:type="dxa" w:w="5832"/>
            <w:vAlign w:val="center"/>
            <w:tcMar>
              <w:top w:w="80" w:type="dxa"/>
              <w:left w:w="100" w:type="dxa"/>
              <w:bottom w:w="80" w:type="dxa"/>
              <w:right w:w="100" w:type="dxa"/>
            </w:tcMar>
            <w:shd w:fill="FFFFFF"/>
          </w:tcPr>
          <w:p>
            <w:pPr>
              <w:spacing w:after="0" w:line="245" w:lineRule="auto"/>
            </w:pPr>
            <w:r>
              <w:rPr>
                <w:sz w:val="21"/>
              </w:rPr>
              <w:t>Product, AI, and knowledge engineering</w:t>
            </w:r>
          </w:p>
        </w:tc>
        <w:tc>
          <w:tcPr>
            <w:tcW w:type="dxa" w:w="1512"/>
            <w:vAlign w:val="center"/>
            <w:tcMar>
              <w:top w:w="80" w:type="dxa"/>
              <w:left w:w="100" w:type="dxa"/>
              <w:bottom w:w="80" w:type="dxa"/>
              <w:right w:w="100" w:type="dxa"/>
            </w:tcMar>
            <w:shd w:fill="FFFFFF"/>
          </w:tcPr>
          <w:p>
            <w:pPr>
              <w:spacing w:after="0" w:line="245" w:lineRule="auto"/>
              <w:jc w:val="center"/>
            </w:pPr>
            <w:r>
              <w:rPr>
                <w:sz w:val="21"/>
              </w:rPr>
              <w:t>3</w:t>
            </w:r>
          </w:p>
        </w:tc>
        <w:tc>
          <w:tcPr>
            <w:tcW w:type="dxa" w:w="1512"/>
            <w:vAlign w:val="center"/>
            <w:tcMar>
              <w:top w:w="80" w:type="dxa"/>
              <w:left w:w="100" w:type="dxa"/>
              <w:bottom w:w="80" w:type="dxa"/>
              <w:right w:w="100" w:type="dxa"/>
            </w:tcMar>
            <w:shd w:fill="FFFFFF"/>
          </w:tcPr>
          <w:p>
            <w:pPr>
              <w:spacing w:after="0" w:line="245" w:lineRule="auto"/>
              <w:jc w:val="center"/>
            </w:pPr>
            <w:r>
              <w:rPr>
                <w:sz w:val="21"/>
              </w:rPr>
              <w:t>4</w:t>
            </w:r>
          </w:p>
        </w:tc>
        <w:tc>
          <w:tcPr>
            <w:tcW w:type="dxa" w:w="1512"/>
            <w:vAlign w:val="center"/>
            <w:tcMar>
              <w:top w:w="80" w:type="dxa"/>
              <w:left w:w="100" w:type="dxa"/>
              <w:bottom w:w="80" w:type="dxa"/>
              <w:right w:w="100" w:type="dxa"/>
            </w:tcMar>
            <w:shd w:fill="FFFFFF"/>
          </w:tcPr>
          <w:p>
            <w:pPr>
              <w:spacing w:after="0" w:line="245" w:lineRule="auto"/>
              <w:jc w:val="center"/>
            </w:pPr>
            <w:r>
              <w:rPr>
                <w:sz w:val="21"/>
              </w:rPr>
              <w:t>6</w:t>
            </w:r>
          </w:p>
        </w:tc>
      </w:tr>
      <w:tr>
        <w:trPr>
          <w:cantSplit/>
        </w:trPr>
        <w:tc>
          <w:tcPr>
            <w:tcW w:type="dxa" w:w="5832"/>
            <w:vAlign w:val="center"/>
            <w:tcMar>
              <w:top w:w="80" w:type="dxa"/>
              <w:left w:w="100" w:type="dxa"/>
              <w:bottom w:w="80" w:type="dxa"/>
              <w:right w:w="100" w:type="dxa"/>
            </w:tcMar>
            <w:shd w:fill="F2F4F5"/>
          </w:tcPr>
          <w:p>
            <w:pPr>
              <w:spacing w:after="0" w:line="245" w:lineRule="auto"/>
            </w:pPr>
            <w:r>
              <w:rPr>
                <w:sz w:val="21"/>
              </w:rPr>
              <w:t>Dedicated delivery and customer success</w:t>
            </w:r>
          </w:p>
        </w:tc>
        <w:tc>
          <w:tcPr>
            <w:tcW w:type="dxa" w:w="1512"/>
            <w:vAlign w:val="center"/>
            <w:tcMar>
              <w:top w:w="80" w:type="dxa"/>
              <w:left w:w="100" w:type="dxa"/>
              <w:bottom w:w="80" w:type="dxa"/>
              <w:right w:w="100" w:type="dxa"/>
            </w:tcMar>
            <w:shd w:fill="F2F4F5"/>
          </w:tcPr>
          <w:p>
            <w:pPr>
              <w:spacing w:after="0" w:line="245" w:lineRule="auto"/>
              <w:jc w:val="center"/>
            </w:pPr>
            <w:r>
              <w:rPr>
                <w:sz w:val="21"/>
              </w:rPr>
              <w:t>0</w:t>
            </w:r>
          </w:p>
        </w:tc>
        <w:tc>
          <w:tcPr>
            <w:tcW w:type="dxa" w:w="1512"/>
            <w:vAlign w:val="center"/>
            <w:tcMar>
              <w:top w:w="80" w:type="dxa"/>
              <w:left w:w="100" w:type="dxa"/>
              <w:bottom w:w="80" w:type="dxa"/>
              <w:right w:w="100" w:type="dxa"/>
            </w:tcMar>
            <w:shd w:fill="F2F4F5"/>
          </w:tcPr>
          <w:p>
            <w:pPr>
              <w:spacing w:after="0" w:line="245" w:lineRule="auto"/>
              <w:jc w:val="center"/>
            </w:pPr>
            <w:r>
              <w:rPr>
                <w:sz w:val="21"/>
              </w:rPr>
              <w:t>2</w:t>
            </w:r>
          </w:p>
        </w:tc>
        <w:tc>
          <w:tcPr>
            <w:tcW w:type="dxa" w:w="1512"/>
            <w:vAlign w:val="center"/>
            <w:tcMar>
              <w:top w:w="80" w:type="dxa"/>
              <w:left w:w="100" w:type="dxa"/>
              <w:bottom w:w="80" w:type="dxa"/>
              <w:right w:w="100" w:type="dxa"/>
            </w:tcMar>
            <w:shd w:fill="F2F4F5"/>
          </w:tcPr>
          <w:p>
            <w:pPr>
              <w:spacing w:after="0" w:line="245" w:lineRule="auto"/>
              <w:jc w:val="center"/>
            </w:pPr>
            <w:r>
              <w:rPr>
                <w:sz w:val="21"/>
              </w:rPr>
              <w:t>4</w:t>
            </w:r>
          </w:p>
        </w:tc>
      </w:tr>
      <w:tr>
        <w:trPr>
          <w:cantSplit/>
        </w:trPr>
        <w:tc>
          <w:tcPr>
            <w:tcW w:type="dxa" w:w="5832"/>
            <w:vAlign w:val="center"/>
            <w:tcMar>
              <w:top w:w="80" w:type="dxa"/>
              <w:left w:w="100" w:type="dxa"/>
              <w:bottom w:w="80" w:type="dxa"/>
              <w:right w:w="100" w:type="dxa"/>
            </w:tcMar>
            <w:shd w:fill="FFFFFF"/>
          </w:tcPr>
          <w:p>
            <w:pPr>
              <w:spacing w:after="0" w:line="245" w:lineRule="auto"/>
            </w:pPr>
            <w:r>
              <w:rPr>
                <w:sz w:val="21"/>
              </w:rPr>
              <w:t>Dedicated academy team</w:t>
            </w:r>
          </w:p>
        </w:tc>
        <w:tc>
          <w:tcPr>
            <w:tcW w:type="dxa" w:w="1512"/>
            <w:vAlign w:val="center"/>
            <w:tcMar>
              <w:top w:w="80" w:type="dxa"/>
              <w:left w:w="100" w:type="dxa"/>
              <w:bottom w:w="80" w:type="dxa"/>
              <w:right w:w="100" w:type="dxa"/>
            </w:tcMar>
            <w:shd w:fill="FFFFFF"/>
          </w:tcPr>
          <w:p>
            <w:pPr>
              <w:spacing w:after="0" w:line="245" w:lineRule="auto"/>
              <w:jc w:val="center"/>
            </w:pPr>
            <w:r>
              <w:rPr>
                <w:sz w:val="21"/>
              </w:rPr>
              <w:t>0</w:t>
            </w:r>
          </w:p>
        </w:tc>
        <w:tc>
          <w:tcPr>
            <w:tcW w:type="dxa" w:w="1512"/>
            <w:vAlign w:val="center"/>
            <w:tcMar>
              <w:top w:w="80" w:type="dxa"/>
              <w:left w:w="100" w:type="dxa"/>
              <w:bottom w:w="80" w:type="dxa"/>
              <w:right w:w="100" w:type="dxa"/>
            </w:tcMar>
            <w:shd w:fill="FFFFFF"/>
          </w:tcPr>
          <w:p>
            <w:pPr>
              <w:spacing w:after="0" w:line="245" w:lineRule="auto"/>
              <w:jc w:val="center"/>
            </w:pPr>
            <w:r>
              <w:rPr>
                <w:sz w:val="21"/>
              </w:rPr>
              <w:t>0</w:t>
            </w:r>
          </w:p>
        </w:tc>
        <w:tc>
          <w:tcPr>
            <w:tcW w:type="dxa" w:w="1512"/>
            <w:vAlign w:val="center"/>
            <w:tcMar>
              <w:top w:w="80" w:type="dxa"/>
              <w:left w:w="100" w:type="dxa"/>
              <w:bottom w:w="80" w:type="dxa"/>
              <w:right w:w="100" w:type="dxa"/>
            </w:tcMar>
            <w:shd w:fill="FFFFFF"/>
          </w:tcPr>
          <w:p>
            <w:pPr>
              <w:spacing w:after="0" w:line="245" w:lineRule="auto"/>
              <w:jc w:val="center"/>
            </w:pPr>
            <w:r>
              <w:rPr>
                <w:sz w:val="21"/>
              </w:rPr>
              <w:t>2</w:t>
            </w:r>
          </w:p>
        </w:tc>
      </w:tr>
      <w:tr>
        <w:trPr>
          <w:cantSplit/>
        </w:trPr>
        <w:tc>
          <w:tcPr>
            <w:tcW w:type="dxa" w:w="5832"/>
            <w:vAlign w:val="center"/>
            <w:tcMar>
              <w:top w:w="80" w:type="dxa"/>
              <w:left w:w="100" w:type="dxa"/>
              <w:bottom w:w="80" w:type="dxa"/>
              <w:right w:w="100" w:type="dxa"/>
            </w:tcMar>
            <w:shd w:fill="F2F4F5"/>
          </w:tcPr>
          <w:p>
            <w:pPr>
              <w:spacing w:after="0" w:line="245" w:lineRule="auto"/>
            </w:pPr>
            <w:r>
              <w:rPr>
                <w:sz w:val="21"/>
              </w:rPr>
              <w:t>Subsidiary business operations</w:t>
            </w:r>
          </w:p>
        </w:tc>
        <w:tc>
          <w:tcPr>
            <w:tcW w:type="dxa" w:w="1512"/>
            <w:vAlign w:val="center"/>
            <w:tcMar>
              <w:top w:w="80" w:type="dxa"/>
              <w:left w:w="100" w:type="dxa"/>
              <w:bottom w:w="80" w:type="dxa"/>
              <w:right w:w="100" w:type="dxa"/>
            </w:tcMar>
            <w:shd w:fill="F2F4F5"/>
          </w:tcPr>
          <w:p>
            <w:pPr>
              <w:spacing w:after="0" w:line="245" w:lineRule="auto"/>
              <w:jc w:val="center"/>
            </w:pPr>
            <w:r>
              <w:rPr>
                <w:sz w:val="21"/>
              </w:rPr>
              <w:t>0</w:t>
            </w:r>
          </w:p>
        </w:tc>
        <w:tc>
          <w:tcPr>
            <w:tcW w:type="dxa" w:w="1512"/>
            <w:vAlign w:val="center"/>
            <w:tcMar>
              <w:top w:w="80" w:type="dxa"/>
              <w:left w:w="100" w:type="dxa"/>
              <w:bottom w:w="80" w:type="dxa"/>
              <w:right w:w="100" w:type="dxa"/>
            </w:tcMar>
            <w:shd w:fill="F2F4F5"/>
          </w:tcPr>
          <w:p>
            <w:pPr>
              <w:spacing w:after="0" w:line="245" w:lineRule="auto"/>
              <w:jc w:val="center"/>
            </w:pPr>
            <w:r>
              <w:rPr>
                <w:sz w:val="21"/>
              </w:rPr>
              <w:t>0</w:t>
            </w:r>
          </w:p>
        </w:tc>
        <w:tc>
          <w:tcPr>
            <w:tcW w:type="dxa" w:w="1512"/>
            <w:vAlign w:val="center"/>
            <w:tcMar>
              <w:top w:w="80" w:type="dxa"/>
              <w:left w:w="100" w:type="dxa"/>
              <w:bottom w:w="80" w:type="dxa"/>
              <w:right w:w="100" w:type="dxa"/>
            </w:tcMar>
            <w:shd w:fill="F2F4F5"/>
          </w:tcPr>
          <w:p>
            <w:pPr>
              <w:spacing w:after="0" w:line="245" w:lineRule="auto"/>
              <w:jc w:val="center"/>
            </w:pPr>
            <w:r>
              <w:rPr>
                <w:sz w:val="21"/>
              </w:rPr>
              <w:t>1</w:t>
            </w:r>
          </w:p>
        </w:tc>
      </w:tr>
      <w:tr>
        <w:trPr>
          <w:cantSplit/>
        </w:trPr>
        <w:tc>
          <w:tcPr>
            <w:tcW w:type="dxa" w:w="5832"/>
            <w:vAlign w:val="center"/>
            <w:tcMar>
              <w:top w:w="80" w:type="dxa"/>
              <w:left w:w="100" w:type="dxa"/>
              <w:bottom w:w="80" w:type="dxa"/>
              <w:right w:w="100" w:type="dxa"/>
            </w:tcMar>
            <w:shd w:fill="FFFFFF"/>
          </w:tcPr>
          <w:p>
            <w:pPr>
              <w:spacing w:after="0" w:line="245" w:lineRule="auto"/>
            </w:pPr>
            <w:r>
              <w:rPr>
                <w:sz w:val="21"/>
              </w:rPr>
              <w:t>Dedicated employees</w:t>
            </w:r>
          </w:p>
        </w:tc>
        <w:tc>
          <w:tcPr>
            <w:tcW w:type="dxa" w:w="1512"/>
            <w:vAlign w:val="center"/>
            <w:tcMar>
              <w:top w:w="80" w:type="dxa"/>
              <w:left w:w="100" w:type="dxa"/>
              <w:bottom w:w="80" w:type="dxa"/>
              <w:right w:w="100" w:type="dxa"/>
            </w:tcMar>
            <w:shd w:fill="FFFFFF"/>
          </w:tcPr>
          <w:p>
            <w:pPr>
              <w:spacing w:after="0" w:line="245" w:lineRule="auto"/>
              <w:jc w:val="center"/>
            </w:pPr>
            <w:r>
              <w:rPr>
                <w:sz w:val="21"/>
              </w:rPr>
              <w:t>7</w:t>
            </w:r>
          </w:p>
        </w:tc>
        <w:tc>
          <w:tcPr>
            <w:tcW w:type="dxa" w:w="1512"/>
            <w:vAlign w:val="center"/>
            <w:tcMar>
              <w:top w:w="80" w:type="dxa"/>
              <w:left w:w="100" w:type="dxa"/>
              <w:bottom w:w="80" w:type="dxa"/>
              <w:right w:w="100" w:type="dxa"/>
            </w:tcMar>
            <w:shd w:fill="FFFFFF"/>
          </w:tcPr>
          <w:p>
            <w:pPr>
              <w:spacing w:after="0" w:line="245" w:lineRule="auto"/>
              <w:jc w:val="center"/>
            </w:pPr>
            <w:r>
              <w:rPr>
                <w:sz w:val="21"/>
              </w:rPr>
              <w:t>13</w:t>
            </w:r>
          </w:p>
        </w:tc>
        <w:tc>
          <w:tcPr>
            <w:tcW w:type="dxa" w:w="1512"/>
            <w:vAlign w:val="center"/>
            <w:tcMar>
              <w:top w:w="80" w:type="dxa"/>
              <w:left w:w="100" w:type="dxa"/>
              <w:bottom w:w="80" w:type="dxa"/>
              <w:right w:w="100" w:type="dxa"/>
            </w:tcMar>
            <w:shd w:fill="FFFFFF"/>
          </w:tcPr>
          <w:p>
            <w:pPr>
              <w:spacing w:after="0" w:line="245" w:lineRule="auto"/>
              <w:jc w:val="center"/>
            </w:pPr>
            <w:r>
              <w:rPr>
                <w:sz w:val="21"/>
              </w:rPr>
              <w:t>24</w:t>
            </w:r>
          </w:p>
        </w:tc>
      </w:tr>
    </w:tbl>
    <w:p>
      <w:pPr>
        <w:spacing w:after="20" w:line="40" w:lineRule="exact"/>
      </w:pPr>
      <w:r>
        <w:rPr>
          <w:sz w:val="4"/>
        </w:rPr>
      </w:r>
    </w:p>
    <w:p>
      <w:r>
        <w:t>Employees are counted once. Contractors and parent shared-service personnel are excluded. Technical Director is included in technical practices; Head of Product &amp; AI is included in product, AI and knowledge engineering.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032"/>
        <w:gridCol w:w="4176"/>
      </w:tblGrid>
      <w:tr>
        <w:trPr>
          <w:cantSplit/>
          <w:tblHeader/>
        </w:trPr>
        <w:tc>
          <w:tcPr>
            <w:tcW w:type="dxa" w:w="2160"/>
            <w:vAlign w:val="center"/>
            <w:tcMar>
              <w:top w:w="80" w:type="dxa"/>
              <w:left w:w="100" w:type="dxa"/>
              <w:bottom w:w="80" w:type="dxa"/>
              <w:right w:w="100" w:type="dxa"/>
            </w:tcMar>
            <w:shd w:fill="18364D"/>
          </w:tcPr>
          <w:p>
            <w:pPr>
              <w:spacing w:after="0" w:line="245" w:lineRule="auto"/>
            </w:pPr>
            <w:r>
              <w:rPr>
                <w:b/>
                <w:color w:val="FFFFFF"/>
                <w:sz w:val="20"/>
              </w:rPr>
              <w:t>Function</w:t>
            </w:r>
          </w:p>
        </w:tc>
        <w:tc>
          <w:tcPr>
            <w:tcW w:type="dxa" w:w="4032"/>
            <w:vAlign w:val="center"/>
            <w:tcMar>
              <w:top w:w="80" w:type="dxa"/>
              <w:left w:w="100" w:type="dxa"/>
              <w:bottom w:w="80" w:type="dxa"/>
              <w:right w:w="100" w:type="dxa"/>
            </w:tcMar>
            <w:shd w:fill="18364D"/>
          </w:tcPr>
          <w:p>
            <w:pPr>
              <w:spacing w:after="0" w:line="245" w:lineRule="auto"/>
            </w:pPr>
            <w:r>
              <w:rPr>
                <w:b/>
                <w:color w:val="FFFFFF"/>
                <w:sz w:val="20"/>
              </w:rPr>
              <w:t>Expansion role mix</w:t>
            </w:r>
          </w:p>
        </w:tc>
        <w:tc>
          <w:tcPr>
            <w:tcW w:type="dxa" w:w="4176"/>
            <w:vAlign w:val="center"/>
            <w:tcMar>
              <w:top w:w="80" w:type="dxa"/>
              <w:left w:w="100" w:type="dxa"/>
              <w:bottom w:w="80" w:type="dxa"/>
              <w:right w:w="100" w:type="dxa"/>
            </w:tcMar>
            <w:shd w:fill="18364D"/>
          </w:tcPr>
          <w:p>
            <w:pPr>
              <w:spacing w:after="0" w:line="245" w:lineRule="auto"/>
            </w:pPr>
            <w:r>
              <w:rPr>
                <w:b/>
                <w:color w:val="FFFFFF"/>
                <w:sz w:val="20"/>
              </w:rPr>
              <w:t>Mature role mix</w:t>
            </w:r>
          </w:p>
        </w:tc>
      </w:tr>
      <w:tr>
        <w:trPr>
          <w:cantSplit/>
        </w:trPr>
        <w:tc>
          <w:tcPr>
            <w:tcW w:type="dxa" w:w="2160"/>
            <w:vAlign w:val="center"/>
            <w:tcMar>
              <w:top w:w="80" w:type="dxa"/>
              <w:left w:w="100" w:type="dxa"/>
              <w:bottom w:w="80" w:type="dxa"/>
              <w:right w:w="100" w:type="dxa"/>
            </w:tcMar>
            <w:shd w:fill="F2F4F5"/>
          </w:tcPr>
          <w:p>
            <w:pPr>
              <w:spacing w:after="0" w:line="245" w:lineRule="auto"/>
            </w:pPr>
            <w:r>
              <w:rPr>
                <w:sz w:val="20"/>
              </w:rPr>
              <w:t>Managing Director</w:t>
            </w:r>
          </w:p>
        </w:tc>
        <w:tc>
          <w:tcPr>
            <w:tcW w:type="dxa" w:w="4032"/>
            <w:vAlign w:val="center"/>
            <w:tcMar>
              <w:top w:w="80" w:type="dxa"/>
              <w:left w:w="100" w:type="dxa"/>
              <w:bottom w:w="80" w:type="dxa"/>
              <w:right w:w="100" w:type="dxa"/>
            </w:tcMar>
            <w:shd w:fill="F2F4F5"/>
          </w:tcPr>
          <w:p>
            <w:pPr>
              <w:spacing w:after="0" w:line="245" w:lineRule="auto"/>
            </w:pPr>
            <w:r>
              <w:rPr>
                <w:sz w:val="20"/>
              </w:rPr>
              <w:t>1 Managing Director</w:t>
            </w:r>
          </w:p>
        </w:tc>
        <w:tc>
          <w:tcPr>
            <w:tcW w:type="dxa" w:w="4176"/>
            <w:vAlign w:val="center"/>
            <w:tcMar>
              <w:top w:w="80" w:type="dxa"/>
              <w:left w:w="100" w:type="dxa"/>
              <w:bottom w:w="80" w:type="dxa"/>
              <w:right w:w="100" w:type="dxa"/>
            </w:tcMar>
            <w:shd w:fill="F2F4F5"/>
          </w:tcPr>
          <w:p>
            <w:pPr>
              <w:spacing w:after="0" w:line="245" w:lineRule="auto"/>
            </w:pPr>
            <w:r>
              <w:rPr>
                <w:sz w:val="20"/>
              </w:rPr>
              <w:t>1 Managing Director</w:t>
            </w:r>
          </w:p>
        </w:tc>
      </w:tr>
      <w:tr>
        <w:trPr>
          <w:cantSplit/>
        </w:trPr>
        <w:tc>
          <w:tcPr>
            <w:tcW w:type="dxa" w:w="2160"/>
            <w:vAlign w:val="center"/>
            <w:tcMar>
              <w:top w:w="80" w:type="dxa"/>
              <w:left w:w="100" w:type="dxa"/>
              <w:bottom w:w="80" w:type="dxa"/>
              <w:right w:w="100" w:type="dxa"/>
            </w:tcMar>
            <w:shd w:fill="FFFFFF"/>
          </w:tcPr>
          <w:p>
            <w:pPr>
              <w:spacing w:after="0" w:line="245" w:lineRule="auto"/>
            </w:pPr>
            <w:r>
              <w:rPr>
                <w:sz w:val="20"/>
              </w:rPr>
              <w:t>Commercial</w:t>
            </w:r>
          </w:p>
        </w:tc>
        <w:tc>
          <w:tcPr>
            <w:tcW w:type="dxa" w:w="4032"/>
            <w:vAlign w:val="center"/>
            <w:tcMar>
              <w:top w:w="80" w:type="dxa"/>
              <w:left w:w="100" w:type="dxa"/>
              <w:bottom w:w="80" w:type="dxa"/>
              <w:right w:w="100" w:type="dxa"/>
            </w:tcMar>
            <w:shd w:fill="FFFFFF"/>
          </w:tcPr>
          <w:p>
            <w:pPr>
              <w:spacing w:after="0" w:line="245" w:lineRule="auto"/>
            </w:pPr>
            <w:r>
              <w:rPr>
                <w:sz w:val="20"/>
              </w:rPr>
              <w:t>Commercial Director + 1 Account Manager</w:t>
            </w:r>
          </w:p>
        </w:tc>
        <w:tc>
          <w:tcPr>
            <w:tcW w:type="dxa" w:w="4176"/>
            <w:vAlign w:val="center"/>
            <w:tcMar>
              <w:top w:w="80" w:type="dxa"/>
              <w:left w:w="100" w:type="dxa"/>
              <w:bottom w:w="80" w:type="dxa"/>
              <w:right w:w="100" w:type="dxa"/>
            </w:tcMar>
            <w:shd w:fill="FFFFFF"/>
          </w:tcPr>
          <w:p>
            <w:pPr>
              <w:spacing w:after="0" w:line="245" w:lineRule="auto"/>
            </w:pPr>
            <w:r>
              <w:rPr>
                <w:sz w:val="20"/>
              </w:rPr>
              <w:t>Commercial Director + 2 Account Managers</w:t>
            </w:r>
          </w:p>
        </w:tc>
      </w:tr>
      <w:tr>
        <w:trPr>
          <w:cantSplit/>
        </w:trPr>
        <w:tc>
          <w:tcPr>
            <w:tcW w:type="dxa" w:w="2160"/>
            <w:vAlign w:val="center"/>
            <w:tcMar>
              <w:top w:w="80" w:type="dxa"/>
              <w:left w:w="100" w:type="dxa"/>
              <w:bottom w:w="80" w:type="dxa"/>
              <w:right w:w="100" w:type="dxa"/>
            </w:tcMar>
            <w:shd w:fill="F2F4F5"/>
          </w:tcPr>
          <w:p>
            <w:pPr>
              <w:spacing w:after="0" w:line="245" w:lineRule="auto"/>
            </w:pPr>
            <w:r>
              <w:rPr>
                <w:sz w:val="20"/>
              </w:rPr>
              <w:t>Technical practices</w:t>
            </w:r>
          </w:p>
        </w:tc>
        <w:tc>
          <w:tcPr>
            <w:tcW w:type="dxa" w:w="4032"/>
            <w:vAlign w:val="center"/>
            <w:tcMar>
              <w:top w:w="80" w:type="dxa"/>
              <w:left w:w="100" w:type="dxa"/>
              <w:bottom w:w="80" w:type="dxa"/>
              <w:right w:w="100" w:type="dxa"/>
            </w:tcMar>
            <w:shd w:fill="F2F4F5"/>
          </w:tcPr>
          <w:p>
            <w:pPr>
              <w:spacing w:after="0" w:line="245" w:lineRule="auto"/>
            </w:pPr>
            <w:r>
              <w:rPr>
                <w:sz w:val="20"/>
              </w:rPr>
              <w:t>Technical Director + Downstream Practice Lead + Gas Practice Lead + Process Applications Engineer</w:t>
            </w:r>
          </w:p>
        </w:tc>
        <w:tc>
          <w:tcPr>
            <w:tcW w:type="dxa" w:w="4176"/>
            <w:vAlign w:val="center"/>
            <w:tcMar>
              <w:top w:w="80" w:type="dxa"/>
              <w:left w:w="100" w:type="dxa"/>
              <w:bottom w:w="80" w:type="dxa"/>
              <w:right w:w="100" w:type="dxa"/>
            </w:tcMar>
            <w:shd w:fill="F2F4F5"/>
          </w:tcPr>
          <w:p>
            <w:pPr>
              <w:spacing w:after="0" w:line="245" w:lineRule="auto"/>
            </w:pPr>
            <w:r>
              <w:rPr>
                <w:sz w:val="20"/>
              </w:rPr>
              <w:t>Technical Director + 3 Practice Leads + 3 Process Applications Engineers</w:t>
            </w:r>
          </w:p>
        </w:tc>
      </w:tr>
      <w:tr>
        <w:trPr>
          <w:cantSplit/>
        </w:trPr>
        <w:tc>
          <w:tcPr>
            <w:tcW w:type="dxa" w:w="2160"/>
            <w:vAlign w:val="center"/>
            <w:tcMar>
              <w:top w:w="80" w:type="dxa"/>
              <w:left w:w="100" w:type="dxa"/>
              <w:bottom w:w="80" w:type="dxa"/>
              <w:right w:w="100" w:type="dxa"/>
            </w:tcMar>
            <w:shd w:fill="FFFFFF"/>
          </w:tcPr>
          <w:p>
            <w:pPr>
              <w:spacing w:after="0" w:line="245" w:lineRule="auto"/>
            </w:pPr>
            <w:r>
              <w:rPr>
                <w:sz w:val="20"/>
              </w:rPr>
              <w:t>Product, AI and knowledge</w:t>
            </w:r>
          </w:p>
        </w:tc>
        <w:tc>
          <w:tcPr>
            <w:tcW w:type="dxa" w:w="4032"/>
            <w:vAlign w:val="center"/>
            <w:tcMar>
              <w:top w:w="80" w:type="dxa"/>
              <w:left w:w="100" w:type="dxa"/>
              <w:bottom w:w="80" w:type="dxa"/>
              <w:right w:w="100" w:type="dxa"/>
            </w:tcMar>
            <w:shd w:fill="FFFFFF"/>
          </w:tcPr>
          <w:p>
            <w:pPr>
              <w:spacing w:after="0" w:line="245" w:lineRule="auto"/>
            </w:pPr>
            <w:r>
              <w:rPr>
                <w:sz w:val="20"/>
              </w:rPr>
              <w:t>Head of Product &amp; AI + Applied AI Engineer + Knowledge Engineer + Platform Engineer</w:t>
            </w:r>
          </w:p>
        </w:tc>
        <w:tc>
          <w:tcPr>
            <w:tcW w:type="dxa" w:w="4176"/>
            <w:vAlign w:val="center"/>
            <w:tcMar>
              <w:top w:w="80" w:type="dxa"/>
              <w:left w:w="100" w:type="dxa"/>
              <w:bottom w:w="80" w:type="dxa"/>
              <w:right w:w="100" w:type="dxa"/>
            </w:tcMar>
            <w:shd w:fill="FFFFFF"/>
          </w:tcPr>
          <w:p>
            <w:pPr>
              <w:spacing w:after="0" w:line="245" w:lineRule="auto"/>
            </w:pPr>
            <w:r>
              <w:rPr>
                <w:sz w:val="20"/>
              </w:rPr>
              <w:t>Head of Product &amp; AI + 2 Applied AI Engineers + 2 Knowledge Engineers + Platform Engineer</w:t>
            </w:r>
          </w:p>
        </w:tc>
      </w:tr>
      <w:tr>
        <w:trPr>
          <w:cantSplit/>
        </w:trPr>
        <w:tc>
          <w:tcPr>
            <w:tcW w:type="dxa" w:w="2160"/>
            <w:vAlign w:val="center"/>
            <w:tcMar>
              <w:top w:w="80" w:type="dxa"/>
              <w:left w:w="100" w:type="dxa"/>
              <w:bottom w:w="80" w:type="dxa"/>
              <w:right w:w="100" w:type="dxa"/>
            </w:tcMar>
            <w:shd w:fill="F2F4F5"/>
          </w:tcPr>
          <w:p>
            <w:pPr>
              <w:spacing w:after="0" w:line="245" w:lineRule="auto"/>
            </w:pPr>
            <w:r>
              <w:rPr>
                <w:sz w:val="20"/>
              </w:rPr>
              <w:t>Delivery and customer success</w:t>
            </w:r>
          </w:p>
        </w:tc>
        <w:tc>
          <w:tcPr>
            <w:tcW w:type="dxa" w:w="4032"/>
            <w:vAlign w:val="center"/>
            <w:tcMar>
              <w:top w:w="80" w:type="dxa"/>
              <w:left w:w="100" w:type="dxa"/>
              <w:bottom w:w="80" w:type="dxa"/>
              <w:right w:w="100" w:type="dxa"/>
            </w:tcMar>
            <w:shd w:fill="F2F4F5"/>
          </w:tcPr>
          <w:p>
            <w:pPr>
              <w:spacing w:after="0" w:line="245" w:lineRule="auto"/>
            </w:pPr>
            <w:r>
              <w:rPr>
                <w:sz w:val="20"/>
              </w:rPr>
              <w:t>Delivery Lead + Customer Success Manager</w:t>
            </w:r>
          </w:p>
        </w:tc>
        <w:tc>
          <w:tcPr>
            <w:tcW w:type="dxa" w:w="4176"/>
            <w:vAlign w:val="center"/>
            <w:tcMar>
              <w:top w:w="80" w:type="dxa"/>
              <w:left w:w="100" w:type="dxa"/>
              <w:bottom w:w="80" w:type="dxa"/>
              <w:right w:w="100" w:type="dxa"/>
            </w:tcMar>
            <w:shd w:fill="F2F4F5"/>
          </w:tcPr>
          <w:p>
            <w:pPr>
              <w:spacing w:after="0" w:line="245" w:lineRule="auto"/>
            </w:pPr>
            <w:r>
              <w:rPr>
                <w:sz w:val="20"/>
              </w:rPr>
              <w:t>Delivery Lead + 2 Delivery Engineers + Customer Success Manager</w:t>
            </w:r>
          </w:p>
        </w:tc>
      </w:tr>
      <w:tr>
        <w:trPr>
          <w:cantSplit/>
        </w:trPr>
        <w:tc>
          <w:tcPr>
            <w:tcW w:type="dxa" w:w="2160"/>
            <w:vAlign w:val="center"/>
            <w:tcMar>
              <w:top w:w="80" w:type="dxa"/>
              <w:left w:w="100" w:type="dxa"/>
              <w:bottom w:w="80" w:type="dxa"/>
              <w:right w:w="100" w:type="dxa"/>
            </w:tcMar>
            <w:shd w:fill="FFFFFF"/>
          </w:tcPr>
          <w:p>
            <w:pPr>
              <w:spacing w:after="0" w:line="245" w:lineRule="auto"/>
            </w:pPr>
            <w:r>
              <w:rPr>
                <w:sz w:val="20"/>
              </w:rPr>
              <w:t>Academy</w:t>
            </w:r>
          </w:p>
        </w:tc>
        <w:tc>
          <w:tcPr>
            <w:tcW w:type="dxa" w:w="4032"/>
            <w:vAlign w:val="center"/>
            <w:tcMar>
              <w:top w:w="80" w:type="dxa"/>
              <w:left w:w="100" w:type="dxa"/>
              <w:bottom w:w="80" w:type="dxa"/>
              <w:right w:w="100" w:type="dxa"/>
            </w:tcMar>
            <w:shd w:fill="FFFFFF"/>
          </w:tcPr>
          <w:p>
            <w:pPr>
              <w:spacing w:after="0" w:line="245" w:lineRule="auto"/>
            </w:pPr>
            <w:r>
              <w:rPr>
                <w:sz w:val="20"/>
              </w:rPr>
              <w:t>No dedicated employees</w:t>
            </w:r>
          </w:p>
        </w:tc>
        <w:tc>
          <w:tcPr>
            <w:tcW w:type="dxa" w:w="4176"/>
            <w:vAlign w:val="center"/>
            <w:tcMar>
              <w:top w:w="80" w:type="dxa"/>
              <w:left w:w="100" w:type="dxa"/>
              <w:bottom w:w="80" w:type="dxa"/>
              <w:right w:w="100" w:type="dxa"/>
            </w:tcMar>
            <w:shd w:fill="FFFFFF"/>
          </w:tcPr>
          <w:p>
            <w:pPr>
              <w:spacing w:after="0" w:line="245" w:lineRule="auto"/>
            </w:pPr>
            <w:r>
              <w:rPr>
                <w:sz w:val="20"/>
              </w:rPr>
              <w:t>Head of Academy + Training Designer</w:t>
            </w:r>
          </w:p>
        </w:tc>
      </w:tr>
      <w:tr>
        <w:trPr>
          <w:cantSplit/>
        </w:trPr>
        <w:tc>
          <w:tcPr>
            <w:tcW w:type="dxa" w:w="2160"/>
            <w:vAlign w:val="center"/>
            <w:tcMar>
              <w:top w:w="80" w:type="dxa"/>
              <w:left w:w="100" w:type="dxa"/>
              <w:bottom w:w="80" w:type="dxa"/>
              <w:right w:w="100" w:type="dxa"/>
            </w:tcMar>
            <w:shd w:fill="F2F4F5"/>
          </w:tcPr>
          <w:p>
            <w:pPr>
              <w:spacing w:after="0" w:line="245" w:lineRule="auto"/>
            </w:pPr>
            <w:r>
              <w:rPr>
                <w:sz w:val="20"/>
              </w:rPr>
              <w:t>Business operations</w:t>
            </w:r>
          </w:p>
        </w:tc>
        <w:tc>
          <w:tcPr>
            <w:tcW w:type="dxa" w:w="4032"/>
            <w:vAlign w:val="center"/>
            <w:tcMar>
              <w:top w:w="80" w:type="dxa"/>
              <w:left w:w="100" w:type="dxa"/>
              <w:bottom w:w="80" w:type="dxa"/>
              <w:right w:w="100" w:type="dxa"/>
            </w:tcMar>
            <w:shd w:fill="F2F4F5"/>
          </w:tcPr>
          <w:p>
            <w:pPr>
              <w:spacing w:after="0" w:line="245" w:lineRule="auto"/>
            </w:pPr>
            <w:r>
              <w:rPr>
                <w:sz w:val="20"/>
              </w:rPr>
              <w:t>No dedicated employee</w:t>
            </w:r>
          </w:p>
        </w:tc>
        <w:tc>
          <w:tcPr>
            <w:tcW w:type="dxa" w:w="4176"/>
            <w:vAlign w:val="center"/>
            <w:tcMar>
              <w:top w:w="80" w:type="dxa"/>
              <w:left w:w="100" w:type="dxa"/>
              <w:bottom w:w="80" w:type="dxa"/>
              <w:right w:w="100" w:type="dxa"/>
            </w:tcMar>
            <w:shd w:fill="F2F4F5"/>
          </w:tcPr>
          <w:p>
            <w:pPr>
              <w:spacing w:after="0" w:line="245" w:lineRule="auto"/>
            </w:pPr>
            <w:r>
              <w:rPr>
                <w:sz w:val="20"/>
              </w:rPr>
              <w:t>Business Operations Manager</w:t>
            </w:r>
          </w:p>
        </w:tc>
      </w:tr>
    </w:tbl>
    <w:p>
      <w:pPr>
        <w:spacing w:after="20" w:line="40" w:lineRule="exact"/>
      </w:pPr>
      <w:r>
        <w:rPr>
          <w:sz w:val="4"/>
        </w:rPr>
      </w:r>
    </w:p>
    <w:p>
      <w:r>
        <w:t>The Managing Director manages the three launch leaders and, when appointed, the Delivery Lead, Head of Academy and Business Operations Manager. Practice leads report to the Technical Director. At expansion the Process Applications Engineer reports to the Downstream Practice Lead; at maturity one reports to each practice lead. Delivery Engineers coordinate implementation and are distinct from practice engineering positions.</w:t>
      </w:r>
    </w:p>
    <w:p>
      <w:r>
        <w:t>Account Managers report to the Commercial Director; product, AI and knowledge positions to the Head of Product &amp; AI; delivery and customer success to the Delivery Lead; Training Designer to Head of Academy. Technical Director retains technical acceptance across all teams.</w:t>
      </w:r>
    </w:p>
    <w:p>
      <w:pPr>
        <w:pStyle w:val="Heading2"/>
      </w:pPr>
      <w:r>
        <w:t>Conditions for the next staffing stage</w:t>
      </w:r>
    </w:p>
    <w:p>
      <w:r>
        <w:t>The Managing Director presents evidence of repeatable paid deployments and funded staffing to the board; the parent approves the budget. Each new practice needs a paid mandate, specialists, cleared knowledge and demonstrated technical capability. Appointments proceed against approved positions. The 24-person structure is a mature target, not a launch commitment.</w:t>
      </w:r>
    </w:p>
    <w:p>
      <w:r>
        <w:br w:type="page"/>
      </w:r>
    </w:p>
    <w:p>
      <w:pPr>
        <w:pStyle w:val="Heading1"/>
      </w:pPr>
      <w:r>
        <w:t>8 Performance and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2376"/>
        <w:gridCol w:w="3672"/>
      </w:tblGrid>
      <w:tr>
        <w:trPr>
          <w:cantSplit/>
          <w:tblHeader/>
        </w:trPr>
        <w:tc>
          <w:tcPr>
            <w:tcW w:type="dxa" w:w="4320"/>
            <w:vAlign w:val="center"/>
            <w:tcMar>
              <w:top w:w="80" w:type="dxa"/>
              <w:left w:w="100" w:type="dxa"/>
              <w:bottom w:w="80" w:type="dxa"/>
              <w:right w:w="100" w:type="dxa"/>
            </w:tcMar>
            <w:shd w:fill="18364D"/>
          </w:tcPr>
          <w:p>
            <w:pPr>
              <w:spacing w:after="0" w:line="245" w:lineRule="auto"/>
            </w:pPr>
            <w:r>
              <w:rPr>
                <w:b/>
                <w:color w:val="FFFFFF"/>
                <w:sz w:val="20"/>
              </w:rPr>
              <w:t>Measure</w:t>
            </w:r>
          </w:p>
        </w:tc>
        <w:tc>
          <w:tcPr>
            <w:tcW w:type="dxa" w:w="2376"/>
            <w:vAlign w:val="center"/>
            <w:tcMar>
              <w:top w:w="80" w:type="dxa"/>
              <w:left w:w="100" w:type="dxa"/>
              <w:bottom w:w="80" w:type="dxa"/>
              <w:right w:w="100" w:type="dxa"/>
            </w:tcMar>
            <w:shd w:fill="18364D"/>
          </w:tcPr>
          <w:p>
            <w:pPr>
              <w:spacing w:after="0" w:line="245" w:lineRule="auto"/>
            </w:pPr>
            <w:r>
              <w:rPr>
                <w:b/>
                <w:color w:val="FFFFFF"/>
                <w:sz w:val="20"/>
              </w:rPr>
              <w:t>Accountable owner</w:t>
            </w:r>
          </w:p>
        </w:tc>
        <w:tc>
          <w:tcPr>
            <w:tcW w:type="dxa" w:w="3672"/>
            <w:vAlign w:val="center"/>
            <w:tcMar>
              <w:top w:w="80" w:type="dxa"/>
              <w:left w:w="100" w:type="dxa"/>
              <w:bottom w:w="80" w:type="dxa"/>
              <w:right w:w="100" w:type="dxa"/>
            </w:tcMar>
            <w:shd w:fill="18364D"/>
          </w:tcPr>
          <w:p>
            <w:pPr>
              <w:spacing w:after="0" w:line="245" w:lineRule="auto"/>
            </w:pPr>
            <w:r>
              <w:rPr>
                <w:b/>
                <w:color w:val="FFFFFF"/>
                <w:sz w:val="20"/>
              </w:rPr>
              <w:t>Review cadence</w:t>
            </w:r>
          </w:p>
        </w:tc>
      </w:tr>
      <w:tr>
        <w:trPr>
          <w:cantSplit/>
        </w:trPr>
        <w:tc>
          <w:tcPr>
            <w:tcW w:type="dxa" w:w="4320"/>
            <w:vAlign w:val="center"/>
            <w:tcMar>
              <w:top w:w="80" w:type="dxa"/>
              <w:left w:w="100" w:type="dxa"/>
              <w:bottom w:w="80" w:type="dxa"/>
              <w:right w:w="100" w:type="dxa"/>
            </w:tcMar>
            <w:shd w:fill="F2F4F5"/>
          </w:tcPr>
          <w:p>
            <w:pPr>
              <w:spacing w:after="0" w:line="245" w:lineRule="auto"/>
            </w:pPr>
            <w:r>
              <w:rPr>
                <w:sz w:val="20"/>
              </w:rPr>
              <w:t>Qualified paid pipeline, win rate and renewal conversion</w:t>
            </w:r>
          </w:p>
        </w:tc>
        <w:tc>
          <w:tcPr>
            <w:tcW w:type="dxa" w:w="2376"/>
            <w:vAlign w:val="center"/>
            <w:tcMar>
              <w:top w:w="80" w:type="dxa"/>
              <w:left w:w="100" w:type="dxa"/>
              <w:bottom w:w="80" w:type="dxa"/>
              <w:right w:w="100" w:type="dxa"/>
            </w:tcMar>
            <w:shd w:fill="F2F4F5"/>
          </w:tcPr>
          <w:p>
            <w:pPr>
              <w:spacing w:after="0" w:line="245" w:lineRule="auto"/>
            </w:pPr>
            <w:r>
              <w:rPr>
                <w:sz w:val="20"/>
              </w:rPr>
              <w:t>Commercial Director</w:t>
            </w:r>
          </w:p>
        </w:tc>
        <w:tc>
          <w:tcPr>
            <w:tcW w:type="dxa" w:w="3672"/>
            <w:vAlign w:val="center"/>
            <w:tcMar>
              <w:top w:w="80" w:type="dxa"/>
              <w:left w:w="100" w:type="dxa"/>
              <w:bottom w:w="80" w:type="dxa"/>
              <w:right w:w="100" w:type="dxa"/>
            </w:tcMar>
            <w:shd w:fill="F2F4F5"/>
          </w:tcPr>
          <w:p>
            <w:pPr>
              <w:spacing w:after="0" w:line="245" w:lineRule="auto"/>
            </w:pPr>
            <w:r>
              <w:rPr>
                <w:sz w:val="20"/>
              </w:rPr>
              <w:t>Monthly; separate signed commitments from interest.</w:t>
            </w:r>
          </w:p>
        </w:tc>
      </w:tr>
      <w:tr>
        <w:trPr>
          <w:cantSplit/>
        </w:trPr>
        <w:tc>
          <w:tcPr>
            <w:tcW w:type="dxa" w:w="4320"/>
            <w:vAlign w:val="center"/>
            <w:tcMar>
              <w:top w:w="80" w:type="dxa"/>
              <w:left w:w="100" w:type="dxa"/>
              <w:bottom w:w="80" w:type="dxa"/>
              <w:right w:w="100" w:type="dxa"/>
            </w:tcMar>
            <w:shd w:fill="FFFFFF"/>
          </w:tcPr>
          <w:p>
            <w:pPr>
              <w:spacing w:after="0" w:line="245" w:lineRule="auto"/>
            </w:pPr>
            <w:r>
              <w:rPr>
                <w:sz w:val="20"/>
              </w:rPr>
              <w:t>Revenue and contribution by offering, expert hours per site and cash runway</w:t>
            </w:r>
          </w:p>
        </w:tc>
        <w:tc>
          <w:tcPr>
            <w:tcW w:type="dxa" w:w="2376"/>
            <w:vAlign w:val="center"/>
            <w:tcMar>
              <w:top w:w="80" w:type="dxa"/>
              <w:left w:w="100" w:type="dxa"/>
              <w:bottom w:w="80" w:type="dxa"/>
              <w:right w:w="100" w:type="dxa"/>
            </w:tcMar>
            <w:shd w:fill="FFFFFF"/>
          </w:tcPr>
          <w:p>
            <w:pPr>
              <w:spacing w:after="0" w:line="245" w:lineRule="auto"/>
            </w:pPr>
            <w:r>
              <w:rPr>
                <w:sz w:val="20"/>
              </w:rPr>
              <w:t>Managing Director</w:t>
            </w:r>
          </w:p>
        </w:tc>
        <w:tc>
          <w:tcPr>
            <w:tcW w:type="dxa" w:w="3672"/>
            <w:vAlign w:val="center"/>
            <w:tcMar>
              <w:top w:w="80" w:type="dxa"/>
              <w:left w:w="100" w:type="dxa"/>
              <w:bottom w:w="80" w:type="dxa"/>
              <w:right w:w="100" w:type="dxa"/>
            </w:tcMar>
            <w:shd w:fill="FFFFFF"/>
          </w:tcPr>
          <w:p>
            <w:pPr>
              <w:spacing w:after="0" w:line="245" w:lineRule="auto"/>
            </w:pPr>
            <w:r>
              <w:rPr>
                <w:sz w:val="20"/>
              </w:rPr>
              <w:t>Monthly; finance validates calculations and parent charges.</w:t>
            </w:r>
          </w:p>
        </w:tc>
      </w:tr>
      <w:tr>
        <w:trPr>
          <w:cantSplit/>
        </w:trPr>
        <w:tc>
          <w:tcPr>
            <w:tcW w:type="dxa" w:w="4320"/>
            <w:vAlign w:val="center"/>
            <w:tcMar>
              <w:top w:w="80" w:type="dxa"/>
              <w:left w:w="100" w:type="dxa"/>
              <w:bottom w:w="80" w:type="dxa"/>
              <w:right w:w="100" w:type="dxa"/>
            </w:tcMar>
            <w:shd w:fill="F2F4F5"/>
          </w:tcPr>
          <w:p>
            <w:pPr>
              <w:spacing w:after="0" w:line="245" w:lineRule="auto"/>
            </w:pPr>
            <w:r>
              <w:rPr>
                <w:sz w:val="20"/>
              </w:rPr>
              <w:t>Review findings, unsupported claims, critical failures and escalation quality</w:t>
            </w:r>
          </w:p>
        </w:tc>
        <w:tc>
          <w:tcPr>
            <w:tcW w:type="dxa" w:w="2376"/>
            <w:vAlign w:val="center"/>
            <w:tcMar>
              <w:top w:w="80" w:type="dxa"/>
              <w:left w:w="100" w:type="dxa"/>
              <w:bottom w:w="80" w:type="dxa"/>
              <w:right w:w="100" w:type="dxa"/>
            </w:tcMar>
            <w:shd w:fill="F2F4F5"/>
          </w:tcPr>
          <w:p>
            <w:pPr>
              <w:spacing w:after="0" w:line="245" w:lineRule="auto"/>
            </w:pPr>
            <w:r>
              <w:rPr>
                <w:sz w:val="20"/>
              </w:rPr>
              <w:t>Technical Director</w:t>
            </w:r>
          </w:p>
        </w:tc>
        <w:tc>
          <w:tcPr>
            <w:tcW w:type="dxa" w:w="3672"/>
            <w:vAlign w:val="center"/>
            <w:tcMar>
              <w:top w:w="80" w:type="dxa"/>
              <w:left w:w="100" w:type="dxa"/>
              <w:bottom w:w="80" w:type="dxa"/>
              <w:right w:w="100" w:type="dxa"/>
            </w:tcMar>
            <w:shd w:fill="F2F4F5"/>
          </w:tcPr>
          <w:p>
            <w:pPr>
              <w:spacing w:after="0" w:line="245" w:lineRule="auto"/>
            </w:pPr>
            <w:r>
              <w:rPr>
                <w:sz w:val="20"/>
              </w:rPr>
              <w:t>Each acceptance and monthly trends.</w:t>
            </w:r>
          </w:p>
        </w:tc>
      </w:tr>
      <w:tr>
        <w:trPr>
          <w:cantSplit/>
        </w:trPr>
        <w:tc>
          <w:tcPr>
            <w:tcW w:type="dxa" w:w="4320"/>
            <w:vAlign w:val="center"/>
            <w:tcMar>
              <w:top w:w="80" w:type="dxa"/>
              <w:left w:w="100" w:type="dxa"/>
              <w:bottom w:w="80" w:type="dxa"/>
              <w:right w:w="100" w:type="dxa"/>
            </w:tcMar>
            <w:shd w:fill="FFFFFF"/>
          </w:tcPr>
          <w:p>
            <w:pPr>
              <w:spacing w:after="0" w:line="245" w:lineRule="auto"/>
            </w:pPr>
            <w:r>
              <w:rPr>
                <w:sz w:val="20"/>
              </w:rPr>
              <w:t>On-time delivery, acceptance and agreed workflow value</w:t>
            </w:r>
          </w:p>
        </w:tc>
        <w:tc>
          <w:tcPr>
            <w:tcW w:type="dxa" w:w="2376"/>
            <w:vAlign w:val="center"/>
            <w:tcMar>
              <w:top w:w="80" w:type="dxa"/>
              <w:left w:w="100" w:type="dxa"/>
              <w:bottom w:w="80" w:type="dxa"/>
              <w:right w:w="100" w:type="dxa"/>
            </w:tcMar>
            <w:shd w:fill="FFFFFF"/>
          </w:tcPr>
          <w:p>
            <w:pPr>
              <w:spacing w:after="0" w:line="245" w:lineRule="auto"/>
            </w:pPr>
            <w:r>
              <w:rPr>
                <w:sz w:val="20"/>
              </w:rPr>
              <w:t>Delivery owner</w:t>
            </w:r>
          </w:p>
        </w:tc>
        <w:tc>
          <w:tcPr>
            <w:tcW w:type="dxa" w:w="3672"/>
            <w:vAlign w:val="center"/>
            <w:tcMar>
              <w:top w:w="80" w:type="dxa"/>
              <w:left w:w="100" w:type="dxa"/>
              <w:bottom w:w="80" w:type="dxa"/>
              <w:right w:w="100" w:type="dxa"/>
            </w:tcMar>
            <w:shd w:fill="FFFFFF"/>
          </w:tcPr>
          <w:p>
            <w:pPr>
              <w:spacing w:after="0" w:line="245" w:lineRule="auto"/>
            </w:pPr>
            <w:r>
              <w:rPr>
                <w:sz w:val="20"/>
              </w:rPr>
              <w:t>Each engagement and monthly; baseline and sign-off substantiate value.</w:t>
            </w:r>
          </w:p>
        </w:tc>
      </w:tr>
      <w:tr>
        <w:trPr>
          <w:cantSplit/>
        </w:trPr>
        <w:tc>
          <w:tcPr>
            <w:tcW w:type="dxa" w:w="4320"/>
            <w:vAlign w:val="center"/>
            <w:tcMar>
              <w:top w:w="80" w:type="dxa"/>
              <w:left w:w="100" w:type="dxa"/>
              <w:bottom w:w="80" w:type="dxa"/>
              <w:right w:w="100" w:type="dxa"/>
            </w:tcMar>
            <w:shd w:fill="F2F4F5"/>
          </w:tcPr>
          <w:p>
            <w:pPr>
              <w:spacing w:after="0" w:line="245" w:lineRule="auto"/>
            </w:pPr>
            <w:r>
              <w:rPr>
                <w:sz w:val="20"/>
              </w:rPr>
              <w:t>Evaluation quality, use, availability and implementation effort</w:t>
            </w:r>
          </w:p>
        </w:tc>
        <w:tc>
          <w:tcPr>
            <w:tcW w:type="dxa" w:w="2376"/>
            <w:vAlign w:val="center"/>
            <w:tcMar>
              <w:top w:w="80" w:type="dxa"/>
              <w:left w:w="100" w:type="dxa"/>
              <w:bottom w:w="80" w:type="dxa"/>
              <w:right w:w="100" w:type="dxa"/>
            </w:tcMar>
            <w:shd w:fill="F2F4F5"/>
          </w:tcPr>
          <w:p>
            <w:pPr>
              <w:spacing w:after="0" w:line="245" w:lineRule="auto"/>
            </w:pPr>
            <w:r>
              <w:rPr>
                <w:sz w:val="20"/>
              </w:rPr>
              <w:t>Head of Product &amp; AI</w:t>
            </w:r>
          </w:p>
        </w:tc>
        <w:tc>
          <w:tcPr>
            <w:tcW w:type="dxa" w:w="3672"/>
            <w:vAlign w:val="center"/>
            <w:tcMar>
              <w:top w:w="80" w:type="dxa"/>
              <w:left w:w="100" w:type="dxa"/>
              <w:bottom w:w="80" w:type="dxa"/>
              <w:right w:w="100" w:type="dxa"/>
            </w:tcMar>
            <w:shd w:fill="F2F4F5"/>
          </w:tcPr>
          <w:p>
            <w:pPr>
              <w:spacing w:after="0" w:line="245" w:lineRule="auto"/>
            </w:pPr>
            <w:r>
              <w:rPr>
                <w:sz w:val="20"/>
              </w:rPr>
              <w:t>Each release and monthly; consistent comparison baseline.</w:t>
            </w:r>
          </w:p>
        </w:tc>
      </w:tr>
      <w:tr>
        <w:trPr>
          <w:cantSplit/>
        </w:trPr>
        <w:tc>
          <w:tcPr>
            <w:tcW w:type="dxa" w:w="4320"/>
            <w:vAlign w:val="center"/>
            <w:tcMar>
              <w:top w:w="80" w:type="dxa"/>
              <w:left w:w="100" w:type="dxa"/>
              <w:bottom w:w="80" w:type="dxa"/>
              <w:right w:w="100" w:type="dxa"/>
            </w:tcMar>
            <w:shd w:fill="FFFFFF"/>
          </w:tcPr>
          <w:p>
            <w:pPr>
              <w:spacing w:after="0" w:line="245" w:lineRule="auto"/>
            </w:pPr>
            <w:r>
              <w:rPr>
                <w:sz w:val="20"/>
              </w:rPr>
              <w:t>Rights coverage, expired grants and provenance</w:t>
            </w:r>
          </w:p>
        </w:tc>
        <w:tc>
          <w:tcPr>
            <w:tcW w:type="dxa" w:w="2376"/>
            <w:vAlign w:val="center"/>
            <w:tcMar>
              <w:top w:w="80" w:type="dxa"/>
              <w:left w:w="100" w:type="dxa"/>
              <w:bottom w:w="80" w:type="dxa"/>
              <w:right w:w="100" w:type="dxa"/>
            </w:tcMar>
            <w:shd w:fill="FFFFFF"/>
          </w:tcPr>
          <w:p>
            <w:pPr>
              <w:spacing w:after="0" w:line="245" w:lineRule="auto"/>
            </w:pPr>
            <w:r>
              <w:rPr>
                <w:sz w:val="20"/>
              </w:rPr>
              <w:t>Knowledge Engineer</w:t>
            </w:r>
          </w:p>
        </w:tc>
        <w:tc>
          <w:tcPr>
            <w:tcW w:type="dxa" w:w="3672"/>
            <w:vAlign w:val="center"/>
            <w:tcMar>
              <w:top w:w="80" w:type="dxa"/>
              <w:left w:w="100" w:type="dxa"/>
              <w:bottom w:w="80" w:type="dxa"/>
              <w:right w:w="100" w:type="dxa"/>
            </w:tcMar>
            <w:shd w:fill="FFFFFF"/>
          </w:tcPr>
          <w:p>
            <w:pPr>
              <w:spacing w:after="0" w:line="245" w:lineRule="auto"/>
            </w:pPr>
            <w:r>
              <w:rPr>
                <w:sz w:val="20"/>
              </w:rPr>
              <w:t>Before ingestion/release and monthly; unresolved rights block use.</w:t>
            </w:r>
          </w:p>
        </w:tc>
      </w:tr>
      <w:tr>
        <w:trPr>
          <w:cantSplit/>
        </w:trPr>
        <w:tc>
          <w:tcPr>
            <w:tcW w:type="dxa" w:w="4320"/>
            <w:vAlign w:val="center"/>
            <w:tcMar>
              <w:top w:w="80" w:type="dxa"/>
              <w:left w:w="100" w:type="dxa"/>
              <w:bottom w:w="80" w:type="dxa"/>
              <w:right w:w="100" w:type="dxa"/>
            </w:tcMar>
            <w:shd w:fill="F2F4F5"/>
          </w:tcPr>
          <w:p>
            <w:pPr>
              <w:spacing w:after="0" w:line="245" w:lineRule="auto"/>
            </w:pPr>
            <w:r>
              <w:rPr>
                <w:sz w:val="20"/>
              </w:rPr>
              <w:t>Training completion, outcomes and instructor capacity</w:t>
            </w:r>
          </w:p>
        </w:tc>
        <w:tc>
          <w:tcPr>
            <w:tcW w:type="dxa" w:w="2376"/>
            <w:vAlign w:val="center"/>
            <w:tcMar>
              <w:top w:w="80" w:type="dxa"/>
              <w:left w:w="100" w:type="dxa"/>
              <w:bottom w:w="80" w:type="dxa"/>
              <w:right w:w="100" w:type="dxa"/>
            </w:tcMar>
            <w:shd w:fill="F2F4F5"/>
          </w:tcPr>
          <w:p>
            <w:pPr>
              <w:spacing w:after="0" w:line="245" w:lineRule="auto"/>
            </w:pPr>
            <w:r>
              <w:rPr>
                <w:sz w:val="20"/>
              </w:rPr>
              <w:t>Technical Director at launch; Head of Academy after appointment</w:t>
            </w:r>
          </w:p>
        </w:tc>
        <w:tc>
          <w:tcPr>
            <w:tcW w:type="dxa" w:w="3672"/>
            <w:vAlign w:val="center"/>
            <w:tcMar>
              <w:top w:w="80" w:type="dxa"/>
              <w:left w:w="100" w:type="dxa"/>
              <w:bottom w:w="80" w:type="dxa"/>
              <w:right w:w="100" w:type="dxa"/>
            </w:tcMar>
            <w:shd w:fill="F2F4F5"/>
          </w:tcPr>
          <w:p>
            <w:pPr>
              <w:spacing w:after="0" w:line="245" w:lineRule="auto"/>
            </w:pPr>
            <w:r>
              <w:rPr>
                <w:sz w:val="20"/>
              </w:rPr>
              <w:t>Each program; ownership transfers on appointment.</w:t>
            </w:r>
          </w:p>
        </w:tc>
      </w:tr>
      <w:tr>
        <w:trPr>
          <w:cantSplit/>
        </w:trPr>
        <w:tc>
          <w:tcPr>
            <w:tcW w:type="dxa" w:w="4320"/>
            <w:vAlign w:val="center"/>
            <w:tcMar>
              <w:top w:w="80" w:type="dxa"/>
              <w:left w:w="100" w:type="dxa"/>
              <w:bottom w:w="80" w:type="dxa"/>
              <w:right w:w="100" w:type="dxa"/>
            </w:tcMar>
            <w:shd w:fill="FFFFFF"/>
          </w:tcPr>
          <w:p>
            <w:pPr>
              <w:spacing w:after="0" w:line="245" w:lineRule="auto"/>
            </w:pPr>
            <w:r>
              <w:rPr>
                <w:sz w:val="20"/>
              </w:rPr>
              <w:t>Security exceptions and incident response</w:t>
            </w:r>
          </w:p>
        </w:tc>
        <w:tc>
          <w:tcPr>
            <w:tcW w:type="dxa" w:w="2376"/>
            <w:vAlign w:val="center"/>
            <w:tcMar>
              <w:top w:w="80" w:type="dxa"/>
              <w:left w:w="100" w:type="dxa"/>
              <w:bottom w:w="80" w:type="dxa"/>
              <w:right w:w="100" w:type="dxa"/>
            </w:tcMar>
            <w:shd w:fill="FFFFFF"/>
          </w:tcPr>
          <w:p>
            <w:pPr>
              <w:spacing w:after="0" w:line="245" w:lineRule="auto"/>
            </w:pPr>
            <w:r>
              <w:rPr>
                <w:sz w:val="20"/>
              </w:rPr>
              <w:t>Designated parent IT security lead</w:t>
            </w:r>
          </w:p>
        </w:tc>
        <w:tc>
          <w:tcPr>
            <w:tcW w:type="dxa" w:w="3672"/>
            <w:vAlign w:val="center"/>
            <w:tcMar>
              <w:top w:w="80" w:type="dxa"/>
              <w:left w:w="100" w:type="dxa"/>
              <w:bottom w:w="80" w:type="dxa"/>
              <w:right w:w="100" w:type="dxa"/>
            </w:tcMar>
            <w:shd w:fill="FFFFFF"/>
          </w:tcPr>
          <w:p>
            <w:pPr>
              <w:spacing w:after="0" w:line="245" w:lineRule="auto"/>
            </w:pPr>
            <w:r>
              <w:rPr>
                <w:sz w:val="20"/>
              </w:rPr>
              <w:t>At release, after incidents and through service review.</w:t>
            </w:r>
          </w:p>
        </w:tc>
      </w:tr>
    </w:tbl>
    <w:p>
      <w:pPr>
        <w:spacing w:after="20" w:line="40" w:lineRule="exact"/>
      </w:pPr>
      <w:r>
        <w:rPr>
          <w:sz w:val="4"/>
        </w:rPr>
      </w:r>
    </w:p>
    <w:p>
      <w:r>
        <w:t>Set commercial and operating targets after baseline discovery and pilot scope agreement. From first use, every deployed source needs recorded permissions and every release needs required acceptance. Unresolved critical technical or security findings block release. Passing a finite evaluation does not establish universal safety or coverage.</w:t>
      </w:r>
    </w:p>
    <w:p>
      <w:pPr>
        <w:pStyle w:val="Heading2"/>
      </w:pPr>
      <w:r>
        <w:t>First ninety days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712"/>
      </w:tblGrid>
      <w:tr>
        <w:trPr>
          <w:cantSplit/>
          <w:tblHeader/>
        </w:trPr>
        <w:tc>
          <w:tcPr>
            <w:tcW w:type="dxa" w:w="1656"/>
            <w:vAlign w:val="center"/>
            <w:tcMar>
              <w:top w:w="80" w:type="dxa"/>
              <w:left w:w="100" w:type="dxa"/>
              <w:bottom w:w="80" w:type="dxa"/>
              <w:right w:w="100" w:type="dxa"/>
            </w:tcMar>
            <w:shd w:fill="18364D"/>
          </w:tcPr>
          <w:p>
            <w:pPr>
              <w:spacing w:after="0" w:line="245" w:lineRule="auto"/>
            </w:pPr>
            <w:r>
              <w:rPr>
                <w:b/>
                <w:color w:val="FFFFFF"/>
                <w:sz w:val="21"/>
              </w:rPr>
              <w:t>Period</w:t>
            </w:r>
          </w:p>
        </w:tc>
        <w:tc>
          <w:tcPr>
            <w:tcW w:type="dxa" w:w="8712"/>
            <w:vAlign w:val="center"/>
            <w:tcMar>
              <w:top w:w="80" w:type="dxa"/>
              <w:left w:w="100" w:type="dxa"/>
              <w:bottom w:w="80" w:type="dxa"/>
              <w:right w:w="100" w:type="dxa"/>
            </w:tcMar>
            <w:shd w:fill="18364D"/>
          </w:tcPr>
          <w:p>
            <w:pPr>
              <w:spacing w:after="0" w:line="245" w:lineRule="auto"/>
            </w:pPr>
            <w:r>
              <w:rPr>
                <w:b/>
                <w:color w:val="FFFFFF"/>
                <w:sz w:val="21"/>
              </w:rPr>
              <w:t>Implementation priority</w:t>
            </w:r>
          </w:p>
        </w:tc>
      </w:tr>
      <w:tr>
        <w:trPr>
          <w:cantSplit/>
        </w:trPr>
        <w:tc>
          <w:tcPr>
            <w:tcW w:type="dxa" w:w="1656"/>
            <w:vAlign w:val="center"/>
            <w:tcMar>
              <w:top w:w="80" w:type="dxa"/>
              <w:left w:w="100" w:type="dxa"/>
              <w:bottom w:w="80" w:type="dxa"/>
              <w:right w:w="100" w:type="dxa"/>
            </w:tcMar>
            <w:shd w:fill="F2F4F5"/>
          </w:tcPr>
          <w:p>
            <w:pPr>
              <w:spacing w:after="0" w:line="245" w:lineRule="auto"/>
            </w:pPr>
            <w:r>
              <w:rPr>
                <w:sz w:val="21"/>
              </w:rPr>
              <w:t>Days 1 to 15</w:t>
            </w:r>
          </w:p>
        </w:tc>
        <w:tc>
          <w:tcPr>
            <w:tcW w:type="dxa" w:w="8712"/>
            <w:vAlign w:val="center"/>
            <w:tcMar>
              <w:top w:w="80" w:type="dxa"/>
              <w:left w:w="100" w:type="dxa"/>
              <w:bottom w:w="80" w:type="dxa"/>
              <w:right w:w="100" w:type="dxa"/>
            </w:tcMar>
            <w:shd w:fill="F2F4F5"/>
          </w:tcPr>
          <w:p>
            <w:pPr>
              <w:spacing w:after="0" w:line="245" w:lineRule="auto"/>
            </w:pPr>
            <w:r>
              <w:rPr>
                <w:sz w:val="21"/>
              </w:rPr>
              <w:t>Managing Director secures delegated authority and a costed staffing plan. Technical Director confirms expert scope and rights route. Commercial Director qualifies paid pilot demand.</w:t>
            </w:r>
          </w:p>
        </w:tc>
      </w:tr>
      <w:tr>
        <w:trPr>
          <w:cantSplit/>
        </w:trPr>
        <w:tc>
          <w:tcPr>
            <w:tcW w:type="dxa" w:w="1656"/>
            <w:vAlign w:val="center"/>
            <w:tcMar>
              <w:top w:w="80" w:type="dxa"/>
              <w:left w:w="100" w:type="dxa"/>
              <w:bottom w:w="80" w:type="dxa"/>
              <w:right w:w="100" w:type="dxa"/>
            </w:tcMar>
            <w:shd w:fill="FFFFFF"/>
          </w:tcPr>
          <w:p>
            <w:pPr>
              <w:spacing w:after="0" w:line="245" w:lineRule="auto"/>
            </w:pPr>
            <w:r>
              <w:rPr>
                <w:sz w:val="21"/>
              </w:rPr>
              <w:t>Days 16 to 40</w:t>
            </w:r>
          </w:p>
        </w:tc>
        <w:tc>
          <w:tcPr>
            <w:tcW w:type="dxa" w:w="8712"/>
            <w:vAlign w:val="center"/>
            <w:tcMar>
              <w:top w:w="80" w:type="dxa"/>
              <w:left w:w="100" w:type="dxa"/>
              <w:bottom w:w="80" w:type="dxa"/>
              <w:right w:w="100" w:type="dxa"/>
            </w:tcMar>
            <w:shd w:fill="FFFFFF"/>
          </w:tcPr>
          <w:p>
            <w:pPr>
              <w:spacing w:after="0" w:line="245" w:lineRule="auto"/>
            </w:pPr>
            <w:r>
              <w:rPr>
                <w:sz w:val="21"/>
              </w:rPr>
              <w:t>Knowledge Engineer and experts capture permitted cases. Product leadership builds a bounded workflow. Delivery owner agrees baseline, acceptance criteria and reviewers.</w:t>
            </w:r>
          </w:p>
        </w:tc>
      </w:tr>
      <w:tr>
        <w:trPr>
          <w:cantSplit/>
        </w:trPr>
        <w:tc>
          <w:tcPr>
            <w:tcW w:type="dxa" w:w="1656"/>
            <w:vAlign w:val="center"/>
            <w:tcMar>
              <w:top w:w="80" w:type="dxa"/>
              <w:left w:w="100" w:type="dxa"/>
              <w:bottom w:w="80" w:type="dxa"/>
              <w:right w:w="100" w:type="dxa"/>
            </w:tcMar>
            <w:shd w:fill="F2F4F5"/>
          </w:tcPr>
          <w:p>
            <w:pPr>
              <w:spacing w:after="0" w:line="245" w:lineRule="auto"/>
            </w:pPr>
            <w:r>
              <w:rPr>
                <w:sz w:val="21"/>
              </w:rPr>
              <w:t>Days 41 to 65</w:t>
            </w:r>
          </w:p>
        </w:tc>
        <w:tc>
          <w:tcPr>
            <w:tcW w:type="dxa" w:w="8712"/>
            <w:vAlign w:val="center"/>
            <w:tcMar>
              <w:top w:w="80" w:type="dxa"/>
              <w:left w:w="100" w:type="dxa"/>
              <w:bottom w:w="80" w:type="dxa"/>
              <w:right w:w="100" w:type="dxa"/>
            </w:tcMar>
            <w:shd w:fill="F2F4F5"/>
          </w:tcPr>
          <w:p>
            <w:pPr>
              <w:spacing w:after="0" w:line="245" w:lineRule="auto"/>
            </w:pPr>
            <w:r>
              <w:rPr>
                <w:sz w:val="21"/>
              </w:rPr>
              <w:t>Technical Director commissions independent evaluation on reserved cases. Product leadership fixes failures and completes security acceptance before deployment.</w:t>
            </w:r>
          </w:p>
        </w:tc>
      </w:tr>
      <w:tr>
        <w:trPr>
          <w:cantSplit/>
        </w:trPr>
        <w:tc>
          <w:tcPr>
            <w:tcW w:type="dxa" w:w="1656"/>
            <w:vAlign w:val="center"/>
            <w:tcMar>
              <w:top w:w="80" w:type="dxa"/>
              <w:left w:w="100" w:type="dxa"/>
              <w:bottom w:w="80" w:type="dxa"/>
              <w:right w:w="100" w:type="dxa"/>
            </w:tcMar>
            <w:shd w:fill="FFFFFF"/>
          </w:tcPr>
          <w:p>
            <w:pPr>
              <w:spacing w:after="0" w:line="245" w:lineRule="auto"/>
            </w:pPr>
            <w:r>
              <w:rPr>
                <w:sz w:val="21"/>
              </w:rPr>
              <w:t>Days 66 to 90</w:t>
            </w:r>
          </w:p>
        </w:tc>
        <w:tc>
          <w:tcPr>
            <w:tcW w:type="dxa" w:w="8712"/>
            <w:vAlign w:val="center"/>
            <w:tcMar>
              <w:top w:w="80" w:type="dxa"/>
              <w:left w:w="100" w:type="dxa"/>
              <w:bottom w:w="80" w:type="dxa"/>
              <w:right w:w="100" w:type="dxa"/>
            </w:tcMar>
            <w:shd w:fill="FFFFFF"/>
          </w:tcPr>
          <w:p>
            <w:pPr>
              <w:spacing w:after="0" w:line="245" w:lineRule="auto"/>
            </w:pPr>
            <w:r>
              <w:rPr>
                <w:sz w:val="21"/>
              </w:rPr>
              <w:t>Delivery owner runs the limited pilot. Commercial Director develops the renewal case. Managing Director presents results, costs and the next funding recommendation.</w:t>
            </w:r>
          </w:p>
        </w:tc>
      </w:tr>
    </w:tbl>
    <w:p>
      <w:pPr>
        <w:spacing w:after="20" w:line="40" w:lineRule="exact"/>
      </w:pPr>
      <w:r>
        <w:rPr>
          <w:sz w:val="4"/>
        </w:rPr>
      </w:r>
    </w:p>
    <w:p>
      <w:r>
        <w:t>Timing depends on experts, procurement and data permissions. Legal implementation resolves jurisdiction, final legal form and required service authorizations. Hiring, expert contracts and capital commitments follow the applicable approvals. Candidate names and planning assumptions are not executed appointments or funding.</w:t>
      </w:r>
    </w:p>
    <w:sectPr w:rsidR="00FC693F" w:rsidRPr="0006063C" w:rsidSect="00034616">
      <w:footerReference w:type="default" r:id="rId9"/>
      <w:pgSz w:w="12240" w:h="15840"/>
      <w:pgMar w:top="893" w:right="936" w:bottom="835"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Broadbridge Oil &amp; Gas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b w:val="0"/>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Calibri" w:hAnsi="Calibri"/>
      <w:b w:val="0"/>
      <w:i/>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Broadbridge Oil &amp; Gas Business and operating structure</dc:title>
  <dc:subject/>
  <dc:creator>Broadbridge4096</dc:creator>
  <cp:keywords/>
  <dc:description>generated by python-docx</dc:description>
  <cp:lastModifiedBy/>
  <cp:revision>1</cp:revision>
  <dcterms:created xsi:type="dcterms:W3CDTF">2013-12-23T23:15:00Z</dcterms:created>
  <dcterms:modified xsi:type="dcterms:W3CDTF">2013-12-23T23:15:00Z</dcterms:modified>
  <cp:category/>
</cp:coreProperties>
</file>