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Expert knowledge capture for Broadbridge</w:t>
      </w:r>
    </w:p>
    <w:p>
      <w:pPr>
        <w:pStyle w:val="Subtitle"/>
      </w:pPr>
      <w:r>
        <w:t>Information sets interview guide and reusable capture templates</w:t>
      </w:r>
    </w:p>
    <w:p>
      <w:r>
        <w:rPr>
          <w:sz w:val="18"/>
        </w:rPr>
        <w:t>Broadbridge Oil &amp; Gas  |  Broadbridge4096 subsidiary  |  23 September 2026</w:t>
      </w:r>
    </w:p>
    <w:p>
      <w:pPr>
        <w:pStyle w:val="Heading1"/>
      </w:pPr>
      <w:r>
        <w:t>1 Information sets to request from every expert</w:t>
      </w:r>
    </w:p>
    <w:p>
      <w:r>
        <w:t>Capture a reusable record of expert judgment supported by evidence. Books and interviews supply context; the highest-value material explains how an expert distinguishes plausible causes, recognizes bad data and decides when an answer is unsupported. Begin with distillation and vacuum systems, with supporting equipment knowledge.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272"/>
      </w:tblGrid>
      <w:tr>
        <w:trPr>
          <w:cantSplit/>
          <w:tblHeader/>
        </w:trPr>
        <w:tc>
          <w:tcPr>
            <w:tcW w:type="dxa" w:w="3096"/>
            <w:vAlign w:val="center"/>
            <w:tcMar>
              <w:top w:w="80" w:type="dxa"/>
              <w:left w:w="100" w:type="dxa"/>
              <w:bottom w:w="80" w:type="dxa"/>
              <w:right w:w="100" w:type="dxa"/>
            </w:tcMar>
            <w:shd w:fill="18364D"/>
          </w:tcPr>
          <w:p>
            <w:pPr>
              <w:spacing w:after="0" w:line="245" w:lineRule="auto"/>
            </w:pPr>
            <w:r>
              <w:rPr>
                <w:b/>
                <w:color w:val="FFFFFF"/>
                <w:sz w:val="21"/>
              </w:rPr>
              <w:t>Information set</w:t>
            </w:r>
          </w:p>
        </w:tc>
        <w:tc>
          <w:tcPr>
            <w:tcW w:type="dxa" w:w="7272"/>
            <w:vAlign w:val="center"/>
            <w:tcMar>
              <w:top w:w="80" w:type="dxa"/>
              <w:left w:w="100" w:type="dxa"/>
              <w:bottom w:w="80" w:type="dxa"/>
              <w:right w:w="100" w:type="dxa"/>
            </w:tcMar>
            <w:shd w:fill="18364D"/>
          </w:tcPr>
          <w:p>
            <w:pPr>
              <w:spacing w:after="0" w:line="245" w:lineRule="auto"/>
            </w:pPr>
            <w:r>
              <w:rPr>
                <w:b/>
                <w:color w:val="FFFFFF"/>
                <w:sz w:val="21"/>
              </w:rPr>
              <w:t>Information to include</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01 Expertise and scope</w:t>
            </w:r>
          </w:p>
        </w:tc>
        <w:tc>
          <w:tcPr>
            <w:tcW w:type="dxa" w:w="7272"/>
            <w:vAlign w:val="center"/>
            <w:tcMar>
              <w:top w:w="80" w:type="dxa"/>
              <w:left w:w="100" w:type="dxa"/>
              <w:bottom w:w="80" w:type="dxa"/>
              <w:right w:w="100" w:type="dxa"/>
            </w:tcMar>
            <w:shd w:fill="F2F4F5"/>
          </w:tcPr>
          <w:p>
            <w:pPr>
              <w:spacing w:after="0" w:line="245" w:lineRule="auto"/>
            </w:pPr>
            <w:r>
              <w:rPr>
                <w:sz w:val="21"/>
              </w:rPr>
              <w:t>Units, equipment, operating regimes, experience basis, terminology, confidence and subjects outside the expert’s competence.</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02 Complete incident cases</w:t>
            </w:r>
          </w:p>
        </w:tc>
        <w:tc>
          <w:tcPr>
            <w:tcW w:type="dxa" w:w="7272"/>
            <w:vAlign w:val="center"/>
            <w:tcMar>
              <w:top w:w="80" w:type="dxa"/>
              <w:left w:w="100" w:type="dxa"/>
              <w:bottom w:w="80" w:type="dxa"/>
              <w:right w:w="100" w:type="dxa"/>
            </w:tcMar>
            <w:shd w:fill="FFFFFF"/>
          </w:tcPr>
          <w:p>
            <w:pPr>
              <w:spacing w:after="0" w:line="245" w:lineRule="auto"/>
            </w:pPr>
            <w:r>
              <w:rPr>
                <w:sz w:val="21"/>
              </w:rPr>
              <w:t>Initial problem, plant context, timeline, evidence, diagnosis, approved response, outcome and what remains uncertain.</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03 Diagnostic distinctions</w:t>
            </w:r>
          </w:p>
        </w:tc>
        <w:tc>
          <w:tcPr>
            <w:tcW w:type="dxa" w:w="7272"/>
            <w:vAlign w:val="center"/>
            <w:tcMar>
              <w:top w:w="80" w:type="dxa"/>
              <w:left w:w="100" w:type="dxa"/>
              <w:bottom w:w="80" w:type="dxa"/>
              <w:right w:w="100" w:type="dxa"/>
            </w:tcMar>
            <w:shd w:fill="F2F4F5"/>
          </w:tcPr>
          <w:p>
            <w:pPr>
              <w:spacing w:after="0" w:line="245" w:lineRule="auto"/>
            </w:pPr>
            <w:r>
              <w:rPr>
                <w:sz w:val="21"/>
              </w:rPr>
              <w:t>Competing explanations, discriminating observations, missing-data questions and evidence that would change the diagnosis.</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04 Measurement interpretation</w:t>
            </w:r>
          </w:p>
        </w:tc>
        <w:tc>
          <w:tcPr>
            <w:tcW w:type="dxa" w:w="7272"/>
            <w:vAlign w:val="center"/>
            <w:tcMar>
              <w:top w:w="80" w:type="dxa"/>
              <w:left w:w="100" w:type="dxa"/>
              <w:bottom w:w="80" w:type="dxa"/>
              <w:right w:w="100" w:type="dxa"/>
            </w:tcMar>
            <w:shd w:fill="FFFFFF"/>
          </w:tcPr>
          <w:p>
            <w:pPr>
              <w:spacing w:after="0" w:line="245" w:lineRule="auto"/>
            </w:pPr>
            <w:r>
              <w:rPr>
                <w:sz w:val="21"/>
              </w:rPr>
              <w:t>Instrument location, units, gauge/absolute basis, sampling time, calibration, noise, lag and misleading readings.</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05 Rules of thumb and exceptions</w:t>
            </w:r>
          </w:p>
        </w:tc>
        <w:tc>
          <w:tcPr>
            <w:tcW w:type="dxa" w:w="7272"/>
            <w:vAlign w:val="center"/>
            <w:tcMar>
              <w:top w:w="80" w:type="dxa"/>
              <w:left w:w="100" w:type="dxa"/>
              <w:bottom w:w="80" w:type="dxa"/>
              <w:right w:w="100" w:type="dxa"/>
            </w:tcMar>
            <w:shd w:fill="F2F4F5"/>
          </w:tcPr>
          <w:p>
            <w:pPr>
              <w:spacing w:after="0" w:line="245" w:lineRule="auto"/>
            </w:pPr>
            <w:r>
              <w:rPr>
                <w:sz w:val="21"/>
              </w:rPr>
              <w:t>Exact rule, rationale, valid range, assumptions, confidence, counterexample and conditions where it must not be used.</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06 Calculations and engineering checks</w:t>
            </w:r>
          </w:p>
        </w:tc>
        <w:tc>
          <w:tcPr>
            <w:tcW w:type="dxa" w:w="7272"/>
            <w:vAlign w:val="center"/>
            <w:tcMar>
              <w:top w:w="80" w:type="dxa"/>
              <w:left w:w="100" w:type="dxa"/>
              <w:bottom w:w="80" w:type="dxa"/>
              <w:right w:w="100" w:type="dxa"/>
            </w:tcMar>
            <w:shd w:fill="FFFFFF"/>
          </w:tcPr>
          <w:p>
            <w:pPr>
              <w:spacing w:after="0" w:line="245" w:lineRule="auto"/>
            </w:pPr>
            <w:r>
              <w:rPr>
                <w:sz w:val="21"/>
              </w:rPr>
              <w:t>Equations, definitions, units, property methods, assumptions, worked examples, uncertainty and independent checks.</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07 Failure mechanisms and interactions</w:t>
            </w:r>
          </w:p>
        </w:tc>
        <w:tc>
          <w:tcPr>
            <w:tcW w:type="dxa" w:w="7272"/>
            <w:vAlign w:val="center"/>
            <w:tcMar>
              <w:top w:w="80" w:type="dxa"/>
              <w:left w:w="100" w:type="dxa"/>
              <w:bottom w:w="80" w:type="dxa"/>
              <w:right w:w="100" w:type="dxa"/>
            </w:tcMar>
            <w:shd w:fill="F2F4F5"/>
          </w:tcPr>
          <w:p>
            <w:pPr>
              <w:spacing w:after="0" w:line="245" w:lineRule="auto"/>
            </w:pPr>
            <w:r>
              <w:rPr>
                <w:sz w:val="21"/>
              </w:rPr>
              <w:t>Cause-and-effect relationships, equipment dependencies, combinations of faults and how one symptom can have different causes.</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08 Operating boundaries and escalation</w:t>
            </w:r>
          </w:p>
        </w:tc>
        <w:tc>
          <w:tcPr>
            <w:tcW w:type="dxa" w:w="7272"/>
            <w:vAlign w:val="center"/>
            <w:tcMar>
              <w:top w:w="80" w:type="dxa"/>
              <w:left w:w="100" w:type="dxa"/>
              <w:bottom w:w="80" w:type="dxa"/>
              <w:right w:w="100" w:type="dxa"/>
            </w:tcMar>
            <w:shd w:fill="FFFFFF"/>
          </w:tcPr>
          <w:p>
            <w:pPr>
              <w:spacing w:after="0" w:line="245" w:lineRule="auto"/>
            </w:pPr>
            <w:r>
              <w:rPr>
                <w:sz w:val="21"/>
              </w:rPr>
              <w:t>Regime and equipment limits, evidence of approaching a boundary, required specialist review and site authorization references.</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09 Interventions and verified outcomes</w:t>
            </w:r>
          </w:p>
        </w:tc>
        <w:tc>
          <w:tcPr>
            <w:tcW w:type="dxa" w:w="7272"/>
            <w:vAlign w:val="center"/>
            <w:tcMar>
              <w:top w:w="80" w:type="dxa"/>
              <w:left w:w="100" w:type="dxa"/>
              <w:bottom w:w="80" w:type="dxa"/>
              <w:right w:w="100" w:type="dxa"/>
            </w:tcMar>
            <w:shd w:fill="F2F4F5"/>
          </w:tcPr>
          <w:p>
            <w:pPr>
              <w:spacing w:after="0" w:line="245" w:lineRule="auto"/>
            </w:pPr>
            <w:r>
              <w:rPr>
                <w:sz w:val="21"/>
              </w:rPr>
              <w:t>What was attempted, what failed, what changed, side effects, follow-up, recurrence and measured versus estimated value.</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10 Annotated technical evidence</w:t>
            </w:r>
          </w:p>
        </w:tc>
        <w:tc>
          <w:tcPr>
            <w:tcW w:type="dxa" w:w="7272"/>
            <w:vAlign w:val="center"/>
            <w:tcMar>
              <w:top w:w="80" w:type="dxa"/>
              <w:left w:w="100" w:type="dxa"/>
              <w:bottom w:w="80" w:type="dxa"/>
              <w:right w:w="100" w:type="dxa"/>
            </w:tcMar>
            <w:shd w:fill="FFFFFF"/>
          </w:tcPr>
          <w:p>
            <w:pPr>
              <w:spacing w:after="0" w:line="245" w:lineRule="auto"/>
            </w:pPr>
            <w:r>
              <w:rPr>
                <w:sz w:val="21"/>
              </w:rPr>
              <w:t>Cleared sketches, trends, photos, scans, curves and inspection records, each linked to the observation it supports.</w:t>
            </w:r>
          </w:p>
        </w:tc>
      </w:tr>
      <w:tr>
        <w:trPr>
          <w:cantSplit/>
        </w:trPr>
        <w:tc>
          <w:tcPr>
            <w:tcW w:type="dxa" w:w="3096"/>
            <w:vAlign w:val="center"/>
            <w:tcMar>
              <w:top w:w="80" w:type="dxa"/>
              <w:left w:w="100" w:type="dxa"/>
              <w:bottom w:w="80" w:type="dxa"/>
              <w:right w:w="100" w:type="dxa"/>
            </w:tcMar>
            <w:shd w:fill="F2F4F5"/>
          </w:tcPr>
          <w:p>
            <w:pPr>
              <w:spacing w:after="0" w:line="245" w:lineRule="auto"/>
            </w:pPr>
            <w:r>
              <w:rPr>
                <w:sz w:val="21"/>
              </w:rPr>
              <w:t>11 Teaching and evaluation material</w:t>
            </w:r>
          </w:p>
        </w:tc>
        <w:tc>
          <w:tcPr>
            <w:tcW w:type="dxa" w:w="7272"/>
            <w:vAlign w:val="center"/>
            <w:tcMar>
              <w:top w:w="80" w:type="dxa"/>
              <w:left w:w="100" w:type="dxa"/>
              <w:bottom w:w="80" w:type="dxa"/>
              <w:right w:w="100" w:type="dxa"/>
            </w:tcMar>
            <w:shd w:fill="F2F4F5"/>
          </w:tcPr>
          <w:p>
            <w:pPr>
              <w:spacing w:after="0" w:line="245" w:lineRule="auto"/>
            </w:pPr>
            <w:r>
              <w:rPr>
                <w:sz w:val="21"/>
              </w:rPr>
              <w:t>Common misconceptions, novice errors, paired good/bad answers, realistic exercises, counterexamples and scoring rubrics.</w:t>
            </w:r>
          </w:p>
        </w:tc>
      </w:tr>
      <w:tr>
        <w:trPr>
          <w:cantSplit/>
        </w:trPr>
        <w:tc>
          <w:tcPr>
            <w:tcW w:type="dxa" w:w="3096"/>
            <w:vAlign w:val="center"/>
            <w:tcMar>
              <w:top w:w="80" w:type="dxa"/>
              <w:left w:w="100" w:type="dxa"/>
              <w:bottom w:w="80" w:type="dxa"/>
              <w:right w:w="100" w:type="dxa"/>
            </w:tcMar>
            <w:shd w:fill="FFFFFF"/>
          </w:tcPr>
          <w:p>
            <w:pPr>
              <w:spacing w:after="0" w:line="245" w:lineRule="auto"/>
            </w:pPr>
            <w:r>
              <w:rPr>
                <w:sz w:val="21"/>
              </w:rPr>
              <w:t>12 Provenance permissions and revisions</w:t>
            </w:r>
          </w:p>
        </w:tc>
        <w:tc>
          <w:tcPr>
            <w:tcW w:type="dxa" w:w="7272"/>
            <w:vAlign w:val="center"/>
            <w:tcMar>
              <w:top w:w="80" w:type="dxa"/>
              <w:left w:w="100" w:type="dxa"/>
              <w:bottom w:w="80" w:type="dxa"/>
              <w:right w:w="100" w:type="dxa"/>
            </w:tcMar>
            <w:shd w:fill="FFFFFF"/>
          </w:tcPr>
          <w:p>
            <w:pPr>
              <w:spacing w:after="0" w:line="245" w:lineRule="auto"/>
            </w:pPr>
            <w:r>
              <w:rPr>
                <w:sz w:val="21"/>
              </w:rPr>
              <w:t>Source, author, rights holder, permitted use, confidentiality, reviewer, disputed claims, revision date and affected records.</w:t>
            </w:r>
          </w:p>
        </w:tc>
      </w:tr>
    </w:tbl>
    <w:p>
      <w:pPr>
        <w:spacing w:after="20" w:line="40" w:lineRule="exact"/>
      </w:pPr>
      <w:r>
        <w:rPr>
          <w:sz w:val="4"/>
        </w:rPr>
      </w:r>
    </w:p>
    <w:p>
      <w:r>
        <w:t>Use these as a coverage checklist, not a requirement that every expert know every topic. Require context, evidence, diagnostic alternatives, outcome status, applicability limits and provenance for each case. Use explicit unknowns when records are incomplete. Norman Lieberman and any other named experts remain candidates; no participation or content permission is assumed.</w:t>
      </w:r>
    </w:p>
    <w:p>
      <w:r>
        <w:br w:type="page"/>
      </w:r>
    </w:p>
    <w:p>
      <w:pPr>
        <w:pStyle w:val="Heading1"/>
      </w:pPr>
      <w:r>
        <w:t>2 Proposed first information package from Norm</w:t>
      </w:r>
    </w:p>
    <w:p>
      <w:r>
        <w:t>Norm’s consultancy describes refinery troubleshooting and particular experience in distillation and vacuum operations. That published scope supports the agenda below. The prompts are Broadbridge’s proposed questions, not statements of Norm’s views or claims that he has supplied these cases.</w:t>
      </w:r>
    </w:p>
    <w:p>
      <w:hyperlink r:id="rId10">
        <w:r>
          <w:rPr>
            <w:color w:val="18364D"/>
          </w:rPr>
          <w:t>Scope reference  Process Improvement Engineering</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392"/>
        <w:gridCol w:w="3672"/>
      </w:tblGrid>
      <w:tr>
        <w:trPr>
          <w:cantSplit/>
          <w:tblHeader/>
        </w:trPr>
        <w:tc>
          <w:tcPr>
            <w:tcW w:type="dxa" w:w="2304"/>
            <w:vAlign w:val="center"/>
            <w:tcMar>
              <w:top w:w="80" w:type="dxa"/>
              <w:left w:w="100" w:type="dxa"/>
              <w:bottom w:w="80" w:type="dxa"/>
              <w:right w:w="100" w:type="dxa"/>
            </w:tcMar>
            <w:shd w:fill="18364D"/>
          </w:tcPr>
          <w:p>
            <w:pPr>
              <w:spacing w:after="0" w:line="245" w:lineRule="auto"/>
            </w:pPr>
            <w:r>
              <w:rPr>
                <w:b/>
                <w:color w:val="FFFFFF"/>
                <w:sz w:val="21"/>
              </w:rPr>
              <w:t>Priority topic</w:t>
            </w:r>
          </w:p>
        </w:tc>
        <w:tc>
          <w:tcPr>
            <w:tcW w:type="dxa" w:w="4392"/>
            <w:vAlign w:val="center"/>
            <w:tcMar>
              <w:top w:w="80" w:type="dxa"/>
              <w:left w:w="100" w:type="dxa"/>
              <w:bottom w:w="80" w:type="dxa"/>
              <w:right w:w="100" w:type="dxa"/>
            </w:tcMar>
            <w:shd w:fill="18364D"/>
          </w:tcPr>
          <w:p>
            <w:pPr>
              <w:spacing w:after="0" w:line="245" w:lineRule="auto"/>
            </w:pPr>
            <w:r>
              <w:rPr>
                <w:b/>
                <w:color w:val="FFFFFF"/>
                <w:sz w:val="21"/>
              </w:rPr>
              <w:t>Ask the expert to explain</w:t>
            </w:r>
          </w:p>
        </w:tc>
        <w:tc>
          <w:tcPr>
            <w:tcW w:type="dxa" w:w="3672"/>
            <w:vAlign w:val="center"/>
            <w:tcMar>
              <w:top w:w="80" w:type="dxa"/>
              <w:left w:w="100" w:type="dxa"/>
              <w:bottom w:w="80" w:type="dxa"/>
              <w:right w:w="100" w:type="dxa"/>
            </w:tcMar>
            <w:shd w:fill="18364D"/>
          </w:tcPr>
          <w:p>
            <w:pPr>
              <w:spacing w:after="0" w:line="245" w:lineRule="auto"/>
            </w:pPr>
            <w:r>
              <w:rPr>
                <w:b/>
                <w:color w:val="FFFFFF"/>
                <w:sz w:val="21"/>
              </w:rPr>
              <w:t>Request supporting material</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Distillation performance</w:t>
            </w:r>
          </w:p>
        </w:tc>
        <w:tc>
          <w:tcPr>
            <w:tcW w:type="dxa" w:w="4392"/>
            <w:vAlign w:val="center"/>
            <w:tcMar>
              <w:top w:w="80" w:type="dxa"/>
              <w:left w:w="100" w:type="dxa"/>
              <w:bottom w:w="80" w:type="dxa"/>
              <w:right w:w="100" w:type="dxa"/>
            </w:tcMar>
            <w:shd w:fill="F2F4F5"/>
          </w:tcPr>
          <w:p>
            <w:pPr>
              <w:spacing w:after="0" w:line="245" w:lineRule="auto"/>
            </w:pPr>
            <w:r>
              <w:rPr>
                <w:sz w:val="21"/>
              </w:rPr>
              <w:t>How do similar symptoms lead to different diagnoses? What observations separate hydraulic, separation, feed and instrument explanations?</w:t>
            </w:r>
          </w:p>
        </w:tc>
        <w:tc>
          <w:tcPr>
            <w:tcW w:type="dxa" w:w="3672"/>
            <w:vAlign w:val="center"/>
            <w:tcMar>
              <w:top w:w="80" w:type="dxa"/>
              <w:left w:w="100" w:type="dxa"/>
              <w:bottom w:w="80" w:type="dxa"/>
              <w:right w:w="100" w:type="dxa"/>
            </w:tcMar>
            <w:shd w:fill="F2F4F5"/>
          </w:tcPr>
          <w:p>
            <w:pPr>
              <w:spacing w:after="0" w:line="245" w:lineRule="auto"/>
            </w:pPr>
            <w:r>
              <w:rPr>
                <w:sz w:val="21"/>
              </w:rPr>
              <w:t>Contrasting cases, internal sketches, pressure/temperature profiles, sample timing and confirmed findings.</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Vacuum system deterioration</w:t>
            </w:r>
          </w:p>
        </w:tc>
        <w:tc>
          <w:tcPr>
            <w:tcW w:type="dxa" w:w="4392"/>
            <w:vAlign w:val="center"/>
            <w:tcMar>
              <w:top w:w="80" w:type="dxa"/>
              <w:left w:w="100" w:type="dxa"/>
              <w:bottom w:w="80" w:type="dxa"/>
              <w:right w:w="100" w:type="dxa"/>
            </w:tcMar>
            <w:shd w:fill="FFFFFF"/>
          </w:tcPr>
          <w:p>
            <w:pPr>
              <w:spacing w:after="0" w:line="245" w:lineRule="auto"/>
            </w:pPr>
            <w:r>
              <w:rPr>
                <w:sz w:val="21"/>
              </w:rPr>
              <w:t>What evidence distinguishes a load change, condensation limitation, leakage or equipment issue? What measurement could reverse the initial view?</w:t>
            </w:r>
          </w:p>
        </w:tc>
        <w:tc>
          <w:tcPr>
            <w:tcW w:type="dxa" w:w="3672"/>
            <w:vAlign w:val="center"/>
            <w:tcMar>
              <w:top w:w="80" w:type="dxa"/>
              <w:left w:w="100" w:type="dxa"/>
              <w:bottom w:w="80" w:type="dxa"/>
              <w:right w:w="100" w:type="dxa"/>
            </w:tcMar>
            <w:shd w:fill="FFFFFF"/>
          </w:tcPr>
          <w:p>
            <w:pPr>
              <w:spacing w:after="0" w:line="245" w:lineRule="auto"/>
            </w:pPr>
            <w:r>
              <w:rPr>
                <w:sz w:val="21"/>
              </w:rPr>
              <w:t>System sketch, absolute-pressure basis, operating trends, utility conditions and equipment references.</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Heat transfer and steam</w:t>
            </w:r>
          </w:p>
        </w:tc>
        <w:tc>
          <w:tcPr>
            <w:tcW w:type="dxa" w:w="4392"/>
            <w:vAlign w:val="center"/>
            <w:tcMar>
              <w:top w:w="80" w:type="dxa"/>
              <w:left w:w="100" w:type="dxa"/>
              <w:bottom w:w="80" w:type="dxa"/>
              <w:right w:w="100" w:type="dxa"/>
            </w:tcMar>
            <w:shd w:fill="F2F4F5"/>
          </w:tcPr>
          <w:p>
            <w:pPr>
              <w:spacing w:after="0" w:line="245" w:lineRule="auto"/>
            </w:pPr>
            <w:r>
              <w:rPr>
                <w:sz w:val="21"/>
              </w:rPr>
              <w:t>How do you distinguish changes in duty, flow, fouling, phase behavior and utility conditions? Which balance exposes inconsistent data?</w:t>
            </w:r>
          </w:p>
        </w:tc>
        <w:tc>
          <w:tcPr>
            <w:tcW w:type="dxa" w:w="3672"/>
            <w:vAlign w:val="center"/>
            <w:tcMar>
              <w:top w:w="80" w:type="dxa"/>
              <w:left w:w="100" w:type="dxa"/>
              <w:bottom w:w="80" w:type="dxa"/>
              <w:right w:w="100" w:type="dxa"/>
            </w:tcMar>
            <w:shd w:fill="F2F4F5"/>
          </w:tcPr>
          <w:p>
            <w:pPr>
              <w:spacing w:after="0" w:line="245" w:lineRule="auto"/>
            </w:pPr>
            <w:r>
              <w:rPr>
                <w:sz w:val="21"/>
              </w:rPr>
              <w:t>Annotated balances, exchanger/reboiler context, property basis and a checked calculation.</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Pumps and hydraulic context</w:t>
            </w:r>
          </w:p>
        </w:tc>
        <w:tc>
          <w:tcPr>
            <w:tcW w:type="dxa" w:w="4392"/>
            <w:vAlign w:val="center"/>
            <w:tcMar>
              <w:top w:w="80" w:type="dxa"/>
              <w:left w:w="100" w:type="dxa"/>
              <w:bottom w:w="80" w:type="dxa"/>
              <w:right w:w="100" w:type="dxa"/>
            </w:tcMar>
            <w:shd w:fill="FFFFFF"/>
          </w:tcPr>
          <w:p>
            <w:pPr>
              <w:spacing w:after="0" w:line="245" w:lineRule="auto"/>
            </w:pPr>
            <w:r>
              <w:rPr>
                <w:sz w:val="21"/>
              </w:rPr>
              <w:t>How do instrument location, fluid condition and system changes affect interpretation of a pump problem?</w:t>
            </w:r>
          </w:p>
        </w:tc>
        <w:tc>
          <w:tcPr>
            <w:tcW w:type="dxa" w:w="3672"/>
            <w:vAlign w:val="center"/>
            <w:tcMar>
              <w:top w:w="80" w:type="dxa"/>
              <w:left w:w="100" w:type="dxa"/>
              <w:bottom w:w="80" w:type="dxa"/>
              <w:right w:w="100" w:type="dxa"/>
            </w:tcMar>
            <w:shd w:fill="FFFFFF"/>
          </w:tcPr>
          <w:p>
            <w:pPr>
              <w:spacing w:after="0" w:line="245" w:lineRule="auto"/>
            </w:pPr>
            <w:r>
              <w:rPr>
                <w:sz w:val="21"/>
              </w:rPr>
              <w:t>System and pump curves where permitted, fluid conditions, measurement locations and historical findings.</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Controls and operator observations</w:t>
            </w:r>
          </w:p>
        </w:tc>
        <w:tc>
          <w:tcPr>
            <w:tcW w:type="dxa" w:w="4392"/>
            <w:vAlign w:val="center"/>
            <w:tcMar>
              <w:top w:w="80" w:type="dxa"/>
              <w:left w:w="100" w:type="dxa"/>
              <w:bottom w:w="80" w:type="dxa"/>
              <w:right w:w="100" w:type="dxa"/>
            </w:tcMar>
            <w:shd w:fill="F2F4F5"/>
          </w:tcPr>
          <w:p>
            <w:pPr>
              <w:spacing w:after="0" w:line="245" w:lineRule="auto"/>
            </w:pPr>
            <w:r>
              <w:rPr>
                <w:sz w:val="21"/>
              </w:rPr>
              <w:t>When did an apparent equipment problem originate in instrumentation or control behavior? What did experienced operators notice first?</w:t>
            </w:r>
          </w:p>
        </w:tc>
        <w:tc>
          <w:tcPr>
            <w:tcW w:type="dxa" w:w="3672"/>
            <w:vAlign w:val="center"/>
            <w:tcMar>
              <w:top w:w="80" w:type="dxa"/>
              <w:left w:w="100" w:type="dxa"/>
              <w:bottom w:w="80" w:type="dxa"/>
              <w:right w:w="100" w:type="dxa"/>
            </w:tcMar>
            <w:shd w:fill="F2F4F5"/>
          </w:tcPr>
          <w:p>
            <w:pPr>
              <w:spacing w:after="0" w:line="245" w:lineRule="auto"/>
            </w:pPr>
            <w:r>
              <w:rPr>
                <w:sz w:val="21"/>
              </w:rPr>
              <w:t>Time-aligned trends, control modes, operator observations and instrument verification records.</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Troubleshooting and revamp judgment</w:t>
            </w:r>
          </w:p>
        </w:tc>
        <w:tc>
          <w:tcPr>
            <w:tcW w:type="dxa" w:w="4392"/>
            <w:vAlign w:val="center"/>
            <w:tcMar>
              <w:top w:w="80" w:type="dxa"/>
              <w:left w:w="100" w:type="dxa"/>
              <w:bottom w:w="80" w:type="dxa"/>
              <w:right w:w="100" w:type="dxa"/>
            </w:tcMar>
            <w:shd w:fill="FFFFFF"/>
          </w:tcPr>
          <w:p>
            <w:pPr>
              <w:spacing w:after="0" w:line="245" w:lineRule="auto"/>
            </w:pPr>
            <w:r>
              <w:rPr>
                <w:sz w:val="21"/>
              </w:rPr>
              <w:t>Which low-cost diagnosis prevented an unnecessary modification? When did a proposed remedy fail or move the problem elsewhere?</w:t>
            </w:r>
          </w:p>
        </w:tc>
        <w:tc>
          <w:tcPr>
            <w:tcW w:type="dxa" w:w="3672"/>
            <w:vAlign w:val="center"/>
            <w:tcMar>
              <w:top w:w="80" w:type="dxa"/>
              <w:left w:w="100" w:type="dxa"/>
              <w:bottom w:w="80" w:type="dxa"/>
              <w:right w:w="100" w:type="dxa"/>
            </w:tcMar>
            <w:shd w:fill="FFFFFF"/>
          </w:tcPr>
          <w:p>
            <w:pPr>
              <w:spacing w:after="0" w:line="245" w:lineRule="auto"/>
            </w:pPr>
            <w:r>
              <w:rPr>
                <w:sz w:val="21"/>
              </w:rPr>
              <w:t>Options considered, constraints, approved action, before/after evidence and unresolved causal questions.</w:t>
            </w:r>
          </w:p>
        </w:tc>
      </w:tr>
    </w:tbl>
    <w:p>
      <w:pPr>
        <w:spacing w:after="20" w:line="40" w:lineRule="exact"/>
      </w:pPr>
      <w:r>
        <w:rPr>
          <w:sz w:val="4"/>
        </w:rPr>
      </w:r>
    </w:p>
    <w:p>
      <w:pPr>
        <w:pStyle w:val="Heading2"/>
      </w:pPr>
      <w:r>
        <w:t>First collection request</w:t>
      </w:r>
    </w:p>
    <w:p>
      <w:r>
        <w:t>Ask for an inventory of 20–30 case candidates, then select 10–15 for detailed capture as an initial planning target. Include successes, failed first diagnoses, unresolved cases and cases with similar symptoms but different causes. These are acquisition goals, not assumed available records. Prioritize cases with recoverable evidence over memorable stories alone.</w:t>
      </w:r>
    </w:p>
    <w:p>
      <w:r>
        <w:t>Request a bibliography and rights inventory for relevant books, articles, slides and original notes. Starting titles to inventory include Troubleshooting Process Operations, A Working Guide to Process Equipment and Troubleshooting Vacuum Systems. Verify the exact edition, coauthors, publisher and owner before reuse; access to a title is separate from AI-use permission.</w:t>
      </w:r>
    </w:p>
    <w:p>
      <w:hyperlink r:id="rId11">
        <w:r>
          <w:rPr>
            <w:color w:val="18364D"/>
          </w:rPr>
          <w:t>Bibliography and coauthor reference  Process Improvement Engineering personnel</w:t>
        </w:r>
      </w:hyperlink>
    </w:p>
    <w:p>
      <w:r>
        <w:br w:type="page"/>
      </w:r>
    </w:p>
    <w:p>
      <w:pPr>
        <w:pStyle w:val="Heading1"/>
      </w:pPr>
      <w:r>
        <w:t>3 Complementary information from other experts</w:t>
      </w:r>
    </w:p>
    <w:p>
      <w:r>
        <w:t>Build complementary coverage around the launch scope. Ask each specialist for material within demonstrated competence and obtain independent review from someone who did not author the item. A prominent name does not replace evidence or task-specific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5040"/>
        <w:gridCol w:w="2592"/>
      </w:tblGrid>
      <w:tr>
        <w:trPr>
          <w:cantSplit/>
          <w:tblHeader/>
        </w:trPr>
        <w:tc>
          <w:tcPr>
            <w:tcW w:type="dxa" w:w="2736"/>
            <w:vAlign w:val="center"/>
            <w:tcMar>
              <w:top w:w="80" w:type="dxa"/>
              <w:left w:w="100" w:type="dxa"/>
              <w:bottom w:w="80" w:type="dxa"/>
              <w:right w:w="100" w:type="dxa"/>
            </w:tcMar>
            <w:shd w:fill="18364D"/>
          </w:tcPr>
          <w:p>
            <w:pPr>
              <w:spacing w:after="0" w:line="245" w:lineRule="auto"/>
            </w:pPr>
            <w:r>
              <w:rPr>
                <w:b/>
                <w:color w:val="FFFFFF"/>
                <w:sz w:val="20"/>
              </w:rPr>
              <w:t>Expert discipline</w:t>
            </w:r>
          </w:p>
        </w:tc>
        <w:tc>
          <w:tcPr>
            <w:tcW w:type="dxa" w:w="5040"/>
            <w:vAlign w:val="center"/>
            <w:tcMar>
              <w:top w:w="80" w:type="dxa"/>
              <w:left w:w="100" w:type="dxa"/>
              <w:bottom w:w="80" w:type="dxa"/>
              <w:right w:w="100" w:type="dxa"/>
            </w:tcMar>
            <w:shd w:fill="18364D"/>
          </w:tcPr>
          <w:p>
            <w:pPr>
              <w:spacing w:after="0" w:line="245" w:lineRule="auto"/>
            </w:pPr>
            <w:r>
              <w:rPr>
                <w:b/>
                <w:color w:val="FFFFFF"/>
                <w:sz w:val="20"/>
              </w:rPr>
              <w:t>Distinct information to request</w:t>
            </w:r>
          </w:p>
        </w:tc>
        <w:tc>
          <w:tcPr>
            <w:tcW w:type="dxa" w:w="2592"/>
            <w:vAlign w:val="center"/>
            <w:tcMar>
              <w:top w:w="80" w:type="dxa"/>
              <w:left w:w="100" w:type="dxa"/>
              <w:bottom w:w="80" w:type="dxa"/>
              <w:right w:w="100" w:type="dxa"/>
            </w:tcMar>
            <w:shd w:fill="18364D"/>
          </w:tcPr>
          <w:p>
            <w:pPr>
              <w:spacing w:after="0" w:line="245" w:lineRule="auto"/>
            </w:pPr>
            <w:r>
              <w:rPr>
                <w:b/>
                <w:color w:val="FFFFFF"/>
                <w:sz w:val="20"/>
              </w:rPr>
              <w:t>Role in the program</w:t>
            </w:r>
          </w:p>
        </w:tc>
      </w:tr>
      <w:tr>
        <w:trPr>
          <w:cantSplit/>
        </w:trPr>
        <w:tc>
          <w:tcPr>
            <w:tcW w:type="dxa" w:w="2736"/>
            <w:vAlign w:val="center"/>
            <w:tcMar>
              <w:top w:w="80" w:type="dxa"/>
              <w:left w:w="100" w:type="dxa"/>
              <w:bottom w:w="80" w:type="dxa"/>
              <w:right w:w="100" w:type="dxa"/>
            </w:tcMar>
            <w:shd w:fill="F2F4F5"/>
          </w:tcPr>
          <w:p>
            <w:pPr>
              <w:spacing w:after="0" w:line="245" w:lineRule="auto"/>
            </w:pPr>
            <w:r>
              <w:rPr>
                <w:sz w:val="20"/>
              </w:rPr>
              <w:t>Fractionation specialist</w:t>
            </w:r>
          </w:p>
        </w:tc>
        <w:tc>
          <w:tcPr>
            <w:tcW w:type="dxa" w:w="5040"/>
            <w:vAlign w:val="center"/>
            <w:tcMar>
              <w:top w:w="80" w:type="dxa"/>
              <w:left w:w="100" w:type="dxa"/>
              <w:bottom w:w="80" w:type="dxa"/>
              <w:right w:w="100" w:type="dxa"/>
            </w:tcMar>
            <w:shd w:fill="F2F4F5"/>
          </w:tcPr>
          <w:p>
            <w:pPr>
              <w:spacing w:after="0" w:line="245" w:lineRule="auto"/>
            </w:pPr>
            <w:r>
              <w:rPr>
                <w:sz w:val="20"/>
              </w:rPr>
              <w:t>Diagnostic test interpretation, internals, separation limits, alternative explanations and challenging cases.</w:t>
            </w:r>
          </w:p>
        </w:tc>
        <w:tc>
          <w:tcPr>
            <w:tcW w:type="dxa" w:w="2592"/>
            <w:vAlign w:val="center"/>
            <w:tcMar>
              <w:top w:w="80" w:type="dxa"/>
              <w:left w:w="100" w:type="dxa"/>
              <w:bottom w:w="80" w:type="dxa"/>
              <w:right w:w="100" w:type="dxa"/>
            </w:tcMar>
            <w:shd w:fill="F2F4F5"/>
          </w:tcPr>
          <w:p>
            <w:pPr>
              <w:spacing w:after="0" w:line="245" w:lineRule="auto"/>
            </w:pPr>
            <w:r>
              <w:rPr>
                <w:sz w:val="20"/>
              </w:rPr>
              <w:t>Independent review of distillation cases; Henry Kister’s published work is a possible reference route.</w:t>
            </w:r>
          </w:p>
        </w:tc>
      </w:tr>
      <w:tr>
        <w:trPr>
          <w:cantSplit/>
        </w:trPr>
        <w:tc>
          <w:tcPr>
            <w:tcW w:type="dxa" w:w="2736"/>
            <w:vAlign w:val="center"/>
            <w:tcMar>
              <w:top w:w="80" w:type="dxa"/>
              <w:left w:w="100" w:type="dxa"/>
              <w:bottom w:w="80" w:type="dxa"/>
              <w:right w:w="100" w:type="dxa"/>
            </w:tcMar>
            <w:shd w:fill="FFFFFF"/>
          </w:tcPr>
          <w:p>
            <w:pPr>
              <w:spacing w:after="0" w:line="245" w:lineRule="auto"/>
            </w:pPr>
            <w:r>
              <w:rPr>
                <w:sz w:val="20"/>
              </w:rPr>
              <w:t>Vacuum equipment specialist</w:t>
            </w:r>
          </w:p>
        </w:tc>
        <w:tc>
          <w:tcPr>
            <w:tcW w:type="dxa" w:w="5040"/>
            <w:vAlign w:val="center"/>
            <w:tcMar>
              <w:top w:w="80" w:type="dxa"/>
              <w:left w:w="100" w:type="dxa"/>
              <w:bottom w:w="80" w:type="dxa"/>
              <w:right w:w="100" w:type="dxa"/>
            </w:tcMar>
            <w:shd w:fill="FFFFFF"/>
          </w:tcPr>
          <w:p>
            <w:pPr>
              <w:spacing w:after="0" w:line="245" w:lineRule="auto"/>
            </w:pPr>
            <w:r>
              <w:rPr>
                <w:sz w:val="20"/>
              </w:rPr>
              <w:t>Equipment curves, staging, utility dependence, installation constraints and distinctions between process and equipment faults.</w:t>
            </w:r>
          </w:p>
        </w:tc>
        <w:tc>
          <w:tcPr>
            <w:tcW w:type="dxa" w:w="2592"/>
            <w:vAlign w:val="center"/>
            <w:tcMar>
              <w:top w:w="80" w:type="dxa"/>
              <w:left w:w="100" w:type="dxa"/>
              <w:bottom w:w="80" w:type="dxa"/>
              <w:right w:w="100" w:type="dxa"/>
            </w:tcMar>
            <w:shd w:fill="FFFFFF"/>
          </w:tcPr>
          <w:p>
            <w:pPr>
              <w:spacing w:after="0" w:line="245" w:lineRule="auto"/>
            </w:pPr>
            <w:r>
              <w:rPr>
                <w:sz w:val="20"/>
              </w:rPr>
              <w:t>Challenge vacuum cases and define required operating context.</w:t>
            </w:r>
          </w:p>
        </w:tc>
      </w:tr>
      <w:tr>
        <w:trPr>
          <w:cantSplit/>
        </w:trPr>
        <w:tc>
          <w:tcPr>
            <w:tcW w:type="dxa" w:w="2736"/>
            <w:vAlign w:val="center"/>
            <w:tcMar>
              <w:top w:w="80" w:type="dxa"/>
              <w:left w:w="100" w:type="dxa"/>
              <w:bottom w:w="80" w:type="dxa"/>
              <w:right w:w="100" w:type="dxa"/>
            </w:tcMar>
            <w:shd w:fill="F2F4F5"/>
          </w:tcPr>
          <w:p>
            <w:pPr>
              <w:spacing w:after="0" w:line="245" w:lineRule="auto"/>
            </w:pPr>
            <w:r>
              <w:rPr>
                <w:sz w:val="20"/>
              </w:rPr>
              <w:t>Heat transfer and utilities specialist</w:t>
            </w:r>
          </w:p>
        </w:tc>
        <w:tc>
          <w:tcPr>
            <w:tcW w:type="dxa" w:w="5040"/>
            <w:vAlign w:val="center"/>
            <w:tcMar>
              <w:top w:w="80" w:type="dxa"/>
              <w:left w:w="100" w:type="dxa"/>
              <w:bottom w:w="80" w:type="dxa"/>
              <w:right w:w="100" w:type="dxa"/>
            </w:tcMar>
            <w:shd w:fill="F2F4F5"/>
          </w:tcPr>
          <w:p>
            <w:pPr>
              <w:spacing w:after="0" w:line="245" w:lineRule="auto"/>
            </w:pPr>
            <w:r>
              <w:rPr>
                <w:sz w:val="20"/>
              </w:rPr>
              <w:t>Balances, phase assumptions, exchanger/reboiler evidence, steam/condensate interactions and calculation limits.</w:t>
            </w:r>
          </w:p>
        </w:tc>
        <w:tc>
          <w:tcPr>
            <w:tcW w:type="dxa" w:w="2592"/>
            <w:vAlign w:val="center"/>
            <w:tcMar>
              <w:top w:w="80" w:type="dxa"/>
              <w:left w:w="100" w:type="dxa"/>
              <w:bottom w:w="80" w:type="dxa"/>
              <w:right w:w="100" w:type="dxa"/>
            </w:tcMar>
            <w:shd w:fill="F2F4F5"/>
          </w:tcPr>
          <w:p>
            <w:pPr>
              <w:spacing w:after="0" w:line="245" w:lineRule="auto"/>
            </w:pPr>
            <w:r>
              <w:rPr>
                <w:sz w:val="20"/>
              </w:rPr>
              <w:t>Verify tool examples and supporting explanations.</w:t>
            </w:r>
          </w:p>
        </w:tc>
      </w:tr>
      <w:tr>
        <w:trPr>
          <w:cantSplit/>
        </w:trPr>
        <w:tc>
          <w:tcPr>
            <w:tcW w:type="dxa" w:w="2736"/>
            <w:vAlign w:val="center"/>
            <w:tcMar>
              <w:top w:w="80" w:type="dxa"/>
              <w:left w:w="100" w:type="dxa"/>
              <w:bottom w:w="80" w:type="dxa"/>
              <w:right w:w="100" w:type="dxa"/>
            </w:tcMar>
            <w:shd w:fill="FFFFFF"/>
          </w:tcPr>
          <w:p>
            <w:pPr>
              <w:spacing w:after="0" w:line="245" w:lineRule="auto"/>
            </w:pPr>
            <w:r>
              <w:rPr>
                <w:sz w:val="20"/>
              </w:rPr>
              <w:t>Pump and compressor specialist</w:t>
            </w:r>
          </w:p>
        </w:tc>
        <w:tc>
          <w:tcPr>
            <w:tcW w:type="dxa" w:w="5040"/>
            <w:vAlign w:val="center"/>
            <w:tcMar>
              <w:top w:w="80" w:type="dxa"/>
              <w:left w:w="100" w:type="dxa"/>
              <w:bottom w:w="80" w:type="dxa"/>
              <w:right w:w="100" w:type="dxa"/>
            </w:tcMar>
            <w:shd w:fill="FFFFFF"/>
          </w:tcPr>
          <w:p>
            <w:pPr>
              <w:spacing w:after="0" w:line="245" w:lineRule="auto"/>
            </w:pPr>
            <w:r>
              <w:rPr>
                <w:sz w:val="20"/>
              </w:rPr>
              <w:t>Performance-map interpretation, fluid effects, mechanical evidence, operating envelopes and model-specific limits.</w:t>
            </w:r>
          </w:p>
        </w:tc>
        <w:tc>
          <w:tcPr>
            <w:tcW w:type="dxa" w:w="2592"/>
            <w:vAlign w:val="center"/>
            <w:tcMar>
              <w:top w:w="80" w:type="dxa"/>
              <w:left w:w="100" w:type="dxa"/>
              <w:bottom w:w="80" w:type="dxa"/>
              <w:right w:w="100" w:type="dxa"/>
            </w:tcMar>
            <w:shd w:fill="FFFFFF"/>
          </w:tcPr>
          <w:p>
            <w:pPr>
              <w:spacing w:after="0" w:line="245" w:lineRule="auto"/>
            </w:pPr>
            <w:r>
              <w:rPr>
                <w:sz w:val="20"/>
              </w:rPr>
              <w:t>Supporting equipment expertise; compressor scope requires separate qualification.</w:t>
            </w:r>
          </w:p>
        </w:tc>
      </w:tr>
      <w:tr>
        <w:trPr>
          <w:cantSplit/>
        </w:trPr>
        <w:tc>
          <w:tcPr>
            <w:tcW w:type="dxa" w:w="2736"/>
            <w:vAlign w:val="center"/>
            <w:tcMar>
              <w:top w:w="80" w:type="dxa"/>
              <w:left w:w="100" w:type="dxa"/>
              <w:bottom w:w="80" w:type="dxa"/>
              <w:right w:w="100" w:type="dxa"/>
            </w:tcMar>
            <w:shd w:fill="F2F4F5"/>
          </w:tcPr>
          <w:p>
            <w:pPr>
              <w:spacing w:after="0" w:line="245" w:lineRule="auto"/>
            </w:pPr>
            <w:r>
              <w:rPr>
                <w:sz w:val="20"/>
              </w:rPr>
              <w:t>Instrumentation and controls specialist</w:t>
            </w:r>
          </w:p>
        </w:tc>
        <w:tc>
          <w:tcPr>
            <w:tcW w:type="dxa" w:w="5040"/>
            <w:vAlign w:val="center"/>
            <w:tcMar>
              <w:top w:w="80" w:type="dxa"/>
              <w:left w:w="100" w:type="dxa"/>
              <w:bottom w:w="80" w:type="dxa"/>
              <w:right w:w="100" w:type="dxa"/>
            </w:tcMar>
            <w:shd w:fill="F2F4F5"/>
          </w:tcPr>
          <w:p>
            <w:pPr>
              <w:spacing w:after="0" w:line="245" w:lineRule="auto"/>
            </w:pPr>
            <w:r>
              <w:rPr>
                <w:sz w:val="20"/>
              </w:rPr>
              <w:t>Sensor failure patterns, calibration, time lag, signal interpretation, control modes and data reconciliation.</w:t>
            </w:r>
          </w:p>
        </w:tc>
        <w:tc>
          <w:tcPr>
            <w:tcW w:type="dxa" w:w="2592"/>
            <w:vAlign w:val="center"/>
            <w:tcMar>
              <w:top w:w="80" w:type="dxa"/>
              <w:left w:w="100" w:type="dxa"/>
              <w:bottom w:w="80" w:type="dxa"/>
              <w:right w:w="100" w:type="dxa"/>
            </w:tcMar>
            <w:shd w:fill="F2F4F5"/>
          </w:tcPr>
          <w:p>
            <w:pPr>
              <w:spacing w:after="0" w:line="245" w:lineRule="auto"/>
            </w:pPr>
            <w:r>
              <w:rPr>
                <w:sz w:val="20"/>
              </w:rPr>
              <w:t>Review missing-data questions and misleading-evidence examples.</w:t>
            </w:r>
          </w:p>
        </w:tc>
      </w:tr>
      <w:tr>
        <w:trPr>
          <w:cantSplit/>
        </w:trPr>
        <w:tc>
          <w:tcPr>
            <w:tcW w:type="dxa" w:w="2736"/>
            <w:vAlign w:val="center"/>
            <w:tcMar>
              <w:top w:w="80" w:type="dxa"/>
              <w:left w:w="100" w:type="dxa"/>
              <w:bottom w:w="80" w:type="dxa"/>
              <w:right w:w="100" w:type="dxa"/>
            </w:tcMar>
            <w:shd w:fill="FFFFFF"/>
          </w:tcPr>
          <w:p>
            <w:pPr>
              <w:spacing w:after="0" w:line="245" w:lineRule="auto"/>
            </w:pPr>
            <w:r>
              <w:rPr>
                <w:sz w:val="20"/>
              </w:rPr>
              <w:t>Inspection materials and reliability specialist</w:t>
            </w:r>
          </w:p>
        </w:tc>
        <w:tc>
          <w:tcPr>
            <w:tcW w:type="dxa" w:w="5040"/>
            <w:vAlign w:val="center"/>
            <w:tcMar>
              <w:top w:w="80" w:type="dxa"/>
              <w:left w:w="100" w:type="dxa"/>
              <w:bottom w:w="80" w:type="dxa"/>
              <w:right w:w="100" w:type="dxa"/>
            </w:tcMar>
            <w:shd w:fill="FFFFFF"/>
          </w:tcPr>
          <w:p>
            <w:pPr>
              <w:spacing w:after="0" w:line="245" w:lineRule="auto"/>
            </w:pPr>
            <w:r>
              <w:rPr>
                <w:sz w:val="20"/>
              </w:rPr>
              <w:t>Inspection methods, damage evidence, corrosion/fouling history, maintenance findings and causality limits.</w:t>
            </w:r>
          </w:p>
        </w:tc>
        <w:tc>
          <w:tcPr>
            <w:tcW w:type="dxa" w:w="2592"/>
            <w:vAlign w:val="center"/>
            <w:tcMar>
              <w:top w:w="80" w:type="dxa"/>
              <w:left w:w="100" w:type="dxa"/>
              <w:bottom w:w="80" w:type="dxa"/>
              <w:right w:w="100" w:type="dxa"/>
            </w:tcMar>
            <w:shd w:fill="FFFFFF"/>
          </w:tcPr>
          <w:p>
            <w:pPr>
              <w:spacing w:after="0" w:line="245" w:lineRule="auto"/>
            </w:pPr>
            <w:r>
              <w:rPr>
                <w:sz w:val="20"/>
              </w:rPr>
              <w:t>Corroborate mechanisms and distinguish observation from inference.</w:t>
            </w:r>
          </w:p>
        </w:tc>
      </w:tr>
      <w:tr>
        <w:trPr>
          <w:cantSplit/>
        </w:trPr>
        <w:tc>
          <w:tcPr>
            <w:tcW w:type="dxa" w:w="2736"/>
            <w:vAlign w:val="center"/>
            <w:tcMar>
              <w:top w:w="80" w:type="dxa"/>
              <w:left w:w="100" w:type="dxa"/>
              <w:bottom w:w="80" w:type="dxa"/>
              <w:right w:w="100" w:type="dxa"/>
            </w:tcMar>
            <w:shd w:fill="F2F4F5"/>
          </w:tcPr>
          <w:p>
            <w:pPr>
              <w:spacing w:after="0" w:line="245" w:lineRule="auto"/>
            </w:pPr>
            <w:r>
              <w:rPr>
                <w:sz w:val="20"/>
              </w:rPr>
              <w:t>Experienced operator or shift supervisor</w:t>
            </w:r>
          </w:p>
        </w:tc>
        <w:tc>
          <w:tcPr>
            <w:tcW w:type="dxa" w:w="5040"/>
            <w:vAlign w:val="center"/>
            <w:tcMar>
              <w:top w:w="80" w:type="dxa"/>
              <w:left w:w="100" w:type="dxa"/>
              <w:bottom w:w="80" w:type="dxa"/>
              <w:right w:w="100" w:type="dxa"/>
            </w:tcMar>
            <w:shd w:fill="F2F4F5"/>
          </w:tcPr>
          <w:p>
            <w:pPr>
              <w:spacing w:after="0" w:line="245" w:lineRule="auto"/>
            </w:pPr>
            <w:r>
              <w:rPr>
                <w:sz w:val="20"/>
              </w:rPr>
              <w:t>Operating vocabulary, handover context, sequence of events, workarounds, observations absent from historians and practical constraints.</w:t>
            </w:r>
          </w:p>
        </w:tc>
        <w:tc>
          <w:tcPr>
            <w:tcW w:type="dxa" w:w="2592"/>
            <w:vAlign w:val="center"/>
            <w:tcMar>
              <w:top w:w="80" w:type="dxa"/>
              <w:left w:w="100" w:type="dxa"/>
              <w:bottom w:w="80" w:type="dxa"/>
              <w:right w:w="100" w:type="dxa"/>
            </w:tcMar>
            <w:shd w:fill="F2F4F5"/>
          </w:tcPr>
          <w:p>
            <w:pPr>
              <w:spacing w:after="0" w:line="245" w:lineRule="auto"/>
            </w:pPr>
            <w:r>
              <w:rPr>
                <w:sz w:val="20"/>
              </w:rPr>
              <w:t>Make cases realistic and recover evidence engineers may otherwise miss.</w:t>
            </w:r>
          </w:p>
        </w:tc>
      </w:tr>
      <w:tr>
        <w:trPr>
          <w:cantSplit/>
        </w:trPr>
        <w:tc>
          <w:tcPr>
            <w:tcW w:type="dxa" w:w="2736"/>
            <w:vAlign w:val="center"/>
            <w:tcMar>
              <w:top w:w="80" w:type="dxa"/>
              <w:left w:w="100" w:type="dxa"/>
              <w:bottom w:w="80" w:type="dxa"/>
              <w:right w:w="100" w:type="dxa"/>
            </w:tcMar>
            <w:shd w:fill="FFFFFF"/>
          </w:tcPr>
          <w:p>
            <w:pPr>
              <w:spacing w:after="0" w:line="245" w:lineRule="auto"/>
            </w:pPr>
            <w:r>
              <w:rPr>
                <w:sz w:val="20"/>
              </w:rPr>
              <w:t>Process safety specialist</w:t>
            </w:r>
          </w:p>
        </w:tc>
        <w:tc>
          <w:tcPr>
            <w:tcW w:type="dxa" w:w="5040"/>
            <w:vAlign w:val="center"/>
            <w:tcMar>
              <w:top w:w="80" w:type="dxa"/>
              <w:left w:w="100" w:type="dxa"/>
              <w:bottom w:w="80" w:type="dxa"/>
              <w:right w:w="100" w:type="dxa"/>
            </w:tcMar>
            <w:shd w:fill="FFFFFF"/>
          </w:tcPr>
          <w:p>
            <w:pPr>
              <w:spacing w:after="0" w:line="245" w:lineRule="auto"/>
            </w:pPr>
            <w:r>
              <w:rPr>
                <w:sz w:val="20"/>
              </w:rPr>
              <w:t>Escalation criteria, limits of advice, relevant approved procedures, management-of-change context and human authorization boundaries.</w:t>
            </w:r>
          </w:p>
        </w:tc>
        <w:tc>
          <w:tcPr>
            <w:tcW w:type="dxa" w:w="2592"/>
            <w:vAlign w:val="center"/>
            <w:tcMar>
              <w:top w:w="80" w:type="dxa"/>
              <w:left w:w="100" w:type="dxa"/>
              <w:bottom w:w="80" w:type="dxa"/>
              <w:right w:w="100" w:type="dxa"/>
            </w:tcMar>
            <w:shd w:fill="FFFFFF"/>
          </w:tcPr>
          <w:p>
            <w:pPr>
              <w:spacing w:after="0" w:line="245" w:lineRule="auto"/>
            </w:pPr>
            <w:r>
              <w:rPr>
                <w:sz w:val="20"/>
              </w:rPr>
              <w:t>Review case hazards and whether proposed model outputs are within scope.</w:t>
            </w:r>
          </w:p>
        </w:tc>
      </w:tr>
    </w:tbl>
    <w:p>
      <w:pPr>
        <w:spacing w:after="20" w:line="40" w:lineRule="exact"/>
      </w:pPr>
      <w:r>
        <w:rPr>
          <w:sz w:val="4"/>
        </w:rPr>
      </w:r>
    </w:p>
    <w:p>
      <w:r>
        <w:t>Gas-processing and upstream specialists are later additions tied to paid practice mandates. Their expertise does not establish drilling or subsurface capability for the launch product. Keep gas treatment, dehydration, LNG, production facilities, reservoir and drilling libraries separately scoped.</w:t>
      </w:r>
    </w:p>
    <w:p>
      <w:r>
        <w:t>For published fractionation material, the publisher’s description of Henry Kister’s Distillation Diagnostics emphasizes diagnostic techniques and their limitations. Treat that as a reference and licensing lead; no personal engagement is implied.</w:t>
      </w:r>
    </w:p>
    <w:p>
      <w:hyperlink r:id="rId12">
        <w:r>
          <w:rPr>
            <w:color w:val="18364D"/>
          </w:rPr>
          <w:t>Reference  Distillation Diagnostics publisher page</w:t>
        </w:r>
      </w:hyperlink>
    </w:p>
    <w:p>
      <w:r>
        <w:br w:type="page"/>
      </w:r>
    </w:p>
    <w:p>
      <w:pPr>
        <w:pStyle w:val="Heading1"/>
      </w:pPr>
      <w:r>
        <w:t>4 Interview agenda and evidence collection</w:t>
      </w:r>
    </w:p>
    <w:p>
      <w:r>
        <w:t>Use the same agenda for every detailed case. A Knowledge Engineer leads capture, the Process Applications Engineer checks technical context, and a separate qualified reviewer challenges the completed record. Record sessions only under the agreed capture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6048"/>
      </w:tblGrid>
      <w:tr>
        <w:trPr>
          <w:cantSplit/>
          <w:tblHeader/>
        </w:trPr>
        <w:tc>
          <w:tcPr>
            <w:tcW w:type="dxa" w:w="4320"/>
            <w:vAlign w:val="center"/>
            <w:tcMar>
              <w:top w:w="80" w:type="dxa"/>
              <w:left w:w="100" w:type="dxa"/>
              <w:bottom w:w="80" w:type="dxa"/>
              <w:right w:w="100" w:type="dxa"/>
            </w:tcMar>
            <w:shd w:fill="18364D"/>
          </w:tcPr>
          <w:p>
            <w:pPr>
              <w:spacing w:after="0" w:line="245" w:lineRule="auto"/>
            </w:pPr>
            <w:r>
              <w:rPr>
                <w:b/>
                <w:color w:val="FFFFFF"/>
                <w:sz w:val="21"/>
              </w:rPr>
              <w:t>Interview prompt</w:t>
            </w:r>
          </w:p>
        </w:tc>
        <w:tc>
          <w:tcPr>
            <w:tcW w:type="dxa" w:w="6048"/>
            <w:vAlign w:val="center"/>
            <w:tcMar>
              <w:top w:w="80" w:type="dxa"/>
              <w:left w:w="100" w:type="dxa"/>
              <w:bottom w:w="80" w:type="dxa"/>
              <w:right w:w="100" w:type="dxa"/>
            </w:tcMar>
            <w:shd w:fill="18364D"/>
          </w:tcPr>
          <w:p>
            <w:pPr>
              <w:spacing w:after="0" w:line="245" w:lineRule="auto"/>
            </w:pPr>
            <w:r>
              <w:rPr>
                <w:b/>
                <w:color w:val="FFFFFF"/>
                <w:sz w:val="21"/>
              </w:rPr>
              <w:t>Information sought</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1"/>
              </w:rPr>
              <w:t>What first made this case worth investigating?</w:t>
            </w:r>
          </w:p>
        </w:tc>
        <w:tc>
          <w:tcPr>
            <w:tcW w:type="dxa" w:w="6048"/>
            <w:vAlign w:val="center"/>
            <w:tcMar>
              <w:top w:w="80" w:type="dxa"/>
              <w:left w:w="100" w:type="dxa"/>
              <w:bottom w:w="80" w:type="dxa"/>
              <w:right w:w="100" w:type="dxa"/>
            </w:tcMar>
            <w:shd w:fill="F2F4F5"/>
          </w:tcPr>
          <w:p>
            <w:pPr>
              <w:spacing w:after="0" w:line="245" w:lineRule="auto"/>
            </w:pPr>
            <w:r>
              <w:rPr>
                <w:sz w:val="21"/>
              </w:rPr>
              <w:t>Decision being faced, normal baseline, observed deviation and information available at that time.</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1"/>
              </w:rPr>
              <w:t>What did the plant look like operationally?</w:t>
            </w:r>
          </w:p>
        </w:tc>
        <w:tc>
          <w:tcPr>
            <w:tcW w:type="dxa" w:w="6048"/>
            <w:vAlign w:val="center"/>
            <w:tcMar>
              <w:top w:w="80" w:type="dxa"/>
              <w:left w:w="100" w:type="dxa"/>
              <w:bottom w:w="80" w:type="dxa"/>
              <w:right w:w="100" w:type="dxa"/>
            </w:tcMar>
            <w:shd w:fill="FFFFFF"/>
          </w:tcPr>
          <w:p>
            <w:pPr>
              <w:spacing w:after="0" w:line="245" w:lineRule="auto"/>
            </w:pPr>
            <w:r>
              <w:rPr>
                <w:sz w:val="21"/>
              </w:rPr>
              <w:t>Unit configuration, feed and product context, operating regime, recent changes and constraints.</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1"/>
              </w:rPr>
              <w:t>What were your leading explanations?</w:t>
            </w:r>
          </w:p>
        </w:tc>
        <w:tc>
          <w:tcPr>
            <w:tcW w:type="dxa" w:w="6048"/>
            <w:vAlign w:val="center"/>
            <w:tcMar>
              <w:top w:w="80" w:type="dxa"/>
              <w:left w:w="100" w:type="dxa"/>
              <w:bottom w:w="80" w:type="dxa"/>
              <w:right w:w="100" w:type="dxa"/>
            </w:tcMar>
            <w:shd w:fill="F2F4F5"/>
          </w:tcPr>
          <w:p>
            <w:pPr>
              <w:spacing w:after="0" w:line="245" w:lineRule="auto"/>
            </w:pPr>
            <w:r>
              <w:rPr>
                <w:sz w:val="21"/>
              </w:rPr>
              <w:t>Plausible alternatives and initial confidence, including the tempting but wrong explanation.</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1"/>
              </w:rPr>
              <w:t>Which observation changed your mind?</w:t>
            </w:r>
          </w:p>
        </w:tc>
        <w:tc>
          <w:tcPr>
            <w:tcW w:type="dxa" w:w="6048"/>
            <w:vAlign w:val="center"/>
            <w:tcMar>
              <w:top w:w="80" w:type="dxa"/>
              <w:left w:w="100" w:type="dxa"/>
              <w:bottom w:w="80" w:type="dxa"/>
              <w:right w:w="100" w:type="dxa"/>
            </w:tcMar>
            <w:shd w:fill="FFFFFF"/>
          </w:tcPr>
          <w:p>
            <w:pPr>
              <w:spacing w:after="0" w:line="245" w:lineRule="auto"/>
            </w:pPr>
            <w:r>
              <w:rPr>
                <w:sz w:val="21"/>
              </w:rPr>
              <w:t>Discriminating evidence, its source and why it outweighed other observations.</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1"/>
              </w:rPr>
              <w:t>What information did you distrust or lack?</w:t>
            </w:r>
          </w:p>
        </w:tc>
        <w:tc>
          <w:tcPr>
            <w:tcW w:type="dxa" w:w="6048"/>
            <w:vAlign w:val="center"/>
            <w:tcMar>
              <w:top w:w="80" w:type="dxa"/>
              <w:left w:w="100" w:type="dxa"/>
              <w:bottom w:w="80" w:type="dxa"/>
              <w:right w:w="100" w:type="dxa"/>
            </w:tcMar>
            <w:shd w:fill="F2F4F5"/>
          </w:tcPr>
          <w:p>
            <w:pPr>
              <w:spacing w:after="0" w:line="245" w:lineRule="auto"/>
            </w:pPr>
            <w:r>
              <w:rPr>
                <w:sz w:val="21"/>
              </w:rPr>
              <w:t>Instrument limitations, missing variables, conflicting records and useful next questions.</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1"/>
              </w:rPr>
              <w:t>What did you calculate or compare?</w:t>
            </w:r>
          </w:p>
        </w:tc>
        <w:tc>
          <w:tcPr>
            <w:tcW w:type="dxa" w:w="6048"/>
            <w:vAlign w:val="center"/>
            <w:tcMar>
              <w:top w:w="80" w:type="dxa"/>
              <w:left w:w="100" w:type="dxa"/>
              <w:bottom w:w="80" w:type="dxa"/>
              <w:right w:w="100" w:type="dxa"/>
            </w:tcMar>
            <w:shd w:fill="FFFFFF"/>
          </w:tcPr>
          <w:p>
            <w:pPr>
              <w:spacing w:after="0" w:line="245" w:lineRule="auto"/>
            </w:pPr>
            <w:r>
              <w:rPr>
                <w:sz w:val="21"/>
              </w:rPr>
              <w:t>Inputs, assumptions, equations, units, property method, output and an independent check.</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1"/>
              </w:rPr>
              <w:t>What could have made your preferred diagnosis wrong?</w:t>
            </w:r>
          </w:p>
        </w:tc>
        <w:tc>
          <w:tcPr>
            <w:tcW w:type="dxa" w:w="6048"/>
            <w:vAlign w:val="center"/>
            <w:tcMar>
              <w:top w:w="80" w:type="dxa"/>
              <w:left w:w="100" w:type="dxa"/>
              <w:bottom w:w="80" w:type="dxa"/>
              <w:right w:w="100" w:type="dxa"/>
            </w:tcMar>
            <w:shd w:fill="F2F4F5"/>
          </w:tcPr>
          <w:p>
            <w:pPr>
              <w:spacing w:after="0" w:line="245" w:lineRule="auto"/>
            </w:pPr>
            <w:r>
              <w:rPr>
                <w:sz w:val="21"/>
              </w:rPr>
              <w:t>Falsifying evidence, counterexample, confounders and boundary conditions.</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1"/>
              </w:rPr>
              <w:t>What was tried and what happened?</w:t>
            </w:r>
          </w:p>
        </w:tc>
        <w:tc>
          <w:tcPr>
            <w:tcW w:type="dxa" w:w="6048"/>
            <w:vAlign w:val="center"/>
            <w:tcMar>
              <w:top w:w="80" w:type="dxa"/>
              <w:left w:w="100" w:type="dxa"/>
              <w:bottom w:w="80" w:type="dxa"/>
              <w:right w:w="100" w:type="dxa"/>
            </w:tcMar>
            <w:shd w:fill="FFFFFF"/>
          </w:tcPr>
          <w:p>
            <w:pPr>
              <w:spacing w:after="0" w:line="245" w:lineRule="auto"/>
            </w:pPr>
            <w:r>
              <w:rPr>
                <w:sz w:val="21"/>
              </w:rPr>
              <w:t>Authorized historical actions, failed attempts, side effects, measured results and follow-up.</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1"/>
              </w:rPr>
              <w:t>How certain is the final explanation?</w:t>
            </w:r>
          </w:p>
        </w:tc>
        <w:tc>
          <w:tcPr>
            <w:tcW w:type="dxa" w:w="6048"/>
            <w:vAlign w:val="center"/>
            <w:tcMar>
              <w:top w:w="80" w:type="dxa"/>
              <w:left w:w="100" w:type="dxa"/>
              <w:bottom w:w="80" w:type="dxa"/>
              <w:right w:w="100" w:type="dxa"/>
            </w:tcMar>
            <w:shd w:fill="F2F4F5"/>
          </w:tcPr>
          <w:p>
            <w:pPr>
              <w:spacing w:after="0" w:line="245" w:lineRule="auto"/>
            </w:pPr>
            <w:r>
              <w:rPr>
                <w:sz w:val="21"/>
              </w:rPr>
              <w:t>Confirmed mechanism versus plausible inference, alternative causes and unresolved disagreement.</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1"/>
              </w:rPr>
              <w:t>What should a junior engineer or AI learn here?</w:t>
            </w:r>
          </w:p>
        </w:tc>
        <w:tc>
          <w:tcPr>
            <w:tcW w:type="dxa" w:w="6048"/>
            <w:vAlign w:val="center"/>
            <w:tcMar>
              <w:top w:w="80" w:type="dxa"/>
              <w:left w:w="100" w:type="dxa"/>
              <w:bottom w:w="80" w:type="dxa"/>
              <w:right w:w="100" w:type="dxa"/>
            </w:tcMar>
            <w:shd w:fill="FFFFFF"/>
          </w:tcPr>
          <w:p>
            <w:pPr>
              <w:spacing w:after="0" w:line="245" w:lineRule="auto"/>
            </w:pPr>
            <w:r>
              <w:rPr>
                <w:sz w:val="21"/>
              </w:rPr>
              <w:t>Transferable lesson, misleading shortcut, limits, expected escalation and a scoring rubric.</w:t>
            </w:r>
          </w:p>
        </w:tc>
      </w:tr>
    </w:tbl>
    <w:p>
      <w:pPr>
        <w:spacing w:after="20" w:line="40" w:lineRule="exact"/>
      </w:pPr>
      <w:r>
        <w:rPr>
          <w:sz w:val="4"/>
        </w:rPr>
      </w:r>
    </w:p>
    <w:p>
      <w:pPr>
        <w:pStyle w:val="Heading2"/>
      </w:pPr>
      <w:r>
        <w:t>Evidence to request with the interview</w:t>
      </w:r>
    </w:p>
    <w:p>
      <w:r>
        <w:t>Request cleared copies of the relevant process sketch, equipment identifiers, time-aligned historian extracts, laboratory results, instrument details, photographs, inspection records, calculation sheets and outcome records. For each file, retain its version, timestamp, source and the claim it supports. Mark drawings as as-built, design, historical or illustrative.</w:t>
      </w:r>
    </w:p>
    <w:p>
      <w:r>
        <w:t>Annotate visual material with the expert’s explanation and a checked text description. Preserve original axis labels, units and measurement locations. State whether information was known at the time or learned later. Capture existing authorized records; this collection exercise does not require new field tests or changes to plant operation.</w:t>
      </w:r>
    </w:p>
    <w:p>
      <w:pPr>
        <w:pStyle w:val="Heading2"/>
      </w:pPr>
      <w:r>
        <w:t>Initial batch and review cadence</w:t>
      </w:r>
    </w:p>
    <w:p>
      <w:r>
        <w:t>Use the existing proposed 8–12 sessions of 60–90 minutes for initial capture and follow-up, adjusting to expert availability. Finish one complete pilot case and one rule card before producing a larger batch. Review extraction quality and independent findings after the first three cases. Case count is secondary to diversity and evidence quality.</w:t>
      </w:r>
    </w:p>
    <w:p>
      <w:r>
        <w:br w:type="page"/>
      </w:r>
    </w:p>
    <w:p>
      <w:pPr>
        <w:pStyle w:val="Heading1"/>
      </w:pPr>
      <w:r>
        <w:t>5 Reusable case template part A</w:t>
      </w:r>
    </w:p>
    <w:p>
      <w:r>
        <w:t>Copy parts A and B for each incident or scenario. A case family links all retellings, translations and derived exercises. Keep the decision-time evidence in part A and later findings in part B. Do not fill absent records with plausible invented details.</w:t>
      </w:r>
    </w:p>
    <w:p>
      <w:r>
        <w:rPr>
          <w:b/>
        </w:rPr>
        <w:t xml:space="preserve">Identity and source  </w:t>
      </w:r>
      <w:r>
        <w:t>Case ID and family ID; title; expert and interviewer; capture date; original event date or approximate period; source files/pages/timestamps.</w:t>
      </w:r>
    </w:p>
    <w:p>
      <w:pPr>
        <w:spacing w:after="180"/>
      </w:pPr>
      <w:r>
        <w:rPr>
          <w:sz w:val="20"/>
        </w:rPr>
        <w:t>[Enter response or state unknown / not applicable.]</w:t>
      </w:r>
    </w:p>
    <w:p>
      <w:r>
        <w:rPr>
          <w:b/>
        </w:rPr>
        <w:t xml:space="preserve">Record type and permitted use  </w:t>
      </w:r>
      <w:r>
        <w:t>Real event / reconstructed event / simulation / hypothetical; original evidence versus recollection; rights record; permitted audience; confidentiality and site identifiers.</w:t>
      </w:r>
    </w:p>
    <w:p>
      <w:pPr>
        <w:spacing w:after="180"/>
      </w:pPr>
      <w:r>
        <w:rPr>
          <w:sz w:val="20"/>
        </w:rPr>
        <w:t>[Enter response or state unknown / not applicable.]</w:t>
      </w:r>
    </w:p>
    <w:p>
      <w:r>
        <w:rPr>
          <w:b/>
        </w:rPr>
        <w:t xml:space="preserve">Technical scope  </w:t>
      </w:r>
      <w:r>
        <w:t>Unit, service, equipment configuration, feed/product context, steady/transient regime, relevant operating range and excluded topics.</w:t>
      </w:r>
    </w:p>
    <w:p>
      <w:pPr>
        <w:spacing w:after="180"/>
      </w:pPr>
      <w:r>
        <w:rPr>
          <w:sz w:val="20"/>
        </w:rPr>
        <w:t>[Enter response or state unknown / not applicable.]</w:t>
      </w:r>
    </w:p>
    <w:p>
      <w:r>
        <w:rPr>
          <w:b/>
        </w:rPr>
        <w:t xml:space="preserve">Decision and initial conditions  </w:t>
      </w:r>
      <w:r>
        <w:t>What decision had to be made? What was normal? What changed? Record the decision timestamp, known recent changes and site constraints.</w:t>
      </w:r>
    </w:p>
    <w:p>
      <w:pPr>
        <w:spacing w:after="180"/>
      </w:pPr>
      <w:r>
        <w:rPr>
          <w:sz w:val="20"/>
        </w:rPr>
        <w:t>[Enter response or state unknown / not applicable.]</w:t>
      </w:r>
    </w:p>
    <w:p>
      <w:pPr>
        <w:pStyle w:val="Heading2"/>
      </w:pPr>
      <w:r>
        <w:t>Observation record</w:t>
      </w:r>
    </w:p>
    <w:p>
      <w:r>
        <w:t>Repeat rows as needed. Include original and normalized units, uncertainty where known, and the basis of each value. For example, identify absolute versus gauge pressure rather than assuming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304"/>
        <w:gridCol w:w="2664"/>
        <w:gridCol w:w="2160"/>
        <w:gridCol w:w="2232"/>
      </w:tblGrid>
      <w:tr>
        <w:trPr>
          <w:cantSplit/>
          <w:tblHeader/>
        </w:trPr>
        <w:tc>
          <w:tcPr>
            <w:tcW w:type="dxa" w:w="1008"/>
            <w:vAlign w:val="center"/>
            <w:tcMar>
              <w:top w:w="80" w:type="dxa"/>
              <w:left w:w="100" w:type="dxa"/>
              <w:bottom w:w="80" w:type="dxa"/>
              <w:right w:w="100" w:type="dxa"/>
            </w:tcMar>
            <w:shd w:fill="18364D"/>
          </w:tcPr>
          <w:p>
            <w:pPr>
              <w:spacing w:after="0" w:line="245" w:lineRule="auto"/>
            </w:pPr>
            <w:r>
              <w:rPr>
                <w:b/>
                <w:color w:val="FFFFFF"/>
                <w:sz w:val="20"/>
              </w:rPr>
              <w:t>Time</w:t>
            </w:r>
          </w:p>
        </w:tc>
        <w:tc>
          <w:tcPr>
            <w:tcW w:type="dxa" w:w="2304"/>
            <w:vAlign w:val="center"/>
            <w:tcMar>
              <w:top w:w="80" w:type="dxa"/>
              <w:left w:w="100" w:type="dxa"/>
              <w:bottom w:w="80" w:type="dxa"/>
              <w:right w:w="100" w:type="dxa"/>
            </w:tcMar>
            <w:shd w:fill="18364D"/>
          </w:tcPr>
          <w:p>
            <w:pPr>
              <w:spacing w:after="0" w:line="245" w:lineRule="auto"/>
            </w:pPr>
            <w:r>
              <w:rPr>
                <w:b/>
                <w:color w:val="FFFFFF"/>
                <w:sz w:val="20"/>
              </w:rPr>
              <w:t>Variable and location</w:t>
            </w:r>
          </w:p>
        </w:tc>
        <w:tc>
          <w:tcPr>
            <w:tcW w:type="dxa" w:w="2664"/>
            <w:vAlign w:val="center"/>
            <w:tcMar>
              <w:top w:w="80" w:type="dxa"/>
              <w:left w:w="100" w:type="dxa"/>
              <w:bottom w:w="80" w:type="dxa"/>
              <w:right w:w="100" w:type="dxa"/>
            </w:tcMar>
            <w:shd w:fill="18364D"/>
          </w:tcPr>
          <w:p>
            <w:pPr>
              <w:spacing w:after="0" w:line="245" w:lineRule="auto"/>
            </w:pPr>
            <w:r>
              <w:rPr>
                <w:b/>
                <w:color w:val="FFFFFF"/>
                <w:sz w:val="20"/>
              </w:rPr>
              <w:t>Value units and basis</w:t>
            </w:r>
          </w:p>
        </w:tc>
        <w:tc>
          <w:tcPr>
            <w:tcW w:type="dxa" w:w="2160"/>
            <w:vAlign w:val="center"/>
            <w:tcMar>
              <w:top w:w="80" w:type="dxa"/>
              <w:left w:w="100" w:type="dxa"/>
              <w:bottom w:w="80" w:type="dxa"/>
              <w:right w:w="100" w:type="dxa"/>
            </w:tcMar>
            <w:shd w:fill="18364D"/>
          </w:tcPr>
          <w:p>
            <w:pPr>
              <w:spacing w:after="0" w:line="245" w:lineRule="auto"/>
            </w:pPr>
            <w:r>
              <w:rPr>
                <w:b/>
                <w:color w:val="FFFFFF"/>
                <w:sz w:val="20"/>
              </w:rPr>
              <w:t>Evidence source</w:t>
            </w:r>
          </w:p>
        </w:tc>
        <w:tc>
          <w:tcPr>
            <w:tcW w:type="dxa" w:w="2232"/>
            <w:vAlign w:val="center"/>
            <w:tcMar>
              <w:top w:w="80" w:type="dxa"/>
              <w:left w:w="100" w:type="dxa"/>
              <w:bottom w:w="80" w:type="dxa"/>
              <w:right w:w="100" w:type="dxa"/>
            </w:tcMar>
            <w:shd w:fill="18364D"/>
          </w:tcPr>
          <w:p>
            <w:pPr>
              <w:spacing w:after="0" w:line="245" w:lineRule="auto"/>
            </w:pPr>
            <w:r>
              <w:rPr>
                <w:b/>
                <w:color w:val="FFFFFF"/>
                <w:sz w:val="20"/>
              </w:rPr>
              <w:t>Quality or limitation</w:t>
            </w:r>
          </w:p>
        </w:tc>
      </w:tr>
      <w:tr>
        <w:trPr>
          <w:cantSplit/>
        </w:trPr>
        <w:tc>
          <w:tcPr>
            <w:tcW w:type="dxa" w:w="1008"/>
            <w:vAlign w:val="center"/>
            <w:tcMar>
              <w:top w:w="80" w:type="dxa"/>
              <w:left w:w="100" w:type="dxa"/>
              <w:bottom w:w="80" w:type="dxa"/>
              <w:right w:w="100" w:type="dxa"/>
            </w:tcMar>
            <w:shd w:fill="F2F4F5"/>
          </w:tcPr>
          <w:p>
            <w:pPr>
              <w:spacing w:after="0" w:line="245" w:lineRule="auto"/>
            </w:pPr>
            <w:r>
              <w:rPr>
                <w:sz w:val="20"/>
              </w:rPr>
              <w:t>[Enter]</w:t>
            </w:r>
          </w:p>
        </w:tc>
        <w:tc>
          <w:tcPr>
            <w:tcW w:type="dxa" w:w="2304"/>
            <w:vAlign w:val="center"/>
            <w:tcMar>
              <w:top w:w="80" w:type="dxa"/>
              <w:left w:w="100" w:type="dxa"/>
              <w:bottom w:w="80" w:type="dxa"/>
              <w:right w:w="100" w:type="dxa"/>
            </w:tcMar>
            <w:shd w:fill="F2F4F5"/>
          </w:tcPr>
          <w:p>
            <w:pPr>
              <w:spacing w:after="0" w:line="245" w:lineRule="auto"/>
            </w:pPr>
            <w:r>
              <w:rPr>
                <w:sz w:val="20"/>
              </w:rPr>
              <w:t>[Enter]</w:t>
            </w:r>
          </w:p>
        </w:tc>
        <w:tc>
          <w:tcPr>
            <w:tcW w:type="dxa" w:w="2664"/>
            <w:vAlign w:val="center"/>
            <w:tcMar>
              <w:top w:w="80" w:type="dxa"/>
              <w:left w:w="100" w:type="dxa"/>
              <w:bottom w:w="80" w:type="dxa"/>
              <w:right w:w="100" w:type="dxa"/>
            </w:tcMar>
            <w:shd w:fill="F2F4F5"/>
          </w:tcPr>
          <w:p>
            <w:pPr>
              <w:spacing w:after="0" w:line="245" w:lineRule="auto"/>
            </w:pPr>
            <w:r>
              <w:rPr>
                <w:sz w:val="20"/>
              </w:rPr>
              <w:t>[Enter]</w:t>
            </w:r>
          </w:p>
        </w:tc>
        <w:tc>
          <w:tcPr>
            <w:tcW w:type="dxa" w:w="2160"/>
            <w:vAlign w:val="center"/>
            <w:tcMar>
              <w:top w:w="80" w:type="dxa"/>
              <w:left w:w="100" w:type="dxa"/>
              <w:bottom w:w="80" w:type="dxa"/>
              <w:right w:w="100" w:type="dxa"/>
            </w:tcMar>
            <w:shd w:fill="F2F4F5"/>
          </w:tcPr>
          <w:p>
            <w:pPr>
              <w:spacing w:after="0" w:line="245" w:lineRule="auto"/>
            </w:pPr>
            <w:r>
              <w:rPr>
                <w:sz w:val="20"/>
              </w:rPr>
              <w:t>[File/page/tag]</w:t>
            </w:r>
          </w:p>
        </w:tc>
        <w:tc>
          <w:tcPr>
            <w:tcW w:type="dxa" w:w="2232"/>
            <w:vAlign w:val="center"/>
            <w:tcMar>
              <w:top w:w="80" w:type="dxa"/>
              <w:left w:w="100" w:type="dxa"/>
              <w:bottom w:w="80" w:type="dxa"/>
              <w:right w:w="100" w:type="dxa"/>
            </w:tcMar>
            <w:shd w:fill="F2F4F5"/>
          </w:tcPr>
          <w:p>
            <w:pPr>
              <w:spacing w:after="0" w:line="245" w:lineRule="auto"/>
            </w:pPr>
            <w:r>
              <w:rPr>
                <w:sz w:val="20"/>
              </w:rPr>
              <w:t>[Enter]</w:t>
            </w:r>
          </w:p>
        </w:tc>
      </w:tr>
      <w:tr>
        <w:trPr>
          <w:cantSplit/>
        </w:trPr>
        <w:tc>
          <w:tcPr>
            <w:tcW w:type="dxa" w:w="1008"/>
            <w:vAlign w:val="center"/>
            <w:tcMar>
              <w:top w:w="80" w:type="dxa"/>
              <w:left w:w="100" w:type="dxa"/>
              <w:bottom w:w="80" w:type="dxa"/>
              <w:right w:w="100" w:type="dxa"/>
            </w:tcMar>
            <w:shd w:fill="FFFFFF"/>
          </w:tcPr>
          <w:p>
            <w:pPr>
              <w:spacing w:after="0" w:line="245" w:lineRule="auto"/>
            </w:pPr>
            <w:r>
              <w:rPr>
                <w:sz w:val="20"/>
              </w:rPr>
              <w:t>[Enter]</w:t>
            </w:r>
          </w:p>
        </w:tc>
        <w:tc>
          <w:tcPr>
            <w:tcW w:type="dxa" w:w="2304"/>
            <w:vAlign w:val="center"/>
            <w:tcMar>
              <w:top w:w="80" w:type="dxa"/>
              <w:left w:w="100" w:type="dxa"/>
              <w:bottom w:w="80" w:type="dxa"/>
              <w:right w:w="100" w:type="dxa"/>
            </w:tcMar>
            <w:shd w:fill="FFFFFF"/>
          </w:tcPr>
          <w:p>
            <w:pPr>
              <w:spacing w:after="0" w:line="245" w:lineRule="auto"/>
            </w:pPr>
            <w:r>
              <w:rPr>
                <w:sz w:val="20"/>
              </w:rPr>
              <w:t>[Enter]</w:t>
            </w:r>
          </w:p>
        </w:tc>
        <w:tc>
          <w:tcPr>
            <w:tcW w:type="dxa" w:w="2664"/>
            <w:vAlign w:val="center"/>
            <w:tcMar>
              <w:top w:w="80" w:type="dxa"/>
              <w:left w:w="100" w:type="dxa"/>
              <w:bottom w:w="80" w:type="dxa"/>
              <w:right w:w="100" w:type="dxa"/>
            </w:tcMar>
            <w:shd w:fill="FFFFFF"/>
          </w:tcPr>
          <w:p>
            <w:pPr>
              <w:spacing w:after="0" w:line="245" w:lineRule="auto"/>
            </w:pPr>
            <w:r>
              <w:rPr>
                <w:sz w:val="20"/>
              </w:rPr>
              <w:t>[Enter]</w:t>
            </w:r>
          </w:p>
        </w:tc>
        <w:tc>
          <w:tcPr>
            <w:tcW w:type="dxa" w:w="2160"/>
            <w:vAlign w:val="center"/>
            <w:tcMar>
              <w:top w:w="80" w:type="dxa"/>
              <w:left w:w="100" w:type="dxa"/>
              <w:bottom w:w="80" w:type="dxa"/>
              <w:right w:w="100" w:type="dxa"/>
            </w:tcMar>
            <w:shd w:fill="FFFFFF"/>
          </w:tcPr>
          <w:p>
            <w:pPr>
              <w:spacing w:after="0" w:line="245" w:lineRule="auto"/>
            </w:pPr>
            <w:r>
              <w:rPr>
                <w:sz w:val="20"/>
              </w:rPr>
              <w:t>[File/page/tag]</w:t>
            </w:r>
          </w:p>
        </w:tc>
        <w:tc>
          <w:tcPr>
            <w:tcW w:type="dxa" w:w="2232"/>
            <w:vAlign w:val="center"/>
            <w:tcMar>
              <w:top w:w="80" w:type="dxa"/>
              <w:left w:w="100" w:type="dxa"/>
              <w:bottom w:w="80" w:type="dxa"/>
              <w:right w:w="100" w:type="dxa"/>
            </w:tcMar>
            <w:shd w:fill="FFFFFF"/>
          </w:tcPr>
          <w:p>
            <w:pPr>
              <w:spacing w:after="0" w:line="245" w:lineRule="auto"/>
            </w:pPr>
            <w:r>
              <w:rPr>
                <w:sz w:val="20"/>
              </w:rPr>
              <w:t>[Enter]</w:t>
            </w:r>
          </w:p>
        </w:tc>
      </w:tr>
    </w:tbl>
    <w:p>
      <w:pPr>
        <w:spacing w:after="20" w:line="40" w:lineRule="exact"/>
      </w:pPr>
      <w:r>
        <w:rPr>
          <w:sz w:val="4"/>
        </w:rPr>
      </w:r>
    </w:p>
    <w:p>
      <w:r>
        <w:rPr>
          <w:b/>
        </w:rPr>
        <w:t xml:space="preserve">Missing or conflicting evidence  </w:t>
      </w:r>
      <w:r>
        <w:t>List unknowns, suspect instruments, inconsistent balances and questions that could materially change the diagnosis. Distinguish unavailable from not yet checked.</w:t>
      </w:r>
    </w:p>
    <w:p>
      <w:pPr>
        <w:spacing w:after="180"/>
      </w:pPr>
      <w:r>
        <w:rPr>
          <w:sz w:val="20"/>
        </w:rPr>
        <w:t>[Enter response or state unknown / not applicable.]</w:t>
      </w:r>
    </w:p>
    <w:p>
      <w:r>
        <w:rPr>
          <w:b/>
        </w:rPr>
        <w:t xml:space="preserve">Evidence attachments  </w:t>
      </w:r>
      <w:r>
        <w:t>List sketches, trends, photos, laboratory results and other files. Give each an asset ID; mark when it became available and record its permission scope.</w:t>
      </w:r>
    </w:p>
    <w:p>
      <w:pPr>
        <w:spacing w:after="180"/>
      </w:pPr>
      <w:r>
        <w:rPr>
          <w:sz w:val="20"/>
        </w:rPr>
        <w:t>[Enter response or state unknown / not applicable.]</w:t>
      </w:r>
    </w:p>
    <w:p>
      <w:r>
        <w:br w:type="page"/>
      </w:r>
    </w:p>
    <w:p>
      <w:pPr>
        <w:pStyle w:val="Heading1"/>
      </w:pPr>
      <w:r>
        <w:t>6 Reusable case template part B</w:t>
      </w:r>
    </w:p>
    <w:p>
      <w:r>
        <w:t>Case ID [enter]   Family ID [enter]   Expert [enter]   Independent reviewer [enter]. Preserve the historical sequence; do not retroactively place the final diagnosis in the initial observations.</w:t>
      </w:r>
    </w:p>
    <w:p>
      <w:pPr>
        <w:pStyle w:val="Heading2"/>
      </w:pPr>
      <w:r>
        <w:t>Competing explanations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76"/>
        <w:gridCol w:w="2520"/>
        <w:gridCol w:w="3168"/>
      </w:tblGrid>
      <w:tr>
        <w:trPr>
          <w:cantSplit/>
          <w:tblHeader/>
        </w:trPr>
        <w:tc>
          <w:tcPr>
            <w:tcW w:type="dxa" w:w="2304"/>
            <w:vAlign w:val="center"/>
            <w:tcMar>
              <w:top w:w="80" w:type="dxa"/>
              <w:left w:w="100" w:type="dxa"/>
              <w:bottom w:w="80" w:type="dxa"/>
              <w:right w:w="100" w:type="dxa"/>
            </w:tcMar>
            <w:shd w:fill="18364D"/>
          </w:tcPr>
          <w:p>
            <w:pPr>
              <w:spacing w:after="0" w:line="245" w:lineRule="auto"/>
            </w:pPr>
            <w:r>
              <w:rPr>
                <w:b/>
                <w:color w:val="FFFFFF"/>
                <w:sz w:val="21"/>
              </w:rPr>
              <w:t>Hypothesis</w:t>
            </w:r>
          </w:p>
        </w:tc>
        <w:tc>
          <w:tcPr>
            <w:tcW w:type="dxa" w:w="2376"/>
            <w:vAlign w:val="center"/>
            <w:tcMar>
              <w:top w:w="80" w:type="dxa"/>
              <w:left w:w="100" w:type="dxa"/>
              <w:bottom w:w="80" w:type="dxa"/>
              <w:right w:w="100" w:type="dxa"/>
            </w:tcMar>
            <w:shd w:fill="18364D"/>
          </w:tcPr>
          <w:p>
            <w:pPr>
              <w:spacing w:after="0" w:line="245" w:lineRule="auto"/>
            </w:pPr>
            <w:r>
              <w:rPr>
                <w:b/>
                <w:color w:val="FFFFFF"/>
                <w:sz w:val="21"/>
              </w:rPr>
              <w:t>Supporting evidence</w:t>
            </w:r>
          </w:p>
        </w:tc>
        <w:tc>
          <w:tcPr>
            <w:tcW w:type="dxa" w:w="2520"/>
            <w:vAlign w:val="center"/>
            <w:tcMar>
              <w:top w:w="80" w:type="dxa"/>
              <w:left w:w="100" w:type="dxa"/>
              <w:bottom w:w="80" w:type="dxa"/>
              <w:right w:w="100" w:type="dxa"/>
            </w:tcMar>
            <w:shd w:fill="18364D"/>
          </w:tcPr>
          <w:p>
            <w:pPr>
              <w:spacing w:after="0" w:line="245" w:lineRule="auto"/>
            </w:pPr>
            <w:r>
              <w:rPr>
                <w:b/>
                <w:color w:val="FFFFFF"/>
                <w:sz w:val="21"/>
              </w:rPr>
              <w:t>Contradicting evidence</w:t>
            </w:r>
          </w:p>
        </w:tc>
        <w:tc>
          <w:tcPr>
            <w:tcW w:type="dxa" w:w="3168"/>
            <w:vAlign w:val="center"/>
            <w:tcMar>
              <w:top w:w="80" w:type="dxa"/>
              <w:left w:w="100" w:type="dxa"/>
              <w:bottom w:w="80" w:type="dxa"/>
              <w:right w:w="100" w:type="dxa"/>
            </w:tcMar>
            <w:shd w:fill="18364D"/>
          </w:tcPr>
          <w:p>
            <w:pPr>
              <w:spacing w:after="0" w:line="245" w:lineRule="auto"/>
            </w:pPr>
            <w:r>
              <w:rPr>
                <w:b/>
                <w:color w:val="FFFFFF"/>
                <w:sz w:val="21"/>
              </w:rPr>
              <w:t>What would distinguish it</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[Enter]</w:t>
            </w:r>
          </w:p>
        </w:tc>
        <w:tc>
          <w:tcPr>
            <w:tcW w:type="dxa" w:w="2376"/>
            <w:vAlign w:val="center"/>
            <w:tcMar>
              <w:top w:w="80" w:type="dxa"/>
              <w:left w:w="100" w:type="dxa"/>
              <w:bottom w:w="80" w:type="dxa"/>
              <w:right w:w="100" w:type="dxa"/>
            </w:tcMar>
            <w:shd w:fill="F2F4F5"/>
          </w:tcPr>
          <w:p>
            <w:pPr>
              <w:spacing w:after="0" w:line="245" w:lineRule="auto"/>
            </w:pPr>
            <w:r>
              <w:rPr>
                <w:sz w:val="21"/>
              </w:rPr>
              <w:t>[Source IDs]</w:t>
            </w:r>
          </w:p>
        </w:tc>
        <w:tc>
          <w:tcPr>
            <w:tcW w:type="dxa" w:w="2520"/>
            <w:vAlign w:val="center"/>
            <w:tcMar>
              <w:top w:w="80" w:type="dxa"/>
              <w:left w:w="100" w:type="dxa"/>
              <w:bottom w:w="80" w:type="dxa"/>
              <w:right w:w="100" w:type="dxa"/>
            </w:tcMar>
            <w:shd w:fill="F2F4F5"/>
          </w:tcPr>
          <w:p>
            <w:pPr>
              <w:spacing w:after="0" w:line="245" w:lineRule="auto"/>
            </w:pPr>
            <w:r>
              <w:rPr>
                <w:sz w:val="21"/>
              </w:rPr>
              <w:t>[Source IDs or unknown]</w:t>
            </w:r>
          </w:p>
        </w:tc>
        <w:tc>
          <w:tcPr>
            <w:tcW w:type="dxa" w:w="3168"/>
            <w:vAlign w:val="center"/>
            <w:tcMar>
              <w:top w:w="80" w:type="dxa"/>
              <w:left w:w="100" w:type="dxa"/>
              <w:bottom w:w="80" w:type="dxa"/>
              <w:right w:w="100" w:type="dxa"/>
            </w:tcMar>
            <w:shd w:fill="F2F4F5"/>
          </w:tcPr>
          <w:p>
            <w:pPr>
              <w:spacing w:after="0" w:line="245" w:lineRule="auto"/>
            </w:pPr>
            <w:r>
              <w:rPr>
                <w:sz w:val="21"/>
              </w:rPr>
              <w:t>[Required evidence]</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[Enter]</w:t>
            </w:r>
          </w:p>
        </w:tc>
        <w:tc>
          <w:tcPr>
            <w:tcW w:type="dxa" w:w="2376"/>
            <w:vAlign w:val="center"/>
            <w:tcMar>
              <w:top w:w="80" w:type="dxa"/>
              <w:left w:w="100" w:type="dxa"/>
              <w:bottom w:w="80" w:type="dxa"/>
              <w:right w:w="100" w:type="dxa"/>
            </w:tcMar>
            <w:shd w:fill="FFFFFF"/>
          </w:tcPr>
          <w:p>
            <w:pPr>
              <w:spacing w:after="0" w:line="245" w:lineRule="auto"/>
            </w:pPr>
            <w:r>
              <w:rPr>
                <w:sz w:val="21"/>
              </w:rPr>
              <w:t>[Source IDs]</w:t>
            </w:r>
          </w:p>
        </w:tc>
        <w:tc>
          <w:tcPr>
            <w:tcW w:type="dxa" w:w="2520"/>
            <w:vAlign w:val="center"/>
            <w:tcMar>
              <w:top w:w="80" w:type="dxa"/>
              <w:left w:w="100" w:type="dxa"/>
              <w:bottom w:w="80" w:type="dxa"/>
              <w:right w:w="100" w:type="dxa"/>
            </w:tcMar>
            <w:shd w:fill="FFFFFF"/>
          </w:tcPr>
          <w:p>
            <w:pPr>
              <w:spacing w:after="0" w:line="245" w:lineRule="auto"/>
            </w:pPr>
            <w:r>
              <w:rPr>
                <w:sz w:val="21"/>
              </w:rPr>
              <w:t>[Source IDs or unknown]</w:t>
            </w:r>
          </w:p>
        </w:tc>
        <w:tc>
          <w:tcPr>
            <w:tcW w:type="dxa" w:w="3168"/>
            <w:vAlign w:val="center"/>
            <w:tcMar>
              <w:top w:w="80" w:type="dxa"/>
              <w:left w:w="100" w:type="dxa"/>
              <w:bottom w:w="80" w:type="dxa"/>
              <w:right w:w="100" w:type="dxa"/>
            </w:tcMar>
            <w:shd w:fill="FFFFFF"/>
          </w:tcPr>
          <w:p>
            <w:pPr>
              <w:spacing w:after="0" w:line="245" w:lineRule="auto"/>
            </w:pPr>
            <w:r>
              <w:rPr>
                <w:sz w:val="21"/>
              </w:rPr>
              <w:t>[Required evidence]</w:t>
            </w:r>
          </w:p>
        </w:tc>
      </w:tr>
    </w:tbl>
    <w:p>
      <w:pPr>
        <w:spacing w:after="20" w:line="40" w:lineRule="exact"/>
      </w:pPr>
      <w:r>
        <w:rPr>
          <w:sz w:val="4"/>
        </w:rPr>
      </w:r>
    </w:p>
    <w:p>
      <w:r>
        <w:rPr>
          <w:b/>
        </w:rPr>
        <w:t xml:space="preserve">Diagnostic turning point  </w:t>
      </w:r>
      <w:r>
        <w:t>Which observation or calculation changed the ranking of explanations? Explain its engineering significance and what remained uncertain.</w:t>
      </w:r>
    </w:p>
    <w:p>
      <w:pPr>
        <w:spacing w:after="180"/>
      </w:pPr>
      <w:r>
        <w:rPr>
          <w:sz w:val="20"/>
        </w:rPr>
        <w:t>[Enter response or state unknown / not applicable.]</w:t>
      </w:r>
    </w:p>
    <w:p>
      <w:r>
        <w:rPr>
          <w:b/>
        </w:rPr>
        <w:t xml:space="preserve">Calculations and checks  </w:t>
      </w:r>
      <w:r>
        <w:t>Link calculation cards; specify inputs, property method, units, assumptions, expected range and independently checked result. Record model limitations.</w:t>
      </w:r>
    </w:p>
    <w:p>
      <w:pPr>
        <w:spacing w:after="180"/>
      </w:pPr>
      <w:r>
        <w:rPr>
          <w:sz w:val="20"/>
        </w:rPr>
        <w:t>[Enter response or state unknown / not applicable.]</w:t>
      </w:r>
    </w:p>
    <w:p>
      <w:r>
        <w:rPr>
          <w:b/>
        </w:rPr>
        <w:t xml:space="preserve">Historical actions and authorization  </w:t>
      </w:r>
      <w:r>
        <w:t>What was actually attempted, by whom and under what site approval? Include failed attempts and unintended consequences. Separate a historical action from a recommendation for future use.</w:t>
      </w:r>
    </w:p>
    <w:p>
      <w:pPr>
        <w:spacing w:after="180"/>
      </w:pPr>
      <w:r>
        <w:rPr>
          <w:sz w:val="20"/>
        </w:rPr>
        <w:t>[Enter response or state unknown / not applicable.]</w:t>
      </w:r>
    </w:p>
    <w:p>
      <w:r>
        <w:rPr>
          <w:b/>
        </w:rPr>
        <w:t xml:space="preserve">Outcome and causal confidence  </w:t>
      </w:r>
      <w:r>
        <w:t>Before/after values, measurement period, follow-up, recurrence and other simultaneous changes. Was the mechanism confirmed, inferred, disputed or unresolved? Give the supporting evidence.</w:t>
      </w:r>
    </w:p>
    <w:p>
      <w:pPr>
        <w:spacing w:after="180"/>
      </w:pPr>
      <w:r>
        <w:rPr>
          <w:sz w:val="20"/>
        </w:rPr>
        <w:t>[Enter response or state unknown / not applicable.]</w:t>
      </w:r>
    </w:p>
    <w:p>
      <w:r>
        <w:rPr>
          <w:b/>
        </w:rPr>
        <w:t xml:space="preserve">Value and applicability  </w:t>
      </w:r>
      <w:r>
        <w:t>Record downtime, throughput, energy or cost effects only with a basis and period; label estimates. State transferable lessons, boundaries, counterexamples and escalation needs.</w:t>
      </w:r>
    </w:p>
    <w:p>
      <w:pPr>
        <w:spacing w:after="180"/>
      </w:pPr>
      <w:r>
        <w:rPr>
          <w:sz w:val="20"/>
        </w:rPr>
        <w:t>[Enter response or state unknown / not applicable.]</w:t>
      </w:r>
    </w:p>
    <w:p>
      <w:r>
        <w:rPr>
          <w:b/>
        </w:rPr>
        <w:t xml:space="preserve">Review and release  </w:t>
      </w:r>
      <w:r>
        <w:t>Expert corrections; reviewer findings; unresolved disagreements; technical acceptance; rights status; version; train/development/locked-test assignment; permitted retrieval and display.</w:t>
      </w:r>
    </w:p>
    <w:p>
      <w:pPr>
        <w:spacing w:after="180"/>
      </w:pPr>
      <w:r>
        <w:rPr>
          <w:sz w:val="20"/>
        </w:rPr>
        <w:t>[Enter response or state unknown / not applicable.]</w:t>
      </w:r>
    </w:p>
    <w:p>
      <w:r>
        <w:t>A case with no confirmed cause may still support an uncertainty or escalation exercise. Its target must not assert a resolution that the evidence does not establish. An author cannot serve as the independent reviewer of their own case.</w:t>
      </w:r>
    </w:p>
    <w:p>
      <w:r>
        <w:br w:type="page"/>
      </w:r>
    </w:p>
    <w:p>
      <w:pPr>
        <w:pStyle w:val="Heading1"/>
      </w:pPr>
      <w:r>
        <w:t>7 Reusable rule and calculation card</w:t>
      </w:r>
    </w:p>
    <w:p>
      <w:r>
        <w:t>Use one card for each rule of thumb, diagnostic relationship or engineering calculation. Link it to supporting cases. Preserve a distinction between a physical relationship, an empirical correlation and an expert heuristic.</w:t>
      </w:r>
    </w:p>
    <w:p>
      <w:r>
        <w:rPr>
          <w:b/>
        </w:rPr>
        <w:t xml:space="preserve">Card identity and claim  </w:t>
      </w:r>
      <w:r>
        <w:t>Card ID; type; author; version; related case IDs; concise statement of the rule, relationship or calculation purpose.</w:t>
      </w:r>
    </w:p>
    <w:p>
      <w:pPr>
        <w:spacing w:after="180"/>
      </w:pPr>
      <w:r>
        <w:rPr>
          <w:sz w:val="20"/>
        </w:rPr>
        <w:t>[Enter response or state unknown / not applicable.]</w:t>
      </w:r>
    </w:p>
    <w:p>
      <w:r>
        <w:rPr>
          <w:b/>
        </w:rPr>
        <w:t xml:space="preserve">Applicability and limits  </w:t>
      </w:r>
      <w:r>
        <w:t>Service, configuration, phase, fluid/composition, temperature/pressure or other relevant range; assumptions; exclusions; source of any threshold.</w:t>
      </w:r>
    </w:p>
    <w:p>
      <w:pPr>
        <w:spacing w:after="180"/>
      </w:pPr>
      <w:r>
        <w:rPr>
          <w:sz w:val="20"/>
        </w:rPr>
        <w:t>[Enter response or state unknown / not applicable.]</w:t>
      </w:r>
    </w:p>
    <w:p>
      <w:r>
        <w:rPr>
          <w:b/>
        </w:rPr>
        <w:t xml:space="preserve">Required inputs and evidence  </w:t>
      </w:r>
      <w:r>
        <w:t>Variable definitions, units, measurement locations, instrument quality, data timing and the minimum information needed to use the card.</w:t>
      </w:r>
    </w:p>
    <w:p>
      <w:pPr>
        <w:spacing w:after="180"/>
      </w:pPr>
      <w:r>
        <w:rPr>
          <w:sz w:val="20"/>
        </w:rPr>
        <w:t>[Enter response or state unknown / not applicable.]</w:t>
      </w:r>
    </w:p>
    <w:p>
      <w:r>
        <w:rPr>
          <w:b/>
        </w:rPr>
        <w:t xml:space="preserve">Calculation or interpretation  </w:t>
      </w:r>
      <w:r>
        <w:t>Equation or decision relationship; method/property source; units; sign convention; calculation steps; software/tool version where applicable.</w:t>
      </w:r>
    </w:p>
    <w:p>
      <w:pPr>
        <w:spacing w:after="180"/>
      </w:pPr>
      <w:r>
        <w:rPr>
          <w:sz w:val="20"/>
        </w:rPr>
        <w:t>[Enter response or state unknown / not applicable.]</w:t>
      </w:r>
    </w:p>
    <w:p>
      <w:r>
        <w:rPr>
          <w:b/>
        </w:rPr>
        <w:t xml:space="preserve">Worked example and independent check  </w:t>
      </w:r>
      <w:r>
        <w:t>Source of input values; expected result and tolerance; uncertainty or sensitivity; independent calculation or other corroboration. Mark synthetic inputs explicitly.</w:t>
      </w:r>
    </w:p>
    <w:p>
      <w:pPr>
        <w:spacing w:after="180"/>
      </w:pPr>
      <w:r>
        <w:rPr>
          <w:sz w:val="20"/>
        </w:rPr>
        <w:t>[Enter response or state unknown / not applicable.]</w:t>
      </w:r>
    </w:p>
    <w:p>
      <w:r>
        <w:rPr>
          <w:b/>
        </w:rPr>
        <w:t xml:space="preserve">Counterexample and failure conditions  </w:t>
      </w:r>
      <w:r>
        <w:t>A situation where the rule fails, gives an ambiguous answer or requires escalation. Explain how an operator or engineer would recognize that boundary.</w:t>
      </w:r>
    </w:p>
    <w:p>
      <w:pPr>
        <w:spacing w:after="180"/>
      </w:pPr>
      <w:r>
        <w:rPr>
          <w:sz w:val="20"/>
        </w:rPr>
        <w:t>[Enter response or state unknown / not applicable.]</w:t>
      </w:r>
    </w:p>
    <w:p>
      <w:r>
        <w:rPr>
          <w:b/>
        </w:rPr>
        <w:t xml:space="preserve">Sources permissions and acceptance  </w:t>
      </w:r>
      <w:r>
        <w:t>Publication/page or interview timestamp; rights record; independent reviewer; unresolved issues; approved use; next review trigger.</w:t>
      </w:r>
    </w:p>
    <w:p>
      <w:pPr>
        <w:spacing w:after="180"/>
      </w:pPr>
      <w:r>
        <w:rPr>
          <w:sz w:val="20"/>
        </w:rPr>
        <w:t>[Enter response or state unknown / not applicable.]</w:t>
      </w:r>
    </w:p>
    <w:p>
      <w:r>
        <w:t>Do not turn a recalled numerical shortcut into a universal operating limit. Store exact equipment or site limits with their authoritative source and revision. A calculation card can guide tool use; its numerical outputs should be recomputed from validated inputs rather than recalled from model weights.</w:t>
      </w:r>
    </w:p>
    <w:p>
      <w:r>
        <w:br w:type="page"/>
      </w:r>
    </w:p>
    <w:p>
      <w:pPr>
        <w:pStyle w:val="Heading1"/>
      </w:pPr>
      <w:r>
        <w:t>8 Package the knowledge for training and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032"/>
        <w:gridCol w:w="3888"/>
      </w:tblGrid>
      <w:tr>
        <w:trPr>
          <w:cantSplit/>
          <w:tblHeader/>
        </w:trPr>
        <w:tc>
          <w:tcPr>
            <w:tcW w:type="dxa" w:w="2448"/>
            <w:vAlign w:val="center"/>
            <w:tcMar>
              <w:top w:w="80" w:type="dxa"/>
              <w:left w:w="100" w:type="dxa"/>
              <w:bottom w:w="80" w:type="dxa"/>
              <w:right w:w="100" w:type="dxa"/>
            </w:tcMar>
            <w:shd w:fill="18364D"/>
          </w:tcPr>
          <w:p>
            <w:pPr>
              <w:spacing w:after="0" w:line="245" w:lineRule="auto"/>
            </w:pPr>
            <w:r>
              <w:rPr>
                <w:b/>
                <w:color w:val="FFFFFF"/>
                <w:sz w:val="21"/>
              </w:rPr>
              <w:t>Knowledge artifact</w:t>
            </w:r>
          </w:p>
        </w:tc>
        <w:tc>
          <w:tcPr>
            <w:tcW w:type="dxa" w:w="4032"/>
            <w:vAlign w:val="center"/>
            <w:tcMar>
              <w:top w:w="80" w:type="dxa"/>
              <w:left w:w="100" w:type="dxa"/>
              <w:bottom w:w="80" w:type="dxa"/>
              <w:right w:w="100" w:type="dxa"/>
            </w:tcMar>
            <w:shd w:fill="18364D"/>
          </w:tcPr>
          <w:p>
            <w:pPr>
              <w:spacing w:after="0" w:line="245" w:lineRule="auto"/>
            </w:pPr>
            <w:r>
              <w:rPr>
                <w:b/>
                <w:color w:val="FFFFFF"/>
                <w:sz w:val="21"/>
              </w:rPr>
              <w:t>Preferred use</w:t>
            </w:r>
          </w:p>
        </w:tc>
        <w:tc>
          <w:tcPr>
            <w:tcW w:type="dxa" w:w="3888"/>
            <w:vAlign w:val="center"/>
            <w:tcMar>
              <w:top w:w="80" w:type="dxa"/>
              <w:left w:w="100" w:type="dxa"/>
              <w:bottom w:w="80" w:type="dxa"/>
              <w:right w:w="100" w:type="dxa"/>
            </w:tcMar>
            <w:shd w:fill="18364D"/>
          </w:tcPr>
          <w:p>
            <w:pPr>
              <w:spacing w:after="0" w:line="245" w:lineRule="auto"/>
            </w:pPr>
            <w:r>
              <w:rPr>
                <w:b/>
                <w:color w:val="FFFFFF"/>
                <w:sz w:val="21"/>
              </w:rPr>
              <w:t>Acceptance requirement</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Approved diagnostic case</w:t>
            </w:r>
          </w:p>
        </w:tc>
        <w:tc>
          <w:tcPr>
            <w:tcW w:type="dxa" w:w="4032"/>
            <w:vAlign w:val="center"/>
            <w:tcMar>
              <w:top w:w="80" w:type="dxa"/>
              <w:left w:w="100" w:type="dxa"/>
              <w:bottom w:w="80" w:type="dxa"/>
              <w:right w:w="100" w:type="dxa"/>
            </w:tcMar>
            <w:shd w:fill="F2F4F5"/>
          </w:tcPr>
          <w:p>
            <w:pPr>
              <w:spacing w:after="0" w:line="245" w:lineRule="auto"/>
            </w:pPr>
            <w:r>
              <w:rPr>
                <w:sz w:val="21"/>
              </w:rPr>
              <w:t>SFT examples for evidence selection, questions and concise diagnostic explanations.</w:t>
            </w:r>
          </w:p>
        </w:tc>
        <w:tc>
          <w:tcPr>
            <w:tcW w:type="dxa" w:w="3888"/>
            <w:vAlign w:val="center"/>
            <w:tcMar>
              <w:top w:w="80" w:type="dxa"/>
              <w:left w:w="100" w:type="dxa"/>
              <w:bottom w:w="80" w:type="dxa"/>
              <w:right w:w="100" w:type="dxa"/>
            </w:tcMar>
            <w:shd w:fill="F2F4F5"/>
          </w:tcPr>
          <w:p>
            <w:pPr>
              <w:spacing w:after="0" w:line="245" w:lineRule="auto"/>
            </w:pPr>
            <w:r>
              <w:rPr>
                <w:sz w:val="21"/>
              </w:rPr>
              <w:t>Traceable observations; supported target; applicability limits; independent review.</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Rule and calculation card</w:t>
            </w:r>
          </w:p>
        </w:tc>
        <w:tc>
          <w:tcPr>
            <w:tcW w:type="dxa" w:w="4032"/>
            <w:vAlign w:val="center"/>
            <w:tcMar>
              <w:top w:w="80" w:type="dxa"/>
              <w:left w:w="100" w:type="dxa"/>
              <w:bottom w:w="80" w:type="dxa"/>
              <w:right w:w="100" w:type="dxa"/>
            </w:tcMar>
            <w:shd w:fill="FFFFFF"/>
          </w:tcPr>
          <w:p>
            <w:pPr>
              <w:spacing w:after="0" w:line="245" w:lineRule="auto"/>
            </w:pPr>
            <w:r>
              <w:rPr>
                <w:sz w:val="21"/>
              </w:rPr>
              <w:t>Tool instructions, worked calculations and supporting retrieval.</w:t>
            </w:r>
          </w:p>
        </w:tc>
        <w:tc>
          <w:tcPr>
            <w:tcW w:type="dxa" w:w="3888"/>
            <w:vAlign w:val="center"/>
            <w:tcMar>
              <w:top w:w="80" w:type="dxa"/>
              <w:left w:w="100" w:type="dxa"/>
              <w:bottom w:w="80" w:type="dxa"/>
              <w:right w:w="100" w:type="dxa"/>
            </w:tcMar>
            <w:shd w:fill="FFFFFF"/>
          </w:tcPr>
          <w:p>
            <w:pPr>
              <w:spacing w:after="0" w:line="245" w:lineRule="auto"/>
            </w:pPr>
            <w:r>
              <w:rPr>
                <w:sz w:val="21"/>
              </w:rPr>
              <w:t>Checked units and result; valid range; counterexample; source and rights.</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Current manuals and site references</w:t>
            </w:r>
          </w:p>
        </w:tc>
        <w:tc>
          <w:tcPr>
            <w:tcW w:type="dxa" w:w="4032"/>
            <w:vAlign w:val="center"/>
            <w:tcMar>
              <w:top w:w="80" w:type="dxa"/>
              <w:left w:w="100" w:type="dxa"/>
              <w:bottom w:w="80" w:type="dxa"/>
              <w:right w:w="100" w:type="dxa"/>
            </w:tcMar>
            <w:shd w:fill="F2F4F5"/>
          </w:tcPr>
          <w:p>
            <w:pPr>
              <w:spacing w:after="0" w:line="245" w:lineRule="auto"/>
            </w:pPr>
            <w:r>
              <w:rPr>
                <w:sz w:val="21"/>
              </w:rPr>
              <w:t>Versioned, permission-controlled retrieval.</w:t>
            </w:r>
          </w:p>
        </w:tc>
        <w:tc>
          <w:tcPr>
            <w:tcW w:type="dxa" w:w="3888"/>
            <w:vAlign w:val="center"/>
            <w:tcMar>
              <w:top w:w="80" w:type="dxa"/>
              <w:left w:w="100" w:type="dxa"/>
              <w:bottom w:w="80" w:type="dxa"/>
              <w:right w:w="100" w:type="dxa"/>
            </w:tcMar>
            <w:shd w:fill="F2F4F5"/>
          </w:tcPr>
          <w:p>
            <w:pPr>
              <w:spacing w:after="0" w:line="245" w:lineRule="auto"/>
            </w:pPr>
            <w:r>
              <w:rPr>
                <w:sz w:val="21"/>
              </w:rPr>
              <w:t>Correct edition, audience and use permission; update owner.</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Paired responses and rubric</w:t>
            </w:r>
          </w:p>
        </w:tc>
        <w:tc>
          <w:tcPr>
            <w:tcW w:type="dxa" w:w="4032"/>
            <w:vAlign w:val="center"/>
            <w:tcMar>
              <w:top w:w="80" w:type="dxa"/>
              <w:left w:w="100" w:type="dxa"/>
              <w:bottom w:w="80" w:type="dxa"/>
              <w:right w:w="100" w:type="dxa"/>
            </w:tcMar>
            <w:shd w:fill="FFFFFF"/>
          </w:tcPr>
          <w:p>
            <w:pPr>
              <w:spacing w:after="0" w:line="245" w:lineRule="auto"/>
            </w:pPr>
            <w:r>
              <w:rPr>
                <w:sz w:val="21"/>
              </w:rPr>
              <w:t>Preference examples or scoring, after the first supervised baseline.</w:t>
            </w:r>
          </w:p>
        </w:tc>
        <w:tc>
          <w:tcPr>
            <w:tcW w:type="dxa" w:w="3888"/>
            <w:vAlign w:val="center"/>
            <w:tcMar>
              <w:top w:w="80" w:type="dxa"/>
              <w:left w:w="100" w:type="dxa"/>
              <w:bottom w:w="80" w:type="dxa"/>
              <w:right w:w="100" w:type="dxa"/>
            </w:tcMar>
            <w:shd w:fill="FFFFFF"/>
          </w:tcPr>
          <w:p>
            <w:pPr>
              <w:spacing w:after="0" w:line="245" w:lineRule="auto"/>
            </w:pPr>
            <w:r>
              <w:rPr>
                <w:sz w:val="21"/>
              </w:rPr>
              <w:t>Expert explains why one answer is better; both answers linked to the same evidence.</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Fresh challenge case</w:t>
            </w:r>
          </w:p>
        </w:tc>
        <w:tc>
          <w:tcPr>
            <w:tcW w:type="dxa" w:w="4032"/>
            <w:vAlign w:val="center"/>
            <w:tcMar>
              <w:top w:w="80" w:type="dxa"/>
              <w:left w:w="100" w:type="dxa"/>
              <w:bottom w:w="80" w:type="dxa"/>
              <w:right w:w="100" w:type="dxa"/>
            </w:tcMar>
            <w:shd w:fill="F2F4F5"/>
          </w:tcPr>
          <w:p>
            <w:pPr>
              <w:spacing w:after="0" w:line="245" w:lineRule="auto"/>
            </w:pPr>
            <w:r>
              <w:rPr>
                <w:sz w:val="21"/>
              </w:rPr>
              <w:t>Locked evaluation of diagnosis, uncertainty and escalation.</w:t>
            </w:r>
          </w:p>
        </w:tc>
        <w:tc>
          <w:tcPr>
            <w:tcW w:type="dxa" w:w="3888"/>
            <w:vAlign w:val="center"/>
            <w:tcMar>
              <w:top w:w="80" w:type="dxa"/>
              <w:left w:w="100" w:type="dxa"/>
              <w:bottom w:w="80" w:type="dxa"/>
              <w:right w:w="100" w:type="dxa"/>
            </w:tcMar>
            <w:shd w:fill="F2F4F5"/>
          </w:tcPr>
          <w:p>
            <w:pPr>
              <w:spacing w:after="0" w:line="245" w:lineRule="auto"/>
            </w:pPr>
            <w:r>
              <w:rPr>
                <w:sz w:val="21"/>
              </w:rPr>
              <w:t>Kept out of training and development; independent scoring and protected answer key.</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Original interview and annotated evidence</w:t>
            </w:r>
          </w:p>
        </w:tc>
        <w:tc>
          <w:tcPr>
            <w:tcW w:type="dxa" w:w="4032"/>
            <w:vAlign w:val="center"/>
            <w:tcMar>
              <w:top w:w="80" w:type="dxa"/>
              <w:left w:w="100" w:type="dxa"/>
              <w:bottom w:w="80" w:type="dxa"/>
              <w:right w:w="100" w:type="dxa"/>
            </w:tcMar>
            <w:shd w:fill="FFFFFF"/>
          </w:tcPr>
          <w:p>
            <w:pPr>
              <w:spacing w:after="0" w:line="245" w:lineRule="auto"/>
            </w:pPr>
            <w:r>
              <w:rPr>
                <w:sz w:val="21"/>
              </w:rPr>
              <w:t>Audit trail, approved retrieval and further curation.</w:t>
            </w:r>
          </w:p>
        </w:tc>
        <w:tc>
          <w:tcPr>
            <w:tcW w:type="dxa" w:w="3888"/>
            <w:vAlign w:val="center"/>
            <w:tcMar>
              <w:top w:w="80" w:type="dxa"/>
              <w:left w:w="100" w:type="dxa"/>
              <w:bottom w:w="80" w:type="dxa"/>
              <w:right w:w="100" w:type="dxa"/>
            </w:tcMar>
            <w:shd w:fill="FFFFFF"/>
          </w:tcPr>
          <w:p>
            <w:pPr>
              <w:spacing w:after="0" w:line="245" w:lineRule="auto"/>
            </w:pPr>
            <w:r>
              <w:rPr>
                <w:sz w:val="21"/>
              </w:rPr>
              <w:t>Recording/transcription permission; checked transcript; asset-level provenance.</w:t>
            </w:r>
          </w:p>
        </w:tc>
      </w:tr>
    </w:tbl>
    <w:p>
      <w:pPr>
        <w:spacing w:after="20" w:line="40" w:lineRule="exact"/>
      </w:pPr>
      <w:r>
        <w:rPr>
          <w:sz w:val="4"/>
        </w:rPr>
      </w:r>
    </w:p>
    <w:p>
      <w:pPr>
        <w:pStyle w:val="Heading2"/>
      </w:pPr>
      <w:r>
        <w:t>Quality gate for each item</w:t>
      </w:r>
    </w:p>
    <w:p>
      <w:r>
        <w:t>Accept an item only when its intended use is permitted, its technical scope is explicit, material claims have evidence, calculations have been checked and an independent reviewer’s findings are resolved or reflected in the target. Tag every claim as observation, expert interpretation, calculation result or unresolved assertion. A second expert’s agreement is corroboration, not a substitute for missing evidence.</w:t>
      </w:r>
    </w:p>
    <w:p>
      <w:r>
        <w:t>Preserve expert disagreement with the relevant conditions and rationale. The Technical Director decides whether an item is accepted for training, restricted to reference use or held for further work. The Knowledge Engineer maintains the record; the Head of Product &amp; AI controls the release manifest. The Managing Director owns licensing commitments within the parent’s delegation.</w:t>
      </w:r>
    </w:p>
    <w:p>
      <w:pPr>
        <w:pStyle w:val="Heading2"/>
      </w:pPr>
      <w:r>
        <w:t>Fit with the existing program</w:t>
      </w:r>
    </w:p>
    <w:p>
      <w:r>
        <w:t>These information sets feed the existing targets of 2,000 approved training examples and 300 incident/scenario families. They are not additional volume commitments. A single case may produce several exercises, but every derivative stays in its case family and split. Apply the 180 training / 60 development / 60 locked-test allocation at family level before generating variants.</w:t>
      </w:r>
    </w:p>
    <w:p>
      <w:r>
        <w:t>Keep held-out resolutions out of training, teacher prompts, retrieval indexes, tools and caches. Test prompts may use only authorized evidence available at the decision time. Preserve outcome records separately so neither the model nor retrieval can silently expose the answer.</w:t>
      </w:r>
    </w:p>
    <w:p>
      <w:pPr>
        <w:pStyle w:val="Heading2"/>
      </w:pPr>
      <w:r>
        <w:t>Completion checklist for the first expert package</w:t>
      </w:r>
    </w:p>
    <w:p>
      <w:r>
        <w:t>The initial package should contain an expertise map, case inventory, accepted pilot cases, an initial rule/calculation library, annotated source assets, misconception examples, evaluation rubrics and a rights/review register. Track accepted independent families, evidence completeness, topic gaps and reviewer findings. Hours of recordings and numbers of generated questions are production measures, not proof of knowledge quality.</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eberman-eng.com/" TargetMode="External"/><Relationship Id="rId11" Type="http://schemas.openxmlformats.org/officeDocument/2006/relationships/hyperlink" Target="https://www.lieberman-eng.com/personnel.htm" TargetMode="External"/><Relationship Id="rId12" Type="http://schemas.openxmlformats.org/officeDocument/2006/relationships/hyperlink" Target="https://onlinelibrary.wiley.com/doi/book/10.1002/9781119640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knowledge capture for Broadbridge Oil and Gas</dc:title>
  <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