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Broadbridge Oil &amp; Gas</w:t>
      </w:r>
    </w:p>
    <w:p>
      <w:pPr>
        <w:pStyle w:val="Subtitle"/>
      </w:pPr>
      <w:r>
        <w:t>Subsidiary organizational chart</w:t>
      </w:r>
    </w:p>
    <w:p>
      <w:r>
        <w:rPr>
          <w:sz w:val="18"/>
        </w:rPr>
        <w:t>Broadbridge4096 subsidiary design  |  23 September 2026</w:t>
      </w:r>
    </w:p>
    <w:p>
      <w:r>
        <w:t>Working name. Initial ownership assumption: 100% Broadbridge4096. Incorporation jurisdiction and final legal form remain a subsequent legal implementation decision.</w:t>
      </w:r>
    </w:p>
    <w:p>
      <w:pPr>
        <w:pStyle w:val="Heading1"/>
      </w:pPr>
      <w:r>
        <w:t>Launch reporting lines</w:t>
      </w:r>
    </w:p>
    <w:p>
      <w:pPr>
        <w:spacing w:after="100"/>
        <w:jc w:val="center"/>
      </w:pPr>
      <w:r>
        <w:rPr>
          <w:b/>
          <w:sz w:val="28"/>
        </w:rPr>
        <w:t>Broadbridge4096</w:t>
      </w:r>
    </w:p>
    <w:p>
      <w:pPr>
        <w:spacing w:after="100"/>
        <w:jc w:val="center"/>
      </w:pPr>
      <w:r>
        <w:rPr>
          <w:b w:val="0"/>
          <w:sz w:val="20"/>
        </w:rPr>
        <w:t>↓  ownership and reserved decisions</w:t>
      </w:r>
    </w:p>
    <w:p>
      <w:pPr>
        <w:spacing w:after="100"/>
        <w:jc w:val="center"/>
      </w:pPr>
      <w:r>
        <w:rPr>
          <w:b/>
          <w:sz w:val="26"/>
        </w:rPr>
        <w:t>Subsidiary Board</w:t>
      </w:r>
    </w:p>
    <w:p>
      <w:pPr>
        <w:spacing w:after="100"/>
        <w:jc w:val="center"/>
      </w:pPr>
      <w:r>
        <w:rPr>
          <w:b w:val="0"/>
          <w:sz w:val="20"/>
        </w:rPr>
        <w:t>↓  oversight and management accountability</w:t>
      </w:r>
    </w:p>
    <w:p>
      <w:pPr>
        <w:spacing w:after="100"/>
        <w:jc w:val="center"/>
      </w:pPr>
      <w:r>
        <w:rPr>
          <w:b/>
          <w:sz w:val="26"/>
        </w:rPr>
        <w:t>Managing Director  •  1 employee</w:t>
      </w:r>
    </w:p>
    <w:p>
      <w:pPr>
        <w:spacing w:after="100"/>
        <w:jc w:val="center"/>
      </w:pPr>
      <w:r>
        <w:rPr>
          <w:b w:val="0"/>
          <w:sz w:val="20"/>
        </w:rPr>
        <w:t>↓  Each leader below reports to the Managing Director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3456"/>
        <w:gridCol w:w="3456"/>
      </w:tblGrid>
      <w:tr>
        <w:trPr>
          <w:cantSplit/>
          <w:tblHeader/>
        </w:trPr>
        <w:tc>
          <w:tcPr>
            <w:tcW w:type="dxa" w:w="3456"/>
            <w:vAlign w:val="center"/>
            <w:tcMar>
              <w:top w:w="80" w:type="dxa"/>
              <w:left w:w="100" w:type="dxa"/>
              <w:bottom w:w="80" w:type="dxa"/>
              <w:right w:w="100" w:type="dxa"/>
            </w:tcMar>
            <w:shd w:fill="18364D"/>
          </w:tcPr>
          <w:p>
            <w:pPr>
              <w:spacing w:after="0" w:line="245" w:lineRule="auto"/>
            </w:pPr>
            <w:r>
              <w:rPr>
                <w:b/>
                <w:color w:val="FFFFFF"/>
                <w:sz w:val="22"/>
              </w:rPr>
              <w:t>Commercial Director</w:t>
              <w:br/>
              <w:t>1 employee</w:t>
            </w:r>
          </w:p>
        </w:tc>
        <w:tc>
          <w:tcPr>
            <w:tcW w:type="dxa" w:w="3456"/>
            <w:vAlign w:val="center"/>
            <w:tcMar>
              <w:top w:w="80" w:type="dxa"/>
              <w:left w:w="100" w:type="dxa"/>
              <w:bottom w:w="80" w:type="dxa"/>
              <w:right w:w="100" w:type="dxa"/>
            </w:tcMar>
            <w:shd w:fill="18364D"/>
          </w:tcPr>
          <w:p>
            <w:pPr>
              <w:spacing w:after="0" w:line="245" w:lineRule="auto"/>
            </w:pPr>
            <w:r>
              <w:rPr>
                <w:b/>
                <w:color w:val="FFFFFF"/>
                <w:sz w:val="22"/>
              </w:rPr>
              <w:t>Technical Director</w:t>
              <w:br/>
              <w:t>1 employee</w:t>
            </w:r>
          </w:p>
        </w:tc>
        <w:tc>
          <w:tcPr>
            <w:tcW w:type="dxa" w:w="3456"/>
            <w:vAlign w:val="center"/>
            <w:tcMar>
              <w:top w:w="80" w:type="dxa"/>
              <w:left w:w="100" w:type="dxa"/>
              <w:bottom w:w="80" w:type="dxa"/>
              <w:right w:w="100" w:type="dxa"/>
            </w:tcMar>
            <w:shd w:fill="18364D"/>
          </w:tcPr>
          <w:p>
            <w:pPr>
              <w:spacing w:after="0" w:line="245" w:lineRule="auto"/>
            </w:pPr>
            <w:r>
              <w:rPr>
                <w:b/>
                <w:color w:val="FFFFFF"/>
                <w:sz w:val="22"/>
              </w:rPr>
              <w:t>Head of Product &amp; AI</w:t>
              <w:br/>
              <w:t>1 employee</w:t>
            </w:r>
          </w:p>
        </w:tc>
      </w:tr>
      <w:tr>
        <w:trPr>
          <w:cantSplit/>
        </w:trPr>
        <w:tc>
          <w:tcPr>
            <w:tcW w:type="dxa" w:w="3456"/>
            <w:vAlign w:val="center"/>
            <w:tcMar>
              <w:top w:w="80" w:type="dxa"/>
              <w:left w:w="100" w:type="dxa"/>
              <w:bottom w:w="80" w:type="dxa"/>
              <w:right w:w="100" w:type="dxa"/>
            </w:tcMar>
            <w:shd w:fill="F2F4F5"/>
          </w:tcPr>
          <w:p>
            <w:pPr>
              <w:spacing w:after="0" w:line="245" w:lineRule="auto"/>
            </w:pPr>
            <w:r>
              <w:rPr>
                <w:sz w:val="22"/>
              </w:rPr>
              <w:t>Customer development</w:t>
              <w:br/>
              <w:t>Proposals and pricing</w:t>
              <w:br/>
              <w:t>Renewals</w:t>
            </w:r>
          </w:p>
        </w:tc>
        <w:tc>
          <w:tcPr>
            <w:tcW w:type="dxa" w:w="3456"/>
            <w:vAlign w:val="center"/>
            <w:tcMar>
              <w:top w:w="80" w:type="dxa"/>
              <w:left w:w="100" w:type="dxa"/>
              <w:bottom w:w="80" w:type="dxa"/>
              <w:right w:w="100" w:type="dxa"/>
            </w:tcMar>
            <w:shd w:fill="F2F4F5"/>
          </w:tcPr>
          <w:p>
            <w:pPr>
              <w:spacing w:after="0" w:line="245" w:lineRule="auto"/>
            </w:pPr>
            <w:r>
              <w:rPr>
                <w:sz w:val="22"/>
              </w:rPr>
              <w:t>Engineering quality</w:t>
              <w:br/>
              <w:t>Experts and review</w:t>
              <w:br/>
              <w:t>Launch practice leadership</w:t>
            </w:r>
          </w:p>
        </w:tc>
        <w:tc>
          <w:tcPr>
            <w:tcW w:type="dxa" w:w="3456"/>
            <w:vAlign w:val="center"/>
            <w:tcMar>
              <w:top w:w="80" w:type="dxa"/>
              <w:left w:w="100" w:type="dxa"/>
              <w:bottom w:w="80" w:type="dxa"/>
              <w:right w:w="100" w:type="dxa"/>
            </w:tcMar>
            <w:shd w:fill="F2F4F5"/>
          </w:tcPr>
          <w:p>
            <w:pPr>
              <w:spacing w:after="0" w:line="245" w:lineRule="auto"/>
            </w:pPr>
            <w:r>
              <w:rPr>
                <w:sz w:val="22"/>
              </w:rPr>
              <w:t>Product priorities</w:t>
              <w:br/>
              <w:t>Platform and evaluation</w:t>
              <w:br/>
              <w:t>Release decisions</w:t>
            </w:r>
          </w:p>
        </w:tc>
      </w:tr>
      <w:tr>
        <w:trPr>
          <w:cantSplit/>
        </w:trPr>
        <w:tc>
          <w:tcPr>
            <w:tcW w:type="dxa" w:w="3456"/>
            <w:vAlign w:val="center"/>
            <w:tcMar>
              <w:top w:w="80" w:type="dxa"/>
              <w:left w:w="100" w:type="dxa"/>
              <w:bottom w:w="80" w:type="dxa"/>
              <w:right w:w="100" w:type="dxa"/>
            </w:tcMar>
            <w:shd w:fill="FFFFFF"/>
          </w:tcPr>
          <w:p>
            <w:pPr>
              <w:spacing w:after="0" w:line="245" w:lineRule="auto"/>
            </w:pPr>
            <w:r>
              <w:rPr>
                <w:sz w:val="22"/>
              </w:rPr>
              <w:t>No dedicated direct report at launch</w:t>
            </w:r>
          </w:p>
        </w:tc>
        <w:tc>
          <w:tcPr>
            <w:tcW w:type="dxa" w:w="3456"/>
            <w:vAlign w:val="center"/>
            <w:tcMar>
              <w:top w:w="80" w:type="dxa"/>
              <w:left w:w="100" w:type="dxa"/>
              <w:bottom w:w="80" w:type="dxa"/>
              <w:right w:w="100" w:type="dxa"/>
            </w:tcMar>
            <w:shd w:fill="FFFFFF"/>
          </w:tcPr>
          <w:p>
            <w:pPr>
              <w:spacing w:after="0" w:line="245" w:lineRule="auto"/>
            </w:pPr>
            <w:r>
              <w:rPr>
                <w:sz w:val="22"/>
              </w:rPr>
              <w:t>↓ Direct report</w:t>
              <w:br/>
              <w:t>Process Applications Engineer</w:t>
              <w:br/>
              <w:t>1 employee</w:t>
            </w:r>
          </w:p>
        </w:tc>
        <w:tc>
          <w:tcPr>
            <w:tcW w:type="dxa" w:w="3456"/>
            <w:vAlign w:val="center"/>
            <w:tcMar>
              <w:top w:w="80" w:type="dxa"/>
              <w:left w:w="100" w:type="dxa"/>
              <w:bottom w:w="80" w:type="dxa"/>
              <w:right w:w="100" w:type="dxa"/>
            </w:tcMar>
            <w:shd w:fill="FFFFFF"/>
          </w:tcPr>
          <w:p>
            <w:pPr>
              <w:spacing w:after="0" w:line="245" w:lineRule="auto"/>
            </w:pPr>
            <w:r>
              <w:rPr>
                <w:sz w:val="22"/>
              </w:rPr>
              <w:t>↓ Direct reports</w:t>
              <w:br/>
              <w:t>Applied AI Engineer</w:t>
              <w:br/>
              <w:t>Knowledge Engineer</w:t>
              <w:br/>
              <w:t>2 employees</w:t>
            </w:r>
          </w:p>
        </w:tc>
      </w:tr>
    </w:tbl>
    <w:p>
      <w:pPr>
        <w:spacing w:after="20" w:line="40" w:lineRule="exact"/>
      </w:pPr>
      <w:r>
        <w:rPr>
          <w:sz w:val="4"/>
        </w:rPr>
      </w:r>
    </w:p>
    <w:p>
      <w:r>
        <w:t>Employee reconciliation: 1 Managing Director + 3 functional leaders + 3 individual contributors = 7 dedicated employees. Each employee has one line manager.</w:t>
      </w:r>
    </w:p>
    <w:p>
      <w:pPr>
        <w:pStyle w:val="Heading2"/>
      </w:pPr>
      <w:r>
        <w:t>Expert council and independent review</w:t>
      </w:r>
    </w:p>
    <w:p>
      <w:r>
        <w:t>Expert Council (contracted experts) → advisory reporting to Technical Director. The council advises on coverage, quality and limitations and can escalate directly to the Subsidiary Board. It has no management authority. The Technical Director manages expert engagements; independent reviewers cannot certify their own authored work.</w:t>
      </w:r>
    </w:p>
    <w:p>
      <w:r>
        <w:t>Norman Lieberman is an illustrative founding expert candidate. No appointment, endorsement or content license is implied. Experts and reviewers are contractors, excluded from the employee count.</w:t>
      </w:r>
    </w:p>
    <w:p>
      <w:pPr>
        <w:pStyle w:val="Heading2"/>
      </w:pPr>
      <w:r>
        <w:t>Parent shared services</w:t>
      </w:r>
    </w:p>
    <w:p>
      <w:r>
        <w:t>Broadbridge4096 provides finance, treasury, legal, HR, IT security and corporate administration under defined service arrangements. The Managing Director owns the service relationship. Shared-service personnel remain outside subsidiary employee totals.</w:t>
      </w:r>
    </w:p>
    <w:p>
      <w:r>
        <w:br w:type="page"/>
      </w:r>
    </w:p>
    <w:p>
      <w:pPr>
        <w:pStyle w:val="Heading1"/>
      </w:pPr>
      <w:r>
        <w:t>Future practices and staffing</w:t>
      </w:r>
    </w:p>
    <w:p>
      <w:r>
        <w:t>All practice leaders report to the Technical Director. Practices define sector expertise; commercial, product and delivery functions serve them across the subsidiary.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6984"/>
      </w:tblGrid>
      <w:tr>
        <w:trPr>
          <w:cantSplit/>
          <w:tblHeader/>
        </w:trPr>
        <w:tc>
          <w:tcPr>
            <w:tcW w:type="dxa" w:w="3384"/>
            <w:vAlign w:val="center"/>
            <w:tcMar>
              <w:top w:w="80" w:type="dxa"/>
              <w:left w:w="100" w:type="dxa"/>
              <w:bottom w:w="80" w:type="dxa"/>
              <w:right w:w="100" w:type="dxa"/>
            </w:tcMar>
            <w:shd w:fill="18364D"/>
          </w:tcPr>
          <w:p>
            <w:pPr>
              <w:spacing w:after="0" w:line="245" w:lineRule="auto"/>
            </w:pPr>
            <w:r>
              <w:rPr>
                <w:b/>
                <w:color w:val="FFFFFF"/>
                <w:sz w:val="21"/>
              </w:rPr>
              <w:t>Practice</w:t>
            </w:r>
          </w:p>
        </w:tc>
        <w:tc>
          <w:tcPr>
            <w:tcW w:type="dxa" w:w="6984"/>
            <w:vAlign w:val="center"/>
            <w:tcMar>
              <w:top w:w="80" w:type="dxa"/>
              <w:left w:w="100" w:type="dxa"/>
              <w:bottom w:w="80" w:type="dxa"/>
              <w:right w:w="100" w:type="dxa"/>
            </w:tcMar>
            <w:shd w:fill="18364D"/>
          </w:tcPr>
          <w:p>
            <w:pPr>
              <w:spacing w:after="0" w:line="245" w:lineRule="auto"/>
            </w:pPr>
            <w:r>
              <w:rPr>
                <w:b/>
                <w:color w:val="FFFFFF"/>
                <w:sz w:val="21"/>
              </w:rPr>
              <w:t>Activation and reporting</w:t>
            </w:r>
          </w:p>
        </w:tc>
      </w:tr>
      <w:tr>
        <w:trPr>
          <w:cantSplit/>
        </w:trPr>
        <w:tc>
          <w:tcPr>
            <w:tcW w:type="dxa" w:w="3384"/>
            <w:vAlign w:val="center"/>
            <w:tcMar>
              <w:top w:w="80" w:type="dxa"/>
              <w:left w:w="100" w:type="dxa"/>
              <w:bottom w:w="80" w:type="dxa"/>
              <w:right w:w="100" w:type="dxa"/>
            </w:tcMar>
            <w:shd w:fill="F2F4F5"/>
          </w:tcPr>
          <w:p>
            <w:pPr>
              <w:spacing w:after="0" w:line="245" w:lineRule="auto"/>
            </w:pPr>
            <w:r>
              <w:rPr>
                <w:sz w:val="21"/>
              </w:rPr>
              <w:t>Downstream and Petrochemicals</w:t>
            </w:r>
          </w:p>
        </w:tc>
        <w:tc>
          <w:tcPr>
            <w:tcW w:type="dxa" w:w="6984"/>
            <w:vAlign w:val="center"/>
            <w:tcMar>
              <w:top w:w="80" w:type="dxa"/>
              <w:left w:w="100" w:type="dxa"/>
              <w:bottom w:w="80" w:type="dxa"/>
              <w:right w:w="100" w:type="dxa"/>
            </w:tcMar>
            <w:shd w:fill="F2F4F5"/>
          </w:tcPr>
          <w:p>
            <w:pPr>
              <w:spacing w:after="0" w:line="245" w:lineRule="auto"/>
            </w:pPr>
            <w:r>
              <w:rPr>
                <w:sz w:val="21"/>
              </w:rPr>
              <w:t>Launch: refining, process troubleshooting, equipment performance and operating knowledge. The Technical Director leads initially; a dedicated practice lead is added at expansion.</w:t>
            </w:r>
          </w:p>
        </w:tc>
      </w:tr>
      <w:tr>
        <w:trPr>
          <w:cantSplit/>
        </w:trPr>
        <w:tc>
          <w:tcPr>
            <w:tcW w:type="dxa" w:w="3384"/>
            <w:vAlign w:val="center"/>
            <w:tcMar>
              <w:top w:w="80" w:type="dxa"/>
              <w:left w:w="100" w:type="dxa"/>
              <w:bottom w:w="80" w:type="dxa"/>
              <w:right w:w="100" w:type="dxa"/>
            </w:tcMar>
            <w:shd w:fill="FFFFFF"/>
          </w:tcPr>
          <w:p>
            <w:pPr>
              <w:spacing w:after="0" w:line="245" w:lineRule="auto"/>
            </w:pPr>
            <w:r>
              <w:rPr>
                <w:sz w:val="21"/>
              </w:rPr>
              <w:t>Gas Processing and Midstream</w:t>
            </w:r>
          </w:p>
        </w:tc>
        <w:tc>
          <w:tcPr>
            <w:tcW w:type="dxa" w:w="6984"/>
            <w:vAlign w:val="center"/>
            <w:tcMar>
              <w:top w:w="80" w:type="dxa"/>
              <w:left w:w="100" w:type="dxa"/>
              <w:bottom w:w="80" w:type="dxa"/>
              <w:right w:w="100" w:type="dxa"/>
            </w:tcMar>
            <w:shd w:fill="FFFFFF"/>
          </w:tcPr>
          <w:p>
            <w:pPr>
              <w:spacing w:after="0" w:line="245" w:lineRule="auto"/>
            </w:pPr>
            <w:r>
              <w:rPr>
                <w:sz w:val="21"/>
              </w:rPr>
              <w:t>Subsequent: treatment, compression, processing, LNG-related operations and facilities. A practice lead reports to the Technical Director after expansion gates are met.</w:t>
            </w:r>
          </w:p>
        </w:tc>
      </w:tr>
      <w:tr>
        <w:trPr>
          <w:cantSplit/>
        </w:trPr>
        <w:tc>
          <w:tcPr>
            <w:tcW w:type="dxa" w:w="3384"/>
            <w:vAlign w:val="center"/>
            <w:tcMar>
              <w:top w:w="80" w:type="dxa"/>
              <w:left w:w="100" w:type="dxa"/>
              <w:bottom w:w="80" w:type="dxa"/>
              <w:right w:w="100" w:type="dxa"/>
            </w:tcMar>
            <w:shd w:fill="F2F4F5"/>
          </w:tcPr>
          <w:p>
            <w:pPr>
              <w:spacing w:after="0" w:line="245" w:lineRule="auto"/>
            </w:pPr>
            <w:r>
              <w:rPr>
                <w:sz w:val="21"/>
              </w:rPr>
              <w:t>Upstream Production and Facilities</w:t>
            </w:r>
          </w:p>
        </w:tc>
        <w:tc>
          <w:tcPr>
            <w:tcW w:type="dxa" w:w="6984"/>
            <w:vAlign w:val="center"/>
            <w:tcMar>
              <w:top w:w="80" w:type="dxa"/>
              <w:left w:w="100" w:type="dxa"/>
              <w:bottom w:w="80" w:type="dxa"/>
              <w:right w:w="100" w:type="dxa"/>
            </w:tcMar>
            <w:shd w:fill="F2F4F5"/>
          </w:tcPr>
          <w:p>
            <w:pPr>
              <w:spacing w:after="0" w:line="245" w:lineRule="auto"/>
            </w:pPr>
            <w:r>
              <w:rPr>
                <w:sz w:val="21"/>
              </w:rPr>
              <w:t>Later: its own specialists and practice lead. Drilling and subsurface services require separately demonstrated capability and scope approval.</w:t>
            </w:r>
          </w:p>
        </w:tc>
      </w:tr>
    </w:tbl>
    <w:p>
      <w:pPr>
        <w:spacing w:after="20" w:line="40" w:lineRule="exact"/>
      </w:pPr>
      <w:r>
        <w:rPr>
          <w:sz w:val="4"/>
        </w:rPr>
      </w:r>
    </w:p>
    <w:p>
      <w:r>
        <w:t>Each practice can sell advisory engagements, recurring software subscriptions, training programs and licensed expert knowledge within its accepted technical scope.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832"/>
        <w:gridCol w:w="1512"/>
        <w:gridCol w:w="1512"/>
        <w:gridCol w:w="1512"/>
      </w:tblGrid>
      <w:tr>
        <w:trPr>
          <w:cantSplit/>
          <w:tblHeader/>
        </w:trPr>
        <w:tc>
          <w:tcPr>
            <w:tcW w:type="dxa" w:w="5832"/>
            <w:vAlign w:val="center"/>
            <w:tcMar>
              <w:top w:w="80" w:type="dxa"/>
              <w:left w:w="100" w:type="dxa"/>
              <w:bottom w:w="80" w:type="dxa"/>
              <w:right w:w="100" w:type="dxa"/>
            </w:tcMar>
            <w:shd w:fill="18364D"/>
          </w:tcPr>
          <w:p>
            <w:pPr>
              <w:spacing w:after="0" w:line="245" w:lineRule="auto"/>
            </w:pPr>
            <w:r>
              <w:rPr>
                <w:b/>
                <w:color w:val="FFFFFF"/>
                <w:sz w:val="21"/>
              </w:rPr>
              <w:t>Function</w:t>
            </w:r>
          </w:p>
        </w:tc>
        <w:tc>
          <w:tcPr>
            <w:tcW w:type="dxa" w:w="1512"/>
            <w:vAlign w:val="center"/>
            <w:tcMar>
              <w:top w:w="80" w:type="dxa"/>
              <w:left w:w="100" w:type="dxa"/>
              <w:bottom w:w="80" w:type="dxa"/>
              <w:right w:w="100" w:type="dxa"/>
            </w:tcMar>
            <w:shd w:fill="18364D"/>
          </w:tcPr>
          <w:p>
            <w:pPr>
              <w:spacing w:after="0" w:line="245" w:lineRule="auto"/>
            </w:pPr>
            <w:r>
              <w:rPr>
                <w:b/>
                <w:color w:val="FFFFFF"/>
                <w:sz w:val="21"/>
              </w:rPr>
              <w:t>Launch</w:t>
            </w:r>
          </w:p>
        </w:tc>
        <w:tc>
          <w:tcPr>
            <w:tcW w:type="dxa" w:w="1512"/>
            <w:vAlign w:val="center"/>
            <w:tcMar>
              <w:top w:w="80" w:type="dxa"/>
              <w:left w:w="100" w:type="dxa"/>
              <w:bottom w:w="80" w:type="dxa"/>
              <w:right w:w="100" w:type="dxa"/>
            </w:tcMar>
            <w:shd w:fill="18364D"/>
          </w:tcPr>
          <w:p>
            <w:pPr>
              <w:spacing w:after="0" w:line="245" w:lineRule="auto"/>
            </w:pPr>
            <w:r>
              <w:rPr>
                <w:b/>
                <w:color w:val="FFFFFF"/>
                <w:sz w:val="21"/>
              </w:rPr>
              <w:t>Expansion</w:t>
            </w:r>
          </w:p>
        </w:tc>
        <w:tc>
          <w:tcPr>
            <w:tcW w:type="dxa" w:w="1512"/>
            <w:vAlign w:val="center"/>
            <w:tcMar>
              <w:top w:w="80" w:type="dxa"/>
              <w:left w:w="100" w:type="dxa"/>
              <w:bottom w:w="80" w:type="dxa"/>
              <w:right w:w="100" w:type="dxa"/>
            </w:tcMar>
            <w:shd w:fill="18364D"/>
          </w:tcPr>
          <w:p>
            <w:pPr>
              <w:spacing w:after="0" w:line="245" w:lineRule="auto"/>
            </w:pPr>
            <w:r>
              <w:rPr>
                <w:b/>
                <w:color w:val="FFFFFF"/>
                <w:sz w:val="21"/>
              </w:rPr>
              <w:t>Mature target</w:t>
            </w:r>
          </w:p>
        </w:tc>
      </w:tr>
      <w:tr>
        <w:trPr>
          <w:cantSplit/>
        </w:trPr>
        <w:tc>
          <w:tcPr>
            <w:tcW w:type="dxa" w:w="5832"/>
            <w:vAlign w:val="center"/>
            <w:tcMar>
              <w:top w:w="80" w:type="dxa"/>
              <w:left w:w="100" w:type="dxa"/>
              <w:bottom w:w="80" w:type="dxa"/>
              <w:right w:w="100" w:type="dxa"/>
            </w:tcMar>
            <w:shd w:fill="F2F4F5"/>
          </w:tcPr>
          <w:p>
            <w:pPr>
              <w:spacing w:after="0" w:line="245" w:lineRule="auto"/>
            </w:pPr>
            <w:r>
              <w:rPr>
                <w:sz w:val="21"/>
              </w:rPr>
              <w:t>Managing Director</w:t>
            </w:r>
          </w:p>
        </w:tc>
        <w:tc>
          <w:tcPr>
            <w:tcW w:type="dxa" w:w="1512"/>
            <w:vAlign w:val="center"/>
            <w:tcMar>
              <w:top w:w="80" w:type="dxa"/>
              <w:left w:w="100" w:type="dxa"/>
              <w:bottom w:w="80" w:type="dxa"/>
              <w:right w:w="100" w:type="dxa"/>
            </w:tcMar>
            <w:shd w:fill="F2F4F5"/>
          </w:tcPr>
          <w:p>
            <w:pPr>
              <w:spacing w:after="0" w:line="245" w:lineRule="auto"/>
              <w:jc w:val="center"/>
            </w:pPr>
            <w:r>
              <w:rPr>
                <w:sz w:val="21"/>
              </w:rPr>
              <w:t>1</w:t>
            </w:r>
          </w:p>
        </w:tc>
        <w:tc>
          <w:tcPr>
            <w:tcW w:type="dxa" w:w="1512"/>
            <w:vAlign w:val="center"/>
            <w:tcMar>
              <w:top w:w="80" w:type="dxa"/>
              <w:left w:w="100" w:type="dxa"/>
              <w:bottom w:w="80" w:type="dxa"/>
              <w:right w:w="100" w:type="dxa"/>
            </w:tcMar>
            <w:shd w:fill="F2F4F5"/>
          </w:tcPr>
          <w:p>
            <w:pPr>
              <w:spacing w:after="0" w:line="245" w:lineRule="auto"/>
              <w:jc w:val="center"/>
            </w:pPr>
            <w:r>
              <w:rPr>
                <w:sz w:val="21"/>
              </w:rPr>
              <w:t>1</w:t>
            </w:r>
          </w:p>
        </w:tc>
        <w:tc>
          <w:tcPr>
            <w:tcW w:type="dxa" w:w="1512"/>
            <w:vAlign w:val="center"/>
            <w:tcMar>
              <w:top w:w="80" w:type="dxa"/>
              <w:left w:w="100" w:type="dxa"/>
              <w:bottom w:w="80" w:type="dxa"/>
              <w:right w:w="100" w:type="dxa"/>
            </w:tcMar>
            <w:shd w:fill="F2F4F5"/>
          </w:tcPr>
          <w:p>
            <w:pPr>
              <w:spacing w:after="0" w:line="245" w:lineRule="auto"/>
              <w:jc w:val="center"/>
            </w:pPr>
            <w:r>
              <w:rPr>
                <w:sz w:val="21"/>
              </w:rPr>
              <w:t>1</w:t>
            </w:r>
          </w:p>
        </w:tc>
      </w:tr>
      <w:tr>
        <w:trPr>
          <w:cantSplit/>
        </w:trPr>
        <w:tc>
          <w:tcPr>
            <w:tcW w:type="dxa" w:w="5832"/>
            <w:vAlign w:val="center"/>
            <w:tcMar>
              <w:top w:w="80" w:type="dxa"/>
              <w:left w:w="100" w:type="dxa"/>
              <w:bottom w:w="80" w:type="dxa"/>
              <w:right w:w="100" w:type="dxa"/>
            </w:tcMar>
            <w:shd w:fill="FFFFFF"/>
          </w:tcPr>
          <w:p>
            <w:pPr>
              <w:spacing w:after="0" w:line="245" w:lineRule="auto"/>
            </w:pPr>
            <w:r>
              <w:rPr>
                <w:sz w:val="21"/>
              </w:rPr>
              <w:t>Commercial</w:t>
            </w:r>
          </w:p>
        </w:tc>
        <w:tc>
          <w:tcPr>
            <w:tcW w:type="dxa" w:w="1512"/>
            <w:vAlign w:val="center"/>
            <w:tcMar>
              <w:top w:w="80" w:type="dxa"/>
              <w:left w:w="100" w:type="dxa"/>
              <w:bottom w:w="80" w:type="dxa"/>
              <w:right w:w="100" w:type="dxa"/>
            </w:tcMar>
            <w:shd w:fill="FFFFFF"/>
          </w:tcPr>
          <w:p>
            <w:pPr>
              <w:spacing w:after="0" w:line="245" w:lineRule="auto"/>
              <w:jc w:val="center"/>
            </w:pPr>
            <w:r>
              <w:rPr>
                <w:sz w:val="21"/>
              </w:rPr>
              <w:t>1</w:t>
            </w:r>
          </w:p>
        </w:tc>
        <w:tc>
          <w:tcPr>
            <w:tcW w:type="dxa" w:w="1512"/>
            <w:vAlign w:val="center"/>
            <w:tcMar>
              <w:top w:w="80" w:type="dxa"/>
              <w:left w:w="100" w:type="dxa"/>
              <w:bottom w:w="80" w:type="dxa"/>
              <w:right w:w="100" w:type="dxa"/>
            </w:tcMar>
            <w:shd w:fill="FFFFFF"/>
          </w:tcPr>
          <w:p>
            <w:pPr>
              <w:spacing w:after="0" w:line="245" w:lineRule="auto"/>
              <w:jc w:val="center"/>
            </w:pPr>
            <w:r>
              <w:rPr>
                <w:sz w:val="21"/>
              </w:rPr>
              <w:t>2</w:t>
            </w:r>
          </w:p>
        </w:tc>
        <w:tc>
          <w:tcPr>
            <w:tcW w:type="dxa" w:w="1512"/>
            <w:vAlign w:val="center"/>
            <w:tcMar>
              <w:top w:w="80" w:type="dxa"/>
              <w:left w:w="100" w:type="dxa"/>
              <w:bottom w:w="80" w:type="dxa"/>
              <w:right w:w="100" w:type="dxa"/>
            </w:tcMar>
            <w:shd w:fill="FFFFFF"/>
          </w:tcPr>
          <w:p>
            <w:pPr>
              <w:spacing w:after="0" w:line="245" w:lineRule="auto"/>
              <w:jc w:val="center"/>
            </w:pPr>
            <w:r>
              <w:rPr>
                <w:sz w:val="21"/>
              </w:rPr>
              <w:t>3</w:t>
            </w:r>
          </w:p>
        </w:tc>
      </w:tr>
      <w:tr>
        <w:trPr>
          <w:cantSplit/>
        </w:trPr>
        <w:tc>
          <w:tcPr>
            <w:tcW w:type="dxa" w:w="5832"/>
            <w:vAlign w:val="center"/>
            <w:tcMar>
              <w:top w:w="80" w:type="dxa"/>
              <w:left w:w="100" w:type="dxa"/>
              <w:bottom w:w="80" w:type="dxa"/>
              <w:right w:w="100" w:type="dxa"/>
            </w:tcMar>
            <w:shd w:fill="F2F4F5"/>
          </w:tcPr>
          <w:p>
            <w:pPr>
              <w:spacing w:after="0" w:line="245" w:lineRule="auto"/>
            </w:pPr>
            <w:r>
              <w:rPr>
                <w:sz w:val="21"/>
              </w:rPr>
              <w:t>Technical practices</w:t>
            </w:r>
          </w:p>
        </w:tc>
        <w:tc>
          <w:tcPr>
            <w:tcW w:type="dxa" w:w="1512"/>
            <w:vAlign w:val="center"/>
            <w:tcMar>
              <w:top w:w="80" w:type="dxa"/>
              <w:left w:w="100" w:type="dxa"/>
              <w:bottom w:w="80" w:type="dxa"/>
              <w:right w:w="100" w:type="dxa"/>
            </w:tcMar>
            <w:shd w:fill="F2F4F5"/>
          </w:tcPr>
          <w:p>
            <w:pPr>
              <w:spacing w:after="0" w:line="245" w:lineRule="auto"/>
              <w:jc w:val="center"/>
            </w:pPr>
            <w:r>
              <w:rPr>
                <w:sz w:val="21"/>
              </w:rPr>
              <w:t>2</w:t>
            </w:r>
          </w:p>
        </w:tc>
        <w:tc>
          <w:tcPr>
            <w:tcW w:type="dxa" w:w="1512"/>
            <w:vAlign w:val="center"/>
            <w:tcMar>
              <w:top w:w="80" w:type="dxa"/>
              <w:left w:w="100" w:type="dxa"/>
              <w:bottom w:w="80" w:type="dxa"/>
              <w:right w:w="100" w:type="dxa"/>
            </w:tcMar>
            <w:shd w:fill="F2F4F5"/>
          </w:tcPr>
          <w:p>
            <w:pPr>
              <w:spacing w:after="0" w:line="245" w:lineRule="auto"/>
              <w:jc w:val="center"/>
            </w:pPr>
            <w:r>
              <w:rPr>
                <w:sz w:val="21"/>
              </w:rPr>
              <w:t>4</w:t>
            </w:r>
          </w:p>
        </w:tc>
        <w:tc>
          <w:tcPr>
            <w:tcW w:type="dxa" w:w="1512"/>
            <w:vAlign w:val="center"/>
            <w:tcMar>
              <w:top w:w="80" w:type="dxa"/>
              <w:left w:w="100" w:type="dxa"/>
              <w:bottom w:w="80" w:type="dxa"/>
              <w:right w:w="100" w:type="dxa"/>
            </w:tcMar>
            <w:shd w:fill="F2F4F5"/>
          </w:tcPr>
          <w:p>
            <w:pPr>
              <w:spacing w:after="0" w:line="245" w:lineRule="auto"/>
              <w:jc w:val="center"/>
            </w:pPr>
            <w:r>
              <w:rPr>
                <w:sz w:val="21"/>
              </w:rPr>
              <w:t>7</w:t>
            </w:r>
          </w:p>
        </w:tc>
      </w:tr>
      <w:tr>
        <w:trPr>
          <w:cantSplit/>
        </w:trPr>
        <w:tc>
          <w:tcPr>
            <w:tcW w:type="dxa" w:w="5832"/>
            <w:vAlign w:val="center"/>
            <w:tcMar>
              <w:top w:w="80" w:type="dxa"/>
              <w:left w:w="100" w:type="dxa"/>
              <w:bottom w:w="80" w:type="dxa"/>
              <w:right w:w="100" w:type="dxa"/>
            </w:tcMar>
            <w:shd w:fill="FFFFFF"/>
          </w:tcPr>
          <w:p>
            <w:pPr>
              <w:spacing w:after="0" w:line="245" w:lineRule="auto"/>
            </w:pPr>
            <w:r>
              <w:rPr>
                <w:sz w:val="21"/>
              </w:rPr>
              <w:t>Product, AI, and knowledge engineering</w:t>
            </w:r>
          </w:p>
        </w:tc>
        <w:tc>
          <w:tcPr>
            <w:tcW w:type="dxa" w:w="1512"/>
            <w:vAlign w:val="center"/>
            <w:tcMar>
              <w:top w:w="80" w:type="dxa"/>
              <w:left w:w="100" w:type="dxa"/>
              <w:bottom w:w="80" w:type="dxa"/>
              <w:right w:w="100" w:type="dxa"/>
            </w:tcMar>
            <w:shd w:fill="FFFFFF"/>
          </w:tcPr>
          <w:p>
            <w:pPr>
              <w:spacing w:after="0" w:line="245" w:lineRule="auto"/>
              <w:jc w:val="center"/>
            </w:pPr>
            <w:r>
              <w:rPr>
                <w:sz w:val="21"/>
              </w:rPr>
              <w:t>3</w:t>
            </w:r>
          </w:p>
        </w:tc>
        <w:tc>
          <w:tcPr>
            <w:tcW w:type="dxa" w:w="1512"/>
            <w:vAlign w:val="center"/>
            <w:tcMar>
              <w:top w:w="80" w:type="dxa"/>
              <w:left w:w="100" w:type="dxa"/>
              <w:bottom w:w="80" w:type="dxa"/>
              <w:right w:w="100" w:type="dxa"/>
            </w:tcMar>
            <w:shd w:fill="FFFFFF"/>
          </w:tcPr>
          <w:p>
            <w:pPr>
              <w:spacing w:after="0" w:line="245" w:lineRule="auto"/>
              <w:jc w:val="center"/>
            </w:pPr>
            <w:r>
              <w:rPr>
                <w:sz w:val="21"/>
              </w:rPr>
              <w:t>4</w:t>
            </w:r>
          </w:p>
        </w:tc>
        <w:tc>
          <w:tcPr>
            <w:tcW w:type="dxa" w:w="1512"/>
            <w:vAlign w:val="center"/>
            <w:tcMar>
              <w:top w:w="80" w:type="dxa"/>
              <w:left w:w="100" w:type="dxa"/>
              <w:bottom w:w="80" w:type="dxa"/>
              <w:right w:w="100" w:type="dxa"/>
            </w:tcMar>
            <w:shd w:fill="FFFFFF"/>
          </w:tcPr>
          <w:p>
            <w:pPr>
              <w:spacing w:after="0" w:line="245" w:lineRule="auto"/>
              <w:jc w:val="center"/>
            </w:pPr>
            <w:r>
              <w:rPr>
                <w:sz w:val="21"/>
              </w:rPr>
              <w:t>6</w:t>
            </w:r>
          </w:p>
        </w:tc>
      </w:tr>
      <w:tr>
        <w:trPr>
          <w:cantSplit/>
        </w:trPr>
        <w:tc>
          <w:tcPr>
            <w:tcW w:type="dxa" w:w="5832"/>
            <w:vAlign w:val="center"/>
            <w:tcMar>
              <w:top w:w="80" w:type="dxa"/>
              <w:left w:w="100" w:type="dxa"/>
              <w:bottom w:w="80" w:type="dxa"/>
              <w:right w:w="100" w:type="dxa"/>
            </w:tcMar>
            <w:shd w:fill="F2F4F5"/>
          </w:tcPr>
          <w:p>
            <w:pPr>
              <w:spacing w:after="0" w:line="245" w:lineRule="auto"/>
            </w:pPr>
            <w:r>
              <w:rPr>
                <w:sz w:val="21"/>
              </w:rPr>
              <w:t>Dedicated delivery and customer success</w:t>
            </w:r>
          </w:p>
        </w:tc>
        <w:tc>
          <w:tcPr>
            <w:tcW w:type="dxa" w:w="1512"/>
            <w:vAlign w:val="center"/>
            <w:tcMar>
              <w:top w:w="80" w:type="dxa"/>
              <w:left w:w="100" w:type="dxa"/>
              <w:bottom w:w="80" w:type="dxa"/>
              <w:right w:w="100" w:type="dxa"/>
            </w:tcMar>
            <w:shd w:fill="F2F4F5"/>
          </w:tcPr>
          <w:p>
            <w:pPr>
              <w:spacing w:after="0" w:line="245" w:lineRule="auto"/>
              <w:jc w:val="center"/>
            </w:pPr>
            <w:r>
              <w:rPr>
                <w:sz w:val="21"/>
              </w:rPr>
              <w:t>0</w:t>
            </w:r>
          </w:p>
        </w:tc>
        <w:tc>
          <w:tcPr>
            <w:tcW w:type="dxa" w:w="1512"/>
            <w:vAlign w:val="center"/>
            <w:tcMar>
              <w:top w:w="80" w:type="dxa"/>
              <w:left w:w="100" w:type="dxa"/>
              <w:bottom w:w="80" w:type="dxa"/>
              <w:right w:w="100" w:type="dxa"/>
            </w:tcMar>
            <w:shd w:fill="F2F4F5"/>
          </w:tcPr>
          <w:p>
            <w:pPr>
              <w:spacing w:after="0" w:line="245" w:lineRule="auto"/>
              <w:jc w:val="center"/>
            </w:pPr>
            <w:r>
              <w:rPr>
                <w:sz w:val="21"/>
              </w:rPr>
              <w:t>2</w:t>
            </w:r>
          </w:p>
        </w:tc>
        <w:tc>
          <w:tcPr>
            <w:tcW w:type="dxa" w:w="1512"/>
            <w:vAlign w:val="center"/>
            <w:tcMar>
              <w:top w:w="80" w:type="dxa"/>
              <w:left w:w="100" w:type="dxa"/>
              <w:bottom w:w="80" w:type="dxa"/>
              <w:right w:w="100" w:type="dxa"/>
            </w:tcMar>
            <w:shd w:fill="F2F4F5"/>
          </w:tcPr>
          <w:p>
            <w:pPr>
              <w:spacing w:after="0" w:line="245" w:lineRule="auto"/>
              <w:jc w:val="center"/>
            </w:pPr>
            <w:r>
              <w:rPr>
                <w:sz w:val="21"/>
              </w:rPr>
              <w:t>4</w:t>
            </w:r>
          </w:p>
        </w:tc>
      </w:tr>
      <w:tr>
        <w:trPr>
          <w:cantSplit/>
        </w:trPr>
        <w:tc>
          <w:tcPr>
            <w:tcW w:type="dxa" w:w="5832"/>
            <w:vAlign w:val="center"/>
            <w:tcMar>
              <w:top w:w="80" w:type="dxa"/>
              <w:left w:w="100" w:type="dxa"/>
              <w:bottom w:w="80" w:type="dxa"/>
              <w:right w:w="100" w:type="dxa"/>
            </w:tcMar>
            <w:shd w:fill="FFFFFF"/>
          </w:tcPr>
          <w:p>
            <w:pPr>
              <w:spacing w:after="0" w:line="245" w:lineRule="auto"/>
            </w:pPr>
            <w:r>
              <w:rPr>
                <w:sz w:val="21"/>
              </w:rPr>
              <w:t>Dedicated academy team</w:t>
            </w:r>
          </w:p>
        </w:tc>
        <w:tc>
          <w:tcPr>
            <w:tcW w:type="dxa" w:w="1512"/>
            <w:vAlign w:val="center"/>
            <w:tcMar>
              <w:top w:w="80" w:type="dxa"/>
              <w:left w:w="100" w:type="dxa"/>
              <w:bottom w:w="80" w:type="dxa"/>
              <w:right w:w="100" w:type="dxa"/>
            </w:tcMar>
            <w:shd w:fill="FFFFFF"/>
          </w:tcPr>
          <w:p>
            <w:pPr>
              <w:spacing w:after="0" w:line="245" w:lineRule="auto"/>
              <w:jc w:val="center"/>
            </w:pPr>
            <w:r>
              <w:rPr>
                <w:sz w:val="21"/>
              </w:rPr>
              <w:t>0</w:t>
            </w:r>
          </w:p>
        </w:tc>
        <w:tc>
          <w:tcPr>
            <w:tcW w:type="dxa" w:w="1512"/>
            <w:vAlign w:val="center"/>
            <w:tcMar>
              <w:top w:w="80" w:type="dxa"/>
              <w:left w:w="100" w:type="dxa"/>
              <w:bottom w:w="80" w:type="dxa"/>
              <w:right w:w="100" w:type="dxa"/>
            </w:tcMar>
            <w:shd w:fill="FFFFFF"/>
          </w:tcPr>
          <w:p>
            <w:pPr>
              <w:spacing w:after="0" w:line="245" w:lineRule="auto"/>
              <w:jc w:val="center"/>
            </w:pPr>
            <w:r>
              <w:rPr>
                <w:sz w:val="21"/>
              </w:rPr>
              <w:t>0</w:t>
            </w:r>
          </w:p>
        </w:tc>
        <w:tc>
          <w:tcPr>
            <w:tcW w:type="dxa" w:w="1512"/>
            <w:vAlign w:val="center"/>
            <w:tcMar>
              <w:top w:w="80" w:type="dxa"/>
              <w:left w:w="100" w:type="dxa"/>
              <w:bottom w:w="80" w:type="dxa"/>
              <w:right w:w="100" w:type="dxa"/>
            </w:tcMar>
            <w:shd w:fill="FFFFFF"/>
          </w:tcPr>
          <w:p>
            <w:pPr>
              <w:spacing w:after="0" w:line="245" w:lineRule="auto"/>
              <w:jc w:val="center"/>
            </w:pPr>
            <w:r>
              <w:rPr>
                <w:sz w:val="21"/>
              </w:rPr>
              <w:t>2</w:t>
            </w:r>
          </w:p>
        </w:tc>
      </w:tr>
      <w:tr>
        <w:trPr>
          <w:cantSplit/>
        </w:trPr>
        <w:tc>
          <w:tcPr>
            <w:tcW w:type="dxa" w:w="5832"/>
            <w:vAlign w:val="center"/>
            <w:tcMar>
              <w:top w:w="80" w:type="dxa"/>
              <w:left w:w="100" w:type="dxa"/>
              <w:bottom w:w="80" w:type="dxa"/>
              <w:right w:w="100" w:type="dxa"/>
            </w:tcMar>
            <w:shd w:fill="F2F4F5"/>
          </w:tcPr>
          <w:p>
            <w:pPr>
              <w:spacing w:after="0" w:line="245" w:lineRule="auto"/>
            </w:pPr>
            <w:r>
              <w:rPr>
                <w:sz w:val="21"/>
              </w:rPr>
              <w:t>Subsidiary business operations</w:t>
            </w:r>
          </w:p>
        </w:tc>
        <w:tc>
          <w:tcPr>
            <w:tcW w:type="dxa" w:w="1512"/>
            <w:vAlign w:val="center"/>
            <w:tcMar>
              <w:top w:w="80" w:type="dxa"/>
              <w:left w:w="100" w:type="dxa"/>
              <w:bottom w:w="80" w:type="dxa"/>
              <w:right w:w="100" w:type="dxa"/>
            </w:tcMar>
            <w:shd w:fill="F2F4F5"/>
          </w:tcPr>
          <w:p>
            <w:pPr>
              <w:spacing w:after="0" w:line="245" w:lineRule="auto"/>
              <w:jc w:val="center"/>
            </w:pPr>
            <w:r>
              <w:rPr>
                <w:sz w:val="21"/>
              </w:rPr>
              <w:t>0</w:t>
            </w:r>
          </w:p>
        </w:tc>
        <w:tc>
          <w:tcPr>
            <w:tcW w:type="dxa" w:w="1512"/>
            <w:vAlign w:val="center"/>
            <w:tcMar>
              <w:top w:w="80" w:type="dxa"/>
              <w:left w:w="100" w:type="dxa"/>
              <w:bottom w:w="80" w:type="dxa"/>
              <w:right w:w="100" w:type="dxa"/>
            </w:tcMar>
            <w:shd w:fill="F2F4F5"/>
          </w:tcPr>
          <w:p>
            <w:pPr>
              <w:spacing w:after="0" w:line="245" w:lineRule="auto"/>
              <w:jc w:val="center"/>
            </w:pPr>
            <w:r>
              <w:rPr>
                <w:sz w:val="21"/>
              </w:rPr>
              <w:t>0</w:t>
            </w:r>
          </w:p>
        </w:tc>
        <w:tc>
          <w:tcPr>
            <w:tcW w:type="dxa" w:w="1512"/>
            <w:vAlign w:val="center"/>
            <w:tcMar>
              <w:top w:w="80" w:type="dxa"/>
              <w:left w:w="100" w:type="dxa"/>
              <w:bottom w:w="80" w:type="dxa"/>
              <w:right w:w="100" w:type="dxa"/>
            </w:tcMar>
            <w:shd w:fill="F2F4F5"/>
          </w:tcPr>
          <w:p>
            <w:pPr>
              <w:spacing w:after="0" w:line="245" w:lineRule="auto"/>
              <w:jc w:val="center"/>
            </w:pPr>
            <w:r>
              <w:rPr>
                <w:sz w:val="21"/>
              </w:rPr>
              <w:t>1</w:t>
            </w:r>
          </w:p>
        </w:tc>
      </w:tr>
      <w:tr>
        <w:trPr>
          <w:cantSplit/>
        </w:trPr>
        <w:tc>
          <w:tcPr>
            <w:tcW w:type="dxa" w:w="5832"/>
            <w:vAlign w:val="center"/>
            <w:tcMar>
              <w:top w:w="80" w:type="dxa"/>
              <w:left w:w="100" w:type="dxa"/>
              <w:bottom w:w="80" w:type="dxa"/>
              <w:right w:w="100" w:type="dxa"/>
            </w:tcMar>
            <w:shd w:fill="FFFFFF"/>
          </w:tcPr>
          <w:p>
            <w:pPr>
              <w:spacing w:after="0" w:line="245" w:lineRule="auto"/>
            </w:pPr>
            <w:r>
              <w:rPr>
                <w:sz w:val="21"/>
              </w:rPr>
              <w:t>Dedicated employees</w:t>
            </w:r>
          </w:p>
        </w:tc>
        <w:tc>
          <w:tcPr>
            <w:tcW w:type="dxa" w:w="1512"/>
            <w:vAlign w:val="center"/>
            <w:tcMar>
              <w:top w:w="80" w:type="dxa"/>
              <w:left w:w="100" w:type="dxa"/>
              <w:bottom w:w="80" w:type="dxa"/>
              <w:right w:w="100" w:type="dxa"/>
            </w:tcMar>
            <w:shd w:fill="FFFFFF"/>
          </w:tcPr>
          <w:p>
            <w:pPr>
              <w:spacing w:after="0" w:line="245" w:lineRule="auto"/>
              <w:jc w:val="center"/>
            </w:pPr>
            <w:r>
              <w:rPr>
                <w:sz w:val="21"/>
              </w:rPr>
              <w:t>7</w:t>
            </w:r>
          </w:p>
        </w:tc>
        <w:tc>
          <w:tcPr>
            <w:tcW w:type="dxa" w:w="1512"/>
            <w:vAlign w:val="center"/>
            <w:tcMar>
              <w:top w:w="80" w:type="dxa"/>
              <w:left w:w="100" w:type="dxa"/>
              <w:bottom w:w="80" w:type="dxa"/>
              <w:right w:w="100" w:type="dxa"/>
            </w:tcMar>
            <w:shd w:fill="FFFFFF"/>
          </w:tcPr>
          <w:p>
            <w:pPr>
              <w:spacing w:after="0" w:line="245" w:lineRule="auto"/>
              <w:jc w:val="center"/>
            </w:pPr>
            <w:r>
              <w:rPr>
                <w:sz w:val="21"/>
              </w:rPr>
              <w:t>13</w:t>
            </w:r>
          </w:p>
        </w:tc>
        <w:tc>
          <w:tcPr>
            <w:tcW w:type="dxa" w:w="1512"/>
            <w:vAlign w:val="center"/>
            <w:tcMar>
              <w:top w:w="80" w:type="dxa"/>
              <w:left w:w="100" w:type="dxa"/>
              <w:bottom w:w="80" w:type="dxa"/>
              <w:right w:w="100" w:type="dxa"/>
            </w:tcMar>
            <w:shd w:fill="FFFFFF"/>
          </w:tcPr>
          <w:p>
            <w:pPr>
              <w:spacing w:after="0" w:line="245" w:lineRule="auto"/>
              <w:jc w:val="center"/>
            </w:pPr>
            <w:r>
              <w:rPr>
                <w:sz w:val="21"/>
              </w:rPr>
              <w:t>24</w:t>
            </w:r>
          </w:p>
        </w:tc>
      </w:tr>
    </w:tbl>
    <w:p>
      <w:pPr>
        <w:spacing w:after="20" w:line="40" w:lineRule="exact"/>
      </w:pPr>
      <w:r>
        <w:rPr>
          <w:sz w:val="4"/>
        </w:rPr>
      </w:r>
    </w:p>
    <w:p>
      <w:pPr>
        <w:pStyle w:val="Heading2"/>
      </w:pPr>
      <w:r>
        <w:t>Future reporting lines</w:t>
      </w:r>
    </w:p>
    <w:p>
      <w:r>
        <w:t>At expansion, the Delivery Lead reports to the Managing Director and manages the Customer Success Manager. At maturity, the Head of Academy and Business Operations Manager also report to the Managing Director. Commercial hires report to the Commercial Director; technical hires to the Technical Director or their practice lead; product, AI and knowledge hires to the Head of Product &amp; AI.</w:t>
      </w:r>
    </w:p>
    <w:p>
      <w:r>
        <w:t>Launch staff cover delivery and training. Dedicated delivery, academy and operations posts are future positions. The operating structure specifies the exact role mix at each staffing stage.</w:t>
      </w:r>
    </w:p>
    <w:p>
      <w:pPr>
        <w:pStyle w:val="Heading2"/>
      </w:pPr>
      <w:r>
        <w:t>Conditions for growth</w:t>
      </w:r>
    </w:p>
    <w:p>
      <w:r>
        <w:t>Expansion requires repeatable paid deployments, funded staffing and a paid customer mandate for every new practice. The mature structure is a destination, not an immediate hiring commitment. Contracted experts, board participation and parent shared services remain outside all employee totals.</w:t>
      </w:r>
    </w:p>
    <w:sectPr w:rsidR="00FC693F" w:rsidRPr="0006063C" w:rsidSect="00034616">
      <w:footerReference w:type="default" r:id="rId9"/>
      <w:pgSz w:w="12240" w:h="15840"/>
      <w:pgMar w:top="893" w:right="936" w:bottom="835" w:left="936"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Broadbridge Oil &amp; Gas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2"/>
      <w:szCs w:val="28"/>
      <w:u w:val="none"/>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Calibri" w:hAnsi="Calibri"/>
      <w:b w:val="0"/>
      <w:color w:val="000000"/>
      <w:spacing w:val="5"/>
      <w:kern w:val="28"/>
      <w:sz w:val="5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Calibri" w:hAnsi="Calibri"/>
      <w:b w:val="0"/>
      <w:i/>
      <w:iCs/>
      <w:color w:val="000000"/>
      <w:spacing w:val="15"/>
      <w:sz w:val="26"/>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Broadbridge Oil &amp; Gas Subsidiary organizational chart</dc:title>
  <dc:subject/>
  <dc:creator>Broadbridge4096</dc:creator>
  <cp:keywords/>
  <dc:description>generated by python-docx</dc:description>
  <cp:lastModifiedBy/>
  <cp:revision>1</cp:revision>
  <dcterms:created xsi:type="dcterms:W3CDTF">2013-12-23T23:15:00Z</dcterms:created>
  <dcterms:modified xsi:type="dcterms:W3CDTF">2013-12-23T23:15:00Z</dcterms:modified>
  <cp:category/>
</cp:coreProperties>
</file>