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SLM Foundry infrastructure implementation brief</w:t>
      </w:r>
    </w:p>
    <w:p>
      <w:r>
        <w:t>Broadbridge Oil and Gas | Broadbridge4096 | 24 September 2026 revised after the v3 review</w:t>
      </w:r>
    </w:p>
    <w:p>
      <w:pPr>
        <w:pStyle w:val="Heading1"/>
      </w:pPr>
      <w:r>
        <w:t>1 Verified starting point and delivery status</w:t>
      </w:r>
    </w:p>
    <w:p>
      <w:r>
        <w:t>Use the existing Foundry Qwen3-8B platform for Broadbridge Oil &amp; Gas, a subsidiary of Broadbridge4096. Gates 0 through 3 replace the infrastructure-first sequence. Capture signed expert cases first, establish S0-cases, then test whether document retrieval improves it before considering domain training. This revision publishes plans and offline tooling; it makes no live model, GPU training or deployment claim.</w:t>
      </w:r>
    </w:p>
    <w:p>
      <w:r>
        <w:t>The role titles in the approved Oil-and-Gas-Expert-Knowledge-Business-Assessment.md remain the target organisation. Until positions are filled, Brad holds all roles; Technical Director acceptance is exercised by a Broadbridge-appointed reviewer named at Gate 0. Bill Hurt is that named reviewer; this Gate 0 decision is complete.</w:t>
      </w:r>
    </w:p>
    <w:p>
      <w:r>
        <w:t>The initial scope is refining and process operations: evidence review, missing-information questions, checked calculations and engineer-reviewed diagnostic briefs. Norm Lieberman remains an illustrative expert candidate, with no appointment or source permissions assumed.</w:t>
      </w:r>
    </w:p>
    <w:tbl>
      <w:tblPr>
        <w:tblW w:type="auto" w:w="0"/>
        <w:jc w:val="center"/>
        <w:tblLayout w:type="fixed"/>
        <w:tblLook w:firstColumn="1" w:firstRow="1" w:lastColumn="0" w:lastRow="0" w:noHBand="0" w:noVBand="1" w:val="04A0"/>
      </w:tblPr>
      <w:tblGrid>
        <w:gridCol w:w="2952"/>
        <w:gridCol w:w="7416"/>
      </w:tblGrid>
      <w:tr>
        <w:trPr>
          <w:cantSplit/>
          <w:tblHeader/>
        </w:trPr>
        <w:tc>
          <w:tcPr>
            <w:tcW w:type="dxa" w:w="2952"/>
            <w:vAlign w:val="center"/>
            <w:tcMar>
              <w:top w:w="70" w:type="dxa"/>
              <w:bottom w:w="70" w:type="dxa"/>
              <w:left w:w="90" w:type="dxa"/>
              <w:right w:w="90" w:type="dxa"/>
            </w:tcMar>
            <w:shd w:fill="E6EDF1"/>
          </w:tcPr>
          <w:p>
            <w:pPr>
              <w:spacing w:after="0" w:line="240" w:lineRule="auto"/>
            </w:pPr>
            <w:r>
              <w:rPr>
                <w:b/>
                <w:sz w:val="20"/>
              </w:rPr>
              <w:t>Item and task mapping</w:t>
            </w:r>
          </w:p>
        </w:tc>
        <w:tc>
          <w:tcPr>
            <w:tcW w:type="dxa" w:w="7416"/>
            <w:vAlign w:val="center"/>
            <w:tcMar>
              <w:top w:w="70" w:type="dxa"/>
              <w:bottom w:w="70" w:type="dxa"/>
              <w:left w:w="90" w:type="dxa"/>
              <w:right w:w="90" w:type="dxa"/>
            </w:tcMar>
            <w:shd w:fill="E6EDF1"/>
          </w:tcPr>
          <w:p>
            <w:pPr>
              <w:spacing w:after="0" w:line="240" w:lineRule="auto"/>
            </w:pPr>
            <w:r>
              <w:rPr>
                <w:b/>
                <w:sz w:val="20"/>
              </w:rPr>
              <w:t>Verified status and evidence</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Current EC2 instance</w:t>
            </w:r>
          </w:p>
        </w:tc>
        <w:tc>
          <w:tcPr>
            <w:tcW w:type="dxa" w:w="7416"/>
            <w:vAlign w:val="center"/>
            <w:tcMar>
              <w:top w:w="70" w:type="dxa"/>
              <w:bottom w:w="70" w:type="dxa"/>
              <w:left w:w="90" w:type="dxa"/>
              <w:right w:w="90" w:type="dxa"/>
            </w:tcMar>
            <w:shd w:fill="FFFFFF"/>
          </w:tcPr>
          <w:p>
            <w:pPr>
              <w:spacing w:after="0" w:line="240" w:lineRule="auto"/>
            </w:pPr>
            <w:r>
              <w:rPr>
                <w:sz w:val="20"/>
              </w:rPr>
              <w:t>i-0e5e1cbc7b1367566 in us-east-1, as recorded in infra/status.ps1 and docs/SLM_SERVING_BRIEF.md at commit f8f5827. The old June-plan ID i-02d15a1d9645210ad is stale.</w:t>
            </w:r>
          </w:p>
        </w:tc>
      </w:tr>
      <w:tr>
        <w:trPr>
          <w:cantSplit/>
        </w:trPr>
        <w:tc>
          <w:tcPr>
            <w:tcW w:type="dxa" w:w="2952"/>
            <w:vAlign w:val="center"/>
            <w:tcMar>
              <w:top w:w="70" w:type="dxa"/>
              <w:bottom w:w="70" w:type="dxa"/>
              <w:left w:w="90" w:type="dxa"/>
              <w:right w:w="90" w:type="dxa"/>
            </w:tcMar>
            <w:shd w:fill="F4F6F7"/>
          </w:tcPr>
          <w:p>
            <w:pPr>
              <w:spacing w:after="0" w:line="240" w:lineRule="auto"/>
            </w:pPr>
            <w:r>
              <w:rPr>
                <w:sz w:val="20"/>
              </w:rPr>
              <w:t>B01 / B02 / B04</w:t>
            </w:r>
          </w:p>
        </w:tc>
        <w:tc>
          <w:tcPr>
            <w:tcW w:type="dxa" w:w="7416"/>
            <w:vAlign w:val="center"/>
            <w:tcMar>
              <w:top w:w="70" w:type="dxa"/>
              <w:bottom w:w="70" w:type="dxa"/>
              <w:left w:w="90" w:type="dxa"/>
              <w:right w:w="90" w:type="dxa"/>
            </w:tcMar>
            <w:shd w:fill="F4F6F7"/>
          </w:tcPr>
          <w:p>
            <w:pPr>
              <w:spacing w:after="0" w:line="240" w:lineRule="auto"/>
            </w:pPr>
            <w:r>
              <w:rPr>
                <w:sz w:val="20"/>
              </w:rPr>
              <w:t>COMPLETE for the serving host/model setup: qwen3:8b, Q4_K_M, GPU-served on the L4. Completion is documented in docs/SLM_SERVING_BRIEF.md; no repeat setup is planned.</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B05</w:t>
            </w:r>
          </w:p>
        </w:tc>
        <w:tc>
          <w:tcPr>
            <w:tcW w:type="dxa" w:w="7416"/>
            <w:vAlign w:val="center"/>
            <w:tcMar>
              <w:top w:w="70" w:type="dxa"/>
              <w:bottom w:w="70" w:type="dxa"/>
              <w:left w:w="90" w:type="dxa"/>
              <w:right w:w="90" w:type="dxa"/>
            </w:tcMar>
            <w:shd w:fill="FFFFFF"/>
          </w:tcPr>
          <w:p>
            <w:pPr>
              <w:spacing w:after="0" w:line="240" w:lineRule="auto"/>
            </w:pPr>
            <w:r>
              <w:rPr>
                <w:sz w:val="20"/>
              </w:rPr>
              <w:t>COMPLETE for end-to-end inference through localhost:11435 and closed external port 11434, per the same serving brief. Do not reopen this as a new work package.</w:t>
            </w:r>
          </w:p>
        </w:tc>
      </w:tr>
      <w:tr>
        <w:trPr>
          <w:cantSplit/>
        </w:trPr>
        <w:tc>
          <w:tcPr>
            <w:tcW w:type="dxa" w:w="2952"/>
            <w:vAlign w:val="center"/>
            <w:tcMar>
              <w:top w:w="70" w:type="dxa"/>
              <w:bottom w:w="70" w:type="dxa"/>
              <w:left w:w="90" w:type="dxa"/>
              <w:right w:w="90" w:type="dxa"/>
            </w:tcMar>
            <w:shd w:fill="F4F6F7"/>
          </w:tcPr>
          <w:p>
            <w:pPr>
              <w:spacing w:after="0" w:line="240" w:lineRule="auto"/>
            </w:pPr>
            <w:r>
              <w:rPr>
                <w:sz w:val="20"/>
              </w:rPr>
              <w:t>Shared inference client</w:t>
            </w:r>
          </w:p>
        </w:tc>
        <w:tc>
          <w:tcPr>
            <w:tcW w:type="dxa" w:w="7416"/>
            <w:vAlign w:val="center"/>
            <w:tcMar>
              <w:top w:w="70" w:type="dxa"/>
              <w:bottom w:w="70" w:type="dxa"/>
              <w:left w:w="90" w:type="dxa"/>
              <w:right w:w="90" w:type="dxa"/>
            </w:tcMar>
            <w:shd w:fill="F4F6F7"/>
          </w:tcPr>
          <w:p>
            <w:pPr>
              <w:spacing w:after="0" w:line="240" w:lineRule="auto"/>
            </w:pPr>
            <w:r>
              <w:rPr>
                <w:sz w:val="20"/>
              </w:rPr>
              <w:t>src/llm_client.py, mocked tests and .env.example are committed in 3fe688f after tests passed. It now supports schema= and JSON mode with think:false by default; callers still validate the returned answer.</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Gate 1a and 1b</w:t>
            </w:r>
          </w:p>
        </w:tc>
        <w:tc>
          <w:tcPr>
            <w:tcW w:type="dxa" w:w="7416"/>
            <w:vAlign w:val="center"/>
            <w:tcMar>
              <w:top w:w="70" w:type="dxa"/>
              <w:bottom w:w="70" w:type="dxa"/>
              <w:left w:w="90" w:type="dxa"/>
              <w:right w:w="90" w:type="dxa"/>
            </w:tcMar>
            <w:shd w:fill="FFFFFF"/>
          </w:tcPr>
          <w:p>
            <w:pPr>
              <w:spacing w:after="0" w:line="240" w:lineRule="auto"/>
            </w:pPr>
            <w:r>
              <w:rPr>
                <w:sz w:val="20"/>
              </w:rPr>
              <w:t>Implemented and CPU-tested on codex/broadbridge-gate1-data-training. Family splits, explicit fixture counts, assistant-only labels and local-tokenizer dry-run are covered in tests/. GPU integration remains Gate 3.</w:t>
            </w:r>
          </w:p>
        </w:tc>
      </w:tr>
      <w:tr>
        <w:trPr>
          <w:cantSplit/>
        </w:trPr>
        <w:tc>
          <w:tcPr>
            <w:tcW w:type="dxa" w:w="2952"/>
            <w:vAlign w:val="center"/>
            <w:tcMar>
              <w:top w:w="70" w:type="dxa"/>
              <w:bottom w:w="70" w:type="dxa"/>
              <w:left w:w="90" w:type="dxa"/>
              <w:right w:w="90" w:type="dxa"/>
            </w:tcMar>
            <w:shd w:fill="F4F6F7"/>
          </w:tcPr>
          <w:p>
            <w:pPr>
              <w:spacing w:after="0" w:line="240" w:lineRule="auto"/>
            </w:pPr>
            <w:r>
              <w:rPr>
                <w:sz w:val="20"/>
              </w:rPr>
              <w:t>Gate 0 and remaining validation</w:t>
            </w:r>
          </w:p>
        </w:tc>
        <w:tc>
          <w:tcPr>
            <w:tcW w:type="dxa" w:w="7416"/>
            <w:vAlign w:val="center"/>
            <w:tcMar>
              <w:top w:w="70" w:type="dxa"/>
              <w:bottom w:w="70" w:type="dxa"/>
              <w:left w:w="90" w:type="dxa"/>
              <w:right w:w="90" w:type="dxa"/>
            </w:tcMar>
            <w:shd w:fill="F4F6F7"/>
          </w:tcPr>
          <w:p>
            <w:pPr>
              <w:spacing w:after="0" w:line="240" w:lineRule="auto"/>
            </w:pPr>
            <w:r>
              <w:rPr>
                <w:sz w:val="20"/>
              </w:rPr>
              <w:t>Gate 0 remains OPEN for rights/storage and signed-case question coverage; Bill Hurt is named. Gates 1c to 1e are committed. Brad verified 116 passing tests across test_evaluate.py, test_deploy_pack.py and test_confidential_llm.py. Live conversion and model performance remain unverified.</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Training host blockers</w:t>
            </w:r>
          </w:p>
        </w:tc>
        <w:tc>
          <w:tcPr>
            <w:tcW w:type="dxa" w:w="7416"/>
            <w:vAlign w:val="center"/>
            <w:tcMar>
              <w:top w:w="70" w:type="dxa"/>
              <w:bottom w:w="70" w:type="dxa"/>
              <w:left w:w="90" w:type="dxa"/>
              <w:right w:w="90" w:type="dxa"/>
            </w:tcMar>
            <w:shd w:fill="FFFFFF"/>
          </w:tcPr>
          <w:p>
            <w:pPr>
              <w:spacing w:after="0" w:line="240" w:lineRule="auto"/>
            </w:pPr>
            <w:r>
              <w:rPr>
                <w:sz w:val="20"/>
              </w:rPr>
              <w:t>No ~/slm training venv and no slm-foundry-ec2 instance profile are reported in the serving brief. Both must be resolved before B03/B07. Serving completion does not resolve them.</w:t>
            </w:r>
          </w:p>
        </w:tc>
      </w:tr>
    </w:tbl>
    <w:p>
      <w:pPr>
        <w:spacing w:after="0"/>
      </w:pPr>
    </w:p>
    <w:p>
      <w:r>
        <w:t>Evidence was verified from local files and commit history, not by starting or connecting to AWS. The old instance ARN also remains in infra/iam-ec2-selfmanage-policy.json; replace that obsolete policy during the later infrastructure work. The slm SSH alias used by status diagnostics can become stale after a restart. Preserve unrelated Nast, Broderick and stripe work.</w:t>
      </w:r>
    </w:p>
    <w:p>
      <w:r>
        <w:t>Core SLM v0 is a broadbridge-oil-gas adapter that beats the S0 retrieval baseline on the Gate 0 question set without new critical errors, served on the existing box and reproducible by a second operator from the two repositories. This is the delivery target, not a performance claim.</w:t>
      </w:r>
    </w:p>
    <w:p>
      <w:pPr>
        <w:pStyle w:val="Heading1"/>
        <w:pageBreakBefore/>
      </w:pPr>
      <w:r>
        <w:t>2 Gate 0 scope and Gate 1 offline Foundry fixes</w:t>
      </w:r>
    </w:p>
    <w:p>
      <w:r>
        <w:t>Critical path: signed case capture and Gate 0 evidence → Gate 1 Foundry readiness → S0-cases → S0-retrieval improvement → Gate 3 prerequisites and experiments. Document admission runs alongside case capture and does not block the first case-only brief. No prior calendar estimate overrides a failed gate.</w:t>
      </w:r>
    </w:p>
    <w:p>
      <w:r>
        <w:t>Gate 0 is OPEN and owned by Brad/Broadbridge. It closes when (a) rights and storage are recorded: case records live in the Claude artifact store for the pilot, while originals and any supporting documents live in the one approved S3 bucket; (b) the technical reviewer is named: Bill Hurt, complete; and (c) signed cases supply at least 30 Section C questions with reference answers, covering all five types: brief, missing_data, calculation, grounded_explanation and abstention. Questions are derived from the cases, never supplied as a separate question set. Record the exact artifact identifier and S3 bucket/prefix with the rights record.</w:t>
      </w:r>
    </w:p>
    <w:p>
      <w:r>
        <w:t>C01 and the capture page gather Gate 0 evidence. Bill enters as many cases as he chooses directly, without a prerequisite call. Once a case has recorded rights/storage and reviewer signoff, S0-cases can run for that signed case while question coverage accumulates. Formal paired-baseline acceptance and training approval require Gate 0 closure. Agree the brief schema, evidence IDs, numeric tolerances/units and hard-fail criteria before scoring. Generic offline Gate 1 work uses synthetic fixtures and grants no source rights.</w:t>
      </w:r>
    </w:p>
    <w:p>
      <w:r>
        <w:t>Gate 1 runs without a GPU. The oil-gas scaffold was copied from slm-foundry/packs/_template into Broadbridge4096/packs/oil-gas. Its draft schema, prompt, rubric and configuration need Gate 0 acceptance. Remove template personas and unrelated hand/image-generation fields. Do not build a parallel pack format from scratch. Training datasets are released only after Gate 0.</w:t>
      </w:r>
    </w:p>
    <w:tbl>
      <w:tblPr>
        <w:tblW w:type="auto" w:w="0"/>
        <w:jc w:val="center"/>
        <w:tblLayout w:type="fixed"/>
        <w:tblLook w:firstColumn="1" w:firstRow="1" w:lastColumn="0" w:lastRow="0" w:noHBand="0" w:noVBand="1" w:val="04A0"/>
      </w:tblPr>
      <w:tblGrid>
        <w:gridCol w:w="2952"/>
        <w:gridCol w:w="7416"/>
      </w:tblGrid>
      <w:tr>
        <w:trPr>
          <w:cantSplit/>
          <w:tblHeader/>
        </w:trPr>
        <w:tc>
          <w:tcPr>
            <w:tcW w:type="dxa" w:w="2952"/>
            <w:vAlign w:val="center"/>
            <w:tcMar>
              <w:top w:w="70" w:type="dxa"/>
              <w:bottom w:w="70" w:type="dxa"/>
              <w:left w:w="90" w:type="dxa"/>
              <w:right w:w="90" w:type="dxa"/>
            </w:tcMar>
            <w:shd w:fill="E6EDF1"/>
          </w:tcPr>
          <w:p>
            <w:pPr>
              <w:spacing w:after="0" w:line="240" w:lineRule="auto"/>
            </w:pPr>
            <w:r>
              <w:rPr>
                <w:b/>
                <w:sz w:val="20"/>
              </w:rPr>
              <w:t>Work package</w:t>
            </w:r>
          </w:p>
        </w:tc>
        <w:tc>
          <w:tcPr>
            <w:tcW w:type="dxa" w:w="7416"/>
            <w:vAlign w:val="center"/>
            <w:tcMar>
              <w:top w:w="70" w:type="dxa"/>
              <w:bottom w:w="70" w:type="dxa"/>
              <w:left w:w="90" w:type="dxa"/>
              <w:right w:w="90" w:type="dxa"/>
            </w:tcMar>
            <w:shd w:fill="E6EDF1"/>
          </w:tcPr>
          <w:p>
            <w:pPr>
              <w:spacing w:after="0" w:line="240" w:lineRule="auto"/>
            </w:pPr>
            <w:r>
              <w:rPr>
                <w:b/>
                <w:sz w:val="20"/>
              </w:rPr>
              <w:t>Required behavior and tests</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1a Complete on branch</w:t>
            </w:r>
          </w:p>
        </w:tc>
        <w:tc>
          <w:tcPr>
            <w:tcW w:type="dxa" w:w="7416"/>
            <w:vAlign w:val="center"/>
            <w:tcMar>
              <w:top w:w="70" w:type="dxa"/>
              <w:bottom w:w="70" w:type="dxa"/>
              <w:left w:w="90" w:type="dxa"/>
              <w:right w:w="90" w:type="dxa"/>
            </w:tcMar>
            <w:shd w:fill="FFFFFF"/>
          </w:tcPr>
          <w:p>
            <w:pPr>
              <w:spacing w:after="0" w:line="240" w:lineRule="auto"/>
            </w:pPr>
            <w:r>
              <w:rPr>
                <w:sz w:val="20"/>
              </w:rPr>
              <w:t>prepare.py --group-key keeps whole families together; --fixture-splits TRAIN VAL TEST bypasses the old 50/50 minimum. tests/test_prepare.py covers disjoint groups, deterministic splits, duplicates, invalid groups/counts and small fixtures.</w:t>
            </w:r>
          </w:p>
        </w:tc>
      </w:tr>
      <w:tr>
        <w:trPr>
          <w:cantSplit/>
        </w:trPr>
        <w:tc>
          <w:tcPr>
            <w:tcW w:type="dxa" w:w="2952"/>
            <w:vAlign w:val="center"/>
            <w:tcMar>
              <w:top w:w="70" w:type="dxa"/>
              <w:bottom w:w="70" w:type="dxa"/>
              <w:left w:w="90" w:type="dxa"/>
              <w:right w:w="90" w:type="dxa"/>
            </w:tcMar>
            <w:shd w:fill="F4F6F7"/>
          </w:tcPr>
          <w:p>
            <w:pPr>
              <w:spacing w:after="0" w:line="240" w:lineRule="auto"/>
            </w:pPr>
            <w:r>
              <w:rPr>
                <w:sz w:val="20"/>
              </w:rPr>
              <w:t>1b Complete on branch</w:t>
            </w:r>
          </w:p>
        </w:tc>
        <w:tc>
          <w:tcPr>
            <w:tcW w:type="dxa" w:w="7416"/>
            <w:vAlign w:val="center"/>
            <w:tcMar>
              <w:top w:w="70" w:type="dxa"/>
              <w:bottom w:w="70" w:type="dxa"/>
              <w:left w:w="90" w:type="dxa"/>
              <w:right w:w="90" w:type="dxa"/>
            </w:tcMar>
            <w:shd w:fill="F4F6F7"/>
          </w:tcPr>
          <w:p>
            <w:pPr>
              <w:spacing w:after="0" w:line="240" w:lineRule="auto"/>
            </w:pPr>
            <w:r>
              <w:rPr>
                <w:sz w:val="20"/>
              </w:rPr>
              <w:t>train.py --dry-run uses local fast-tokenizer files, prints a rendered batch, input IDs, labels, assistant mask and length statistics. Prompt/padding labels are -100. Overlength data is reported and rejected, with no silent truncation. tests/test_train.py covers these behaviors and CPU loss gradients.</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1c Offline implementation</w:t>
            </w:r>
          </w:p>
        </w:tc>
        <w:tc>
          <w:tcPr>
            <w:tcW w:type="dxa" w:w="7416"/>
            <w:vAlign w:val="center"/>
            <w:tcMar>
              <w:top w:w="70" w:type="dxa"/>
              <w:bottom w:w="70" w:type="dxa"/>
              <w:left w:w="90" w:type="dxa"/>
              <w:right w:w="90" w:type="dxa"/>
            </w:tcMar>
            <w:shd w:fill="FFFFFF"/>
          </w:tcPr>
          <w:p>
            <w:pPr>
              <w:spacing w:after="0" w:line="240" w:lineRule="auto"/>
            </w:pPr>
            <w:r>
              <w:rPr>
                <w:sz w:val="20"/>
              </w:rPr>
              <w:t>evaluate.py supports --split, a pluggable judge and engineering metrics: numeric tolerance, unit equivalence, missing evidence and grounding against source_ids. Covered in tests/test_evaluate.py for valid/invalid units, absent evidence, unresolved citations and split selection.</w:t>
            </w:r>
          </w:p>
        </w:tc>
      </w:tr>
      <w:tr>
        <w:trPr>
          <w:cantSplit/>
        </w:trPr>
        <w:tc>
          <w:tcPr>
            <w:tcW w:type="dxa" w:w="2952"/>
            <w:vAlign w:val="center"/>
            <w:tcMar>
              <w:top w:w="70" w:type="dxa"/>
              <w:bottom w:w="70" w:type="dxa"/>
              <w:left w:w="90" w:type="dxa"/>
              <w:right w:w="90" w:type="dxa"/>
            </w:tcMar>
            <w:shd w:fill="F4F6F7"/>
          </w:tcPr>
          <w:p>
            <w:pPr>
              <w:spacing w:after="0" w:line="240" w:lineRule="auto"/>
            </w:pPr>
            <w:r>
              <w:rPr>
                <w:sz w:val="20"/>
              </w:rPr>
              <w:t>1d Offline implementation</w:t>
            </w:r>
          </w:p>
        </w:tc>
        <w:tc>
          <w:tcPr>
            <w:tcW w:type="dxa" w:w="7416"/>
            <w:vAlign w:val="center"/>
            <w:tcMar>
              <w:top w:w="70" w:type="dxa"/>
              <w:bottom w:w="70" w:type="dxa"/>
              <w:left w:w="90" w:type="dxa"/>
              <w:right w:w="90" w:type="dxa"/>
            </w:tcMar>
            <w:shd w:fill="F4F6F7"/>
          </w:tcPr>
          <w:p>
            <w:pPr>
              <w:spacing w:after="0" w:line="240" w:lineRule="auto"/>
            </w:pPr>
            <w:r>
              <w:rPr>
                <w:sz w:val="20"/>
              </w:rPr>
              <w:t>Generic deploy_pack.sh accepts pack/model names and builds into an adapter-hash release directory using a unique build ID. Never reuse a merge/GGUF simply because a file exists. Covered in tests/test_deploy_pack.py for hash/path isolation, wrong manifests and parameter propagation.</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1e Offline implementation</w:t>
            </w:r>
          </w:p>
        </w:tc>
        <w:tc>
          <w:tcPr>
            <w:tcW w:type="dxa" w:w="7416"/>
            <w:vAlign w:val="center"/>
            <w:tcMar>
              <w:top w:w="70" w:type="dxa"/>
              <w:bottom w:w="70" w:type="dxa"/>
              <w:left w:w="90" w:type="dxa"/>
              <w:right w:w="90" w:type="dxa"/>
            </w:tcMar>
            <w:shd w:fill="FFFFFF"/>
          </w:tcPr>
          <w:p>
            <w:pPr>
              <w:spacing w:after="0" w:line="240" w:lineRule="auto"/>
            </w:pPr>
            <w:r>
              <w:rPr>
                <w:sz w:val="20"/>
              </w:rPr>
              <w:t>ground.py and judge.py refuse confidential packs unless an explicitly configured local OLLAMA_URL judge is approved. Both route locally with no external fallback. Covered in tests/test_confidential_llm.py for unset/nonlocal URLs, rejected external calls and permitted loopback tunnel use.</w:t>
            </w:r>
          </w:p>
        </w:tc>
      </w:tr>
    </w:tbl>
    <w:p>
      <w:pPr>
        <w:spacing w:after="0"/>
      </w:pPr>
    </w:p>
    <w:p>
      <w:r>
        <w:t>Gate 1 exit requires all five work packages and the regression suite. A confidentiality flag or default localhost URL alone is not permission to send data. Keep independent technical review even when a local model assists evaluation.</w:t>
      </w:r>
    </w:p>
    <w:p>
      <w:pPr>
        <w:pStyle w:val="Heading1"/>
        <w:pageBreakBefore/>
      </w:pPr>
      <w:r>
        <w:t>3 Gate 2 case and retrieval baselines</w:t>
      </w:r>
    </w:p>
    <w:p>
      <w:r>
        <w:t>S0-cases comes first. Follow docs/FIRST_CASE_RUNBOOK.md for each signed case: page export, import_cases.py, run_brief.py and reviewer scorecard. Stock qwen3:8b receives only identity.unit_service and decision_time, with think:false and schema=brief. No documents or index are required. Section C questions and hindsight are withheld from the prompt and used only for review. Early per-case runs gather evidence; freeze the formal comparison set once Gate 0 closes.</w:t>
      </w:r>
    </w:p>
    <w:p>
      <w:r>
        <w:t>S0-retrieval follows when approximately 20 documents are admitted. Add permission-filtered, reviewed evidence from an on-box index to the same cases and model. Derive queries from decision-time information, never hindsight or reference answers. Freeze cases/questions, references, schema, model/template, inference settings, document versions, source_ids and index settings. Keep comparison families out of training and retain a separate eventual release set. Thirty questions do not establish broad reliability.</w:t>
      </w:r>
    </w:p>
    <w:p>
      <w:r>
        <w:t>Score both stages with the same per-question 0/1/2 scorecard and exact Section C hard-fail criteria; critical-error flags remain separate. S0-retrieval must beat S0-cases on the paired set without new critical errors before training is considered. Predeclare the improvement criterion with Bill. If retrieval ties or degrades the case baseline, resolve the evidence/retrieval failure before proposing training.</w:t>
      </w:r>
    </w:p>
    <w:tbl>
      <w:tblPr>
        <w:tblW w:type="auto" w:w="0"/>
        <w:jc w:val="center"/>
        <w:tblLayout w:type="fixed"/>
        <w:tblLook w:firstColumn="1" w:firstRow="1" w:lastColumn="0" w:lastRow="0" w:noHBand="0" w:noVBand="1" w:val="04A0"/>
      </w:tblPr>
      <w:tblGrid>
        <w:gridCol w:w="2952"/>
        <w:gridCol w:w="7416"/>
      </w:tblGrid>
      <w:tr>
        <w:trPr>
          <w:cantSplit/>
          <w:tblHeader/>
        </w:trPr>
        <w:tc>
          <w:tcPr>
            <w:tcW w:type="dxa" w:w="2952"/>
            <w:vAlign w:val="center"/>
            <w:tcMar>
              <w:top w:w="70" w:type="dxa"/>
              <w:bottom w:w="70" w:type="dxa"/>
              <w:left w:w="90" w:type="dxa"/>
              <w:right w:w="90" w:type="dxa"/>
            </w:tcMar>
            <w:shd w:fill="E6EDF1"/>
          </w:tcPr>
          <w:p>
            <w:pPr>
              <w:spacing w:after="0" w:line="240" w:lineRule="auto"/>
            </w:pPr>
            <w:r>
              <w:rPr>
                <w:b/>
                <w:sz w:val="20"/>
              </w:rPr>
              <w:t>Track</w:t>
            </w:r>
          </w:p>
        </w:tc>
        <w:tc>
          <w:tcPr>
            <w:tcW w:type="dxa" w:w="7416"/>
            <w:vAlign w:val="center"/>
            <w:tcMar>
              <w:top w:w="70" w:type="dxa"/>
              <w:bottom w:w="70" w:type="dxa"/>
              <w:left w:w="90" w:type="dxa"/>
              <w:right w:w="90" w:type="dxa"/>
            </w:tcMar>
            <w:shd w:fill="E6EDF1"/>
          </w:tcPr>
          <w:p>
            <w:pPr>
              <w:spacing w:after="0" w:line="240" w:lineRule="auto"/>
            </w:pPr>
            <w:r>
              <w:rPr>
                <w:b/>
                <w:sz w:val="20"/>
              </w:rPr>
              <w:t>Required method</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S0-cases</w:t>
            </w:r>
          </w:p>
        </w:tc>
        <w:tc>
          <w:tcPr>
            <w:tcW w:type="dxa" w:w="7416"/>
            <w:vAlign w:val="center"/>
            <w:tcMar>
              <w:top w:w="70" w:type="dxa"/>
              <w:bottom w:w="70" w:type="dxa"/>
              <w:left w:w="90" w:type="dxa"/>
              <w:right w:w="90" w:type="dxa"/>
            </w:tcMar>
            <w:shd w:fill="FFFFFF"/>
          </w:tcPr>
          <w:p>
            <w:pPr>
              <w:spacing w:after="0" w:line="240" w:lineRule="auto"/>
            </w:pPr>
            <w:r>
              <w:rPr>
                <w:sz w:val="20"/>
              </w:rPr>
              <w:t>Stock qwen3:8b, native Ollama template, decision-time case input only; no index. Record case/prompt hashes, digest/template, settings and reviewer scorecard. Runnable per signed case.</w:t>
            </w:r>
          </w:p>
        </w:tc>
      </w:tr>
      <w:tr>
        <w:trPr>
          <w:cantSplit/>
        </w:trPr>
        <w:tc>
          <w:tcPr>
            <w:tcW w:type="dxa" w:w="2952"/>
            <w:vAlign w:val="center"/>
            <w:tcMar>
              <w:top w:w="70" w:type="dxa"/>
              <w:bottom w:w="70" w:type="dxa"/>
              <w:left w:w="90" w:type="dxa"/>
              <w:right w:w="90" w:type="dxa"/>
            </w:tcMar>
            <w:shd w:fill="F4F6F7"/>
          </w:tcPr>
          <w:p>
            <w:pPr>
              <w:spacing w:after="0" w:line="240" w:lineRule="auto"/>
            </w:pPr>
            <w:r>
              <w:rPr>
                <w:sz w:val="20"/>
              </w:rPr>
              <w:t>S0-retrieval</w:t>
            </w:r>
          </w:p>
        </w:tc>
        <w:tc>
          <w:tcPr>
            <w:tcW w:type="dxa" w:w="7416"/>
            <w:vAlign w:val="center"/>
            <w:tcMar>
              <w:top w:w="70" w:type="dxa"/>
              <w:bottom w:w="70" w:type="dxa"/>
              <w:left w:w="90" w:type="dxa"/>
              <w:right w:w="90" w:type="dxa"/>
            </w:tcMar>
            <w:shd w:fill="F4F6F7"/>
          </w:tcPr>
          <w:p>
            <w:pPr>
              <w:spacing w:after="0" w:line="240" w:lineRule="auto"/>
            </w:pPr>
            <w:r>
              <w:rPr>
                <w:sz w:val="20"/>
              </w:rPr>
              <w:t>Same stock model, cases, schema and scoring; add only admitted evidence from the on-box index. Save retrieved passages/source_ids and prompt provenance. Must improve on S0-cases before training.</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S1 Template control</w:t>
            </w:r>
          </w:p>
        </w:tc>
        <w:tc>
          <w:tcPr>
            <w:tcW w:type="dxa" w:w="7416"/>
            <w:vAlign w:val="center"/>
            <w:tcMar>
              <w:top w:w="70" w:type="dxa"/>
              <w:bottom w:w="70" w:type="dxa"/>
              <w:left w:w="90" w:type="dxa"/>
              <w:right w:w="90" w:type="dxa"/>
            </w:tcMar>
            <w:shd w:fill="FFFFFF"/>
          </w:tcPr>
          <w:p>
            <w:pPr>
              <w:spacing w:after="0" w:line="240" w:lineRule="auto"/>
            </w:pPr>
            <w:r>
              <w:rPr>
                <w:sz w:val="20"/>
              </w:rPr>
              <w:t>Same stock GGUF with pinned ChatML and stop tokens. Match S0-retrieval evidence/settings to expose template effects. Ollama's native Qwen3 template and pinned ChatML are not interchangeable.</w:t>
            </w:r>
          </w:p>
        </w:tc>
      </w:tr>
      <w:tr>
        <w:trPr>
          <w:cantSplit/>
        </w:trPr>
        <w:tc>
          <w:tcPr>
            <w:tcW w:type="dxa" w:w="2952"/>
            <w:vAlign w:val="center"/>
            <w:tcMar>
              <w:top w:w="70" w:type="dxa"/>
              <w:bottom w:w="70" w:type="dxa"/>
              <w:left w:w="90" w:type="dxa"/>
              <w:right w:w="90" w:type="dxa"/>
            </w:tcMar>
            <w:shd w:fill="F4F6F7"/>
          </w:tcPr>
          <w:p>
            <w:pPr>
              <w:spacing w:after="0" w:line="240" w:lineRule="auto"/>
            </w:pPr>
            <w:r>
              <w:rPr>
                <w:sz w:val="20"/>
              </w:rPr>
              <w:t>B versus A at Gate 3</w:t>
            </w:r>
          </w:p>
        </w:tc>
        <w:tc>
          <w:tcPr>
            <w:tcW w:type="dxa" w:w="7416"/>
            <w:vAlign w:val="center"/>
            <w:tcMar>
              <w:top w:w="70" w:type="dxa"/>
              <w:bottom w:w="70" w:type="dxa"/>
              <w:left w:w="90" w:type="dxa"/>
              <w:right w:w="90" w:type="dxa"/>
            </w:tcMar>
            <w:shd w:fill="F4F6F7"/>
          </w:tcPr>
          <w:p>
            <w:pPr>
              <w:spacing w:after="0" w:line="240" w:lineRule="auto"/>
            </w:pPr>
            <w:r>
              <w:rPr>
                <w:sz w:val="20"/>
              </w:rPr>
              <w:t>Exact pinned Hugging Face base without adapter B and with adapter A; identical tokenizer, ChatML, thinking policy and generation settings. Match conversion/quantization for serving. Do not assume stock GGUF equals this base.</w:t>
            </w:r>
          </w:p>
        </w:tc>
      </w:tr>
    </w:tbl>
    <w:p>
      <w:pPr>
        <w:spacing w:after="0"/>
      </w:pPr>
    </w:p>
    <w:p>
      <w:r>
        <w:t>Use think:false and temperature 0.2 to match the first-case runner; keep context/output limits and trial counts identical across paired baselines. If settings change, rerun both sides. Custom templates may ignore thinking controls: inspect rendered prompts and apply any nonthinking prefix identically in training and matched evaluations. Record accuracy, grounding, critical errors, latency and reviewer dispositions; distinguish cold and warm latency.</w:t>
      </w:r>
    </w:p>
    <w:p>
      <w:r>
        <w:t>Gate 2 exit is Bill's reviewed S0-retrieval improvement over S0-cases and an analysis of remaining failures. Only then consider bounded training. A tuned release must beat S0-retrieval and matched B without new critical errors or worse grounding. The delivered runner/scorecard handles S0-cases; V04R implements the later retrieval run and its evidence provenance using the same scoring sheet. No retrieval execution is claimed here.</w:t>
      </w:r>
    </w:p>
    <w:p>
      <w:pPr>
        <w:pStyle w:val="Heading1"/>
        <w:pageBreakBefore/>
      </w:pPr>
      <w:r>
        <w:t>4 Gate 3 training prerequisites and pinned base</w:t>
      </w:r>
    </w:p>
    <w:p>
      <w:r>
        <w:t>Gate 3 begins only after the baseline and experiment decision at Gate 2. First fix both known box blockers: run infra/bootstrap.sh to establish ~/slm, and attach the slm-foundry-ec2 instance profile with least-privilege access to the one approved v0 bucket. Verify the assumed role and an allowed S3 read/write plus denied out-of-scope access. Both blockers must be closed before B03 and B07.</w:t>
      </w:r>
    </w:p>
    <w:p>
      <w:r>
        <w:t>B03 establishes the pinned trainable checkpoint and runtime. The current bootstrap is an unpinned discovery recipe; requirements-dev.txt is a CPU test environment, not its CUDA training lock; lock the working Python 3.11, driver/CUDA, PyTorch, Unsloth, Transformers, TRL, PEFT, Datasets, Accelerate, bitsandbytes and Hub client combination after validation. Record the code commit and model/template hashes. The existing Ollama artifact is a serving baseline, not the training input.</w:t>
      </w:r>
    </w:p>
    <w:p>
      <w:r>
        <w:t>After the environment and encrypted /data/models mount exist, resolve a revision once and download that exact snapshot. Run this only in the later authorized Gate 3 session. [R2]</w:t>
      </w:r>
    </w:p>
    <w:p>
      <w:pPr>
        <w:spacing w:after="160" w:line="240" w:lineRule="auto"/>
      </w:pPr>
      <w:r>
        <w:rPr>
          <w:rFonts w:ascii="Consolas" w:hAnsi="Consolas"/>
          <w:sz w:val="18"/>
        </w:rPr>
        <w:t>import json</w:t>
        <w:br/>
        <w:t>from pathlib import Path</w:t>
        <w:br/>
        <w:t>from huggingface_hub import HfApi, snapshot_download</w:t>
        <w:br/>
        <w:br/>
        <w:t>root = Path('/data/models/qwen3-8b')</w:t>
        <w:br/>
        <w:t>root.mkdir(parents=True, exist_ok=True)</w:t>
        <w:br/>
        <w:t>lock = root / 'base-lock.json'</w:t>
        <w:br/>
        <w:t>if not lock.exists():</w:t>
        <w:br/>
        <w:t xml:space="preserve">    repo = 'unsloth/Qwen3-8B'</w:t>
        <w:br/>
        <w:t xml:space="preserve">    sha = HfApi().model_info(repo).sha</w:t>
        <w:br/>
        <w:t xml:space="preserve">    assert sha, 'No model revision returned'</w:t>
        <w:br/>
        <w:t xml:space="preserve">    lock.write_text(json.dumps({'repo': repo, 'revision': sha}))</w:t>
        <w:br/>
        <w:t>spec = json.loads(lock.read_text())</w:t>
        <w:br/>
        <w:t>target = root / spec['revision']</w:t>
        <w:br/>
        <w:t>snapshot_download(repo_id=spec['repo'],</w:t>
        <w:br/>
        <w:t xml:space="preserve">                  revision=spec['revision'], local_dir=target)</w:t>
        <w:br/>
        <w:t>print(target)</w:t>
      </w:r>
    </w:p>
    <w:p>
      <w:r>
        <w:t>Hash weights, config, tokenizer and template; retain the model card/license. Set model.base to the verified local path. Prove offline reload. Keep the Ollama stock digest separate. Create the matched untuned B baseline from this pinned base before interpreting any adapter gain.</w:t>
      </w:r>
    </w:p>
    <w:p>
      <w:r>
        <w:t>B07 is the QLoRA smoke test: load → tokenize/mask audit → short train → save adapter/checkpoint → reload → generate → resume. Use explicit disjoint synthetic fixtures first. Measure VRAM, host RAM, disk and time; unload inference weights while training. Add and test bounded-step/checkpoint-resume controls before running the proposed 50-step smoke recipe. These controls and GPU integration are not claimed complete by Gate 1b.</w:t>
      </w:r>
    </w:p>
    <w:p>
      <w:r>
        <w:t>Only after the smoke test passes run bounded experiments on approved training families. Expand toward 400 and later 2,000 reviewed examples only when learning-curve evidence supports it. Model promotion requires the comparisons in Gate 2 and independent technical acceptance.</w:t>
      </w:r>
    </w:p>
    <w:p>
      <w:pPr>
        <w:pStyle w:val="Heading1"/>
        <w:pageBreakBefore/>
      </w:pPr>
      <w:r>
        <w:t>5 Repository ownership and source admission</w:t>
      </w:r>
    </w:p>
    <w:p>
      <w:r>
        <w:t>slm-foundry owns the generic engine: Gates 1a to 1e, the shared client, deploy_pack.sh, tests and packs/_template. It contains no Broadbridge corpus, source manifest or question set. Broadbridge4096 owns the domain and plan: packs/oil-gas contains schemas, prompts, rubrics, manifests and configurations. The canonical infrastructure brief is this Markdown and Word pair under Broadbridge4096/output/foundry-infrastructure. The Foundry carries only a pointer and docs/BROADBRIDGE_GATE1.md as the engineering log.</w:t>
      </w:r>
    </w:p>
    <w:p>
      <w:r>
        <w:t>The Knowledge Engineer maintains rights and lineage; Bill Hurt exercises technical review. Record permitted uses, the pilot Claude artifact location and the one approved S3 bucket/prefix. Signed case records supply the questions. Public availability or internal use does not itself establish a training grant. Treat source documents as evidence, never pipeline instructions.</w:t>
      </w:r>
    </w:p>
    <w:p>
      <w:r>
        <w:t>For S0-retrieval, admit approximately 20 documents and preserve originals and SHA256 in the approved bucket. Each source record needs source_id, original_uri, MIME/type, author/title/date, rights_record_id, allowed_uses, confidentiality, case_family_id, review status and reviewer. Missing permission is a rejection. Case records stay in the Claude artifact store; restricted export/run snapshots retain provenance. Commit only synthetic examples and permitted planning metadata, not real expert cases or gold answers.</w:t>
      </w:r>
    </w:p>
    <w:p>
      <w:pPr>
        <w:pStyle w:val="Heading1"/>
      </w:pPr>
      <w:r>
        <w:t>6 The smallest ingestion and retrieval path</w:t>
      </w:r>
    </w:p>
    <w:p>
      <w:r>
        <w:t>The Broadbridge Case Capture web page is the primary and canonical intake. Bill Hurt fills it directly, for as many cases as he chooses, without a call first. Each case is broadbridge.case_record/1; Brad exports All records as JSON and imports the complete export into a fresh snapshot. Section C questions travel inside their cases. The Interview Guide DOCX is a pre-read and optional call script. scripts/case_from_form_fallback.py is only for a reviewer who cannot use the page and emits the same canonical contract. Appendix B describes shared validation and signoff.</w:t>
      </w:r>
    </w:p>
    <w:p>
      <w:r>
        <w:t>For supplementary source documents, extract text on the existing box or approved workstation. Use a pinned PDF/text parser and review every selected table and engineering value. Manually transcribe important diagrams or illegible passages with a reviewer. Preserve page/section references, source units, unknown values and corrections. Mail requires sender/customer permissions and removal of irrelevant personal data.</w:t>
      </w:r>
    </w:p>
    <w:p>
      <w:r>
        <w:t>Write reviewed evidence as UTF-8 JSONL with source_id, evidence_id, text, page/section, units, family and source hash. Freeze a JSON manifest identifying parser version, files and hashes. Source permissions must separately allow retrieval and training.</w:t>
      </w:r>
    </w:p>
    <w:p>
      <w:r>
        <w:t>Build on-box retrieval for S0-retrieval over reviewed evidence, beginning with SQLite FTS or a small lexical index. Add pinned embeddings only if measured failures justify them. Freeze top-k, chunking and index version; gold answers and hindsight never enter the index. Save evidence and source_ids with each prediction. S0-cases remains available independently of this document/index work.</w:t>
      </w:r>
    </w:p>
    <w:p>
      <w:pPr>
        <w:pStyle w:val="Heading1"/>
        <w:pageBreakBefore/>
      </w:pPr>
      <w:r>
        <w:t>7 Family datasets and CPU readiness</w:t>
      </w:r>
    </w:p>
    <w:p>
      <w:r>
        <w:t>Assign documents, incident variants, email threads, translations and derived questions to case families before generating examples. Keep the Gate 0 benchmark families out of training. Export UTF-8 JSONL records with messages plus a top-level case_family_id. Each message uses role and text content; the assistant JSON is a serialized string. Preserve source and rights linkage in domain manifests.</w:t>
      </w:r>
    </w:p>
    <w:p>
      <w:r>
        <w:t>From the Foundry root, pass the absolute external pack directory. Relative --in, --out and --config values resolve from that pack root. train.py and evaluate.py use brain.train_config when --config is omitted; brain.data supplies data paths. Outputs default inside the pack rather than the engine repository.</w:t>
      </w:r>
    </w:p>
    <w:p>
      <w:pPr>
        <w:spacing w:after="160" w:line="240" w:lineRule="auto"/>
      </w:pPr>
      <w:r>
        <w:rPr>
          <w:rFonts w:ascii="Consolas" w:hAnsi="Consolas"/>
          <w:sz w:val="18"/>
        </w:rPr>
        <w:t>$pack = 'C:\Users\bradu\Documents\Broadbridge4096\packs\oil-gas'</w:t>
        <w:br/>
        <w:t>python -m src.prepare --pack $pack --group-key case_family_id</w:t>
        <w:br/>
        <w:t>python -m src.train --pack $pack --dry-run --tokenizer-dir C:\local\qwen-tokenizer</w:t>
      </w:r>
    </w:p>
    <w:p>
      <w:r>
        <w:t>These are post-Gate-0 commands for approved training records. The pack has synthetic capture fixtures only. Capture-derived rows use family_id; keep their frozen train/dev/locked_test assignments and map dev to val and locked_test to test during reviewed materialization. Do not repartition the benchmark. For synthetic plumbing only, --fixture-splits 16 8 8 allocates exact family counts and bypasses the legacy 50/50 minimum. Review the dry-run's batch, assistant mask, length distribution and overlength count. Prompt/padding labels are -100; overlength input is rejected without truncation. A CPU audit does not prove GPU fit.</w:t>
      </w:r>
    </w:p>
    <w:p>
      <w:pPr>
        <w:pStyle w:val="Heading1"/>
      </w:pPr>
      <w:r>
        <w:t>8 Training and engineering evaluation</w:t>
      </w:r>
    </w:p>
    <w:p>
      <w:r>
        <w:t>First demonstrate S0-retrieval improvement over S0-cases and complete the failure analysis in section 3. Only then authorize a bounded QLoRA experiment on approved training families. Start with rank 16, alpha 16, dropout 0, sequence length 2048, microbatch 1 and accumulation 8 as compatibility settings. Measure memory and time before scaling. The first GPU smoke must prove train, save, reload, generate and resume; max_steps and checkpoint-resume support remain additional Gate 3 work.</w:t>
      </w:r>
    </w:p>
    <w:p>
      <w:r>
        <w:t>The generic evaluator accepts --split train, val or test and an optional trusted judge plugin. Deterministic metrics cover declared numeric fields/tolerances, compatible units, missing-information handling and source_ids membership. Declared critical-error rules are reported per question. Citation membership alone is not semantic grounding: the appointed reviewer must check whether the cited passage supports the claim and assess errors not captured by rules.</w:t>
      </w:r>
    </w:p>
    <w:p>
      <w:r>
        <w:t>Freeze the S0 report, base comparison, predictions, latency and reviewer dispositions in the domain storage boundary. The model and metric code do not authorize release. Require the predeclared S0 improvement and no new critical errors, plus the matched-template B/A comparison. A failed experiment is an acceptable result; it does not justify enlarging infrastructure.</w:t>
      </w:r>
    </w:p>
    <w:p>
      <w:pPr>
        <w:pStyle w:val="Heading1"/>
        <w:pageBreakBefore/>
      </w:pPr>
      <w:r>
        <w:t>9 Pilot minimum infrastructure</w:t>
      </w:r>
    </w:p>
    <w:p>
      <w:r>
        <w:t>Reuse i-0e5e1cbc7b1367566 and its L4, private Ollama service and tunnel. Do not create another GPU host for v0. Run one GPU job at a time and unload serving weights before training. Measure the existing 200 GB volume and available space before downloading weights; expand encrypted disk only if measured need requires it. Keep all connection addresses discovered at runtime.</w:t>
      </w:r>
    </w:p>
    <w:p>
      <w:r>
        <w:t>Case records live in the Claude artifact store for the pilot. Originals and any documents live in one Broadbridge-approved private S3 bucket with block-public-access, encryption and versioning. Use prefixes for originals, reviewed evidence, datasets, models and evaluation; JSON manifests provide the catalog. Scope the role to required prefixes. Acceptance answers remain unavailable to training jobs. Record the exact artifact location, bucket and prefixes at Gate 0 and test permitted/denied S3 access with synthetic objects before retrieval or training uses S3. Do not silently reuse an unrelated bucket.</w:t>
      </w:r>
    </w:p>
    <w:p>
      <w:r>
        <w:t>Use S3-managed encryption for the minimum pilot unless the approved data contract requires customer-managed keys. Multi-bucket isolation and dedicated KMS keys remain Post-v0. A single bucket is a cost/scope decision, not permission for every process to read every prefix.</w:t>
      </w:r>
    </w:p>
    <w:p>
      <w:r>
        <w:t>Keep inference on loopback. The PC uses localhost:11435; the EC2 service uses localhost:11434. Port 11434 remains closed externally. Maintain current-IP-restricted SSH. No new SSM deployment, database server, queue, ingestion worker, orchestrator or infrastructure framework is required to prove v0.</w:t>
      </w:r>
    </w:p>
    <w:p>
      <w:pPr>
        <w:pStyle w:val="Heading1"/>
      </w:pPr>
      <w:r>
        <w:t>10 Confidential execution and private serving</w:t>
      </w:r>
    </w:p>
    <w:p>
      <w:r>
        <w:t>Pack confidentiality is explicit. ground.py and judge.py reject confidential work unless OLLAMA_URL is explicitly configured to an approved loopback endpoint. Defaulting to localhost is insufficient. Local failures do not fall back externally; redirects are refused. A source-less judge call must receive the pack policy; grounding also checks the output's pack ancestry. Operator-supplied Python judge plugins are trusted code and require review.</w:t>
      </w:r>
    </w:p>
    <w:p>
      <w:r>
        <w:t>Use the shared client's schema= argument to place the schema object in Ollama's format field; it takes precedence over json_mode. Keep think:false and validate the returned JSON in the application. Structured generation does not prove factual correctness. [R6]</w:t>
      </w:r>
    </w:p>
    <w:p>
      <w:r>
        <w:t>Deploy through the generic parameterized Foundry wrapper with local base and adapter files plus verified manifests. Each build uses releases/&lt;model&gt;/&lt;adapter_hash&gt;-&lt;unique_build_id&gt;; never reuse a merge or GGUF merely because it exists. Pin the converter commit, runtime version and ChatML template. Validate the candidate before replacing the target model and retain the previous tag for rollback. Live conversion and serving tests are still required on a later authorized box session.</w:t>
      </w:r>
    </w:p>
    <w:p>
      <w:pPr>
        <w:pStyle w:val="Heading1"/>
        <w:pageBreakBefore/>
      </w:pPr>
      <w:r>
        <w:t>11 Core v0 delivery tasks and owners</w:t>
      </w:r>
    </w:p>
    <w:p>
      <w:r>
        <w:t>Until appointments, apply section 1; Bill Hurt is the named technical reviewer. V04 is independent of V03. Per-case S0-cases can begin as signed, permissioned cases arrive; the complete formal comparison requires Gate 0 closure.</w:t>
      </w:r>
    </w:p>
    <w:tbl>
      <w:tblPr>
        <w:tblW w:type="auto" w:w="0"/>
        <w:jc w:val="center"/>
        <w:tblLayout w:type="fixed"/>
        <w:tblLook w:firstColumn="1" w:firstRow="1" w:lastColumn="0" w:lastRow="0" w:noHBand="0" w:noVBand="1" w:val="04A0"/>
      </w:tblPr>
      <w:tblGrid>
        <w:gridCol w:w="2520"/>
        <w:gridCol w:w="4464"/>
        <w:gridCol w:w="3384"/>
      </w:tblGrid>
      <w:tr>
        <w:trPr>
          <w:cantSplit/>
          <w:tblHeader/>
        </w:trPr>
        <w:tc>
          <w:tcPr>
            <w:tcW w:type="dxa" w:w="2520"/>
            <w:vAlign w:val="center"/>
            <w:tcMar>
              <w:top w:w="70" w:type="dxa"/>
              <w:bottom w:w="70" w:type="dxa"/>
              <w:left w:w="90" w:type="dxa"/>
              <w:right w:w="90" w:type="dxa"/>
            </w:tcMar>
            <w:shd w:fill="E6EDF1"/>
          </w:tcPr>
          <w:p>
            <w:pPr>
              <w:spacing w:after="0" w:line="240" w:lineRule="auto"/>
            </w:pPr>
            <w:r>
              <w:rPr>
                <w:b/>
                <w:sz w:val="20"/>
              </w:rPr>
              <w:t>Task and accountable role</w:t>
            </w:r>
          </w:p>
        </w:tc>
        <w:tc>
          <w:tcPr>
            <w:tcW w:type="dxa" w:w="4464"/>
            <w:vAlign w:val="center"/>
            <w:tcMar>
              <w:top w:w="70" w:type="dxa"/>
              <w:bottom w:w="70" w:type="dxa"/>
              <w:left w:w="90" w:type="dxa"/>
              <w:right w:w="90" w:type="dxa"/>
            </w:tcMar>
            <w:shd w:fill="E6EDF1"/>
          </w:tcPr>
          <w:p>
            <w:pPr>
              <w:spacing w:after="0" w:line="240" w:lineRule="auto"/>
            </w:pPr>
            <w:r>
              <w:rPr>
                <w:b/>
                <w:sz w:val="20"/>
              </w:rPr>
              <w:t>Inputs and action</w:t>
            </w:r>
          </w:p>
        </w:tc>
        <w:tc>
          <w:tcPr>
            <w:tcW w:type="dxa" w:w="3384"/>
            <w:vAlign w:val="center"/>
            <w:tcMar>
              <w:top w:w="70" w:type="dxa"/>
              <w:bottom w:w="70" w:type="dxa"/>
              <w:left w:w="90" w:type="dxa"/>
              <w:right w:w="90" w:type="dxa"/>
            </w:tcMar>
            <w:shd w:fill="E6EDF1"/>
          </w:tcPr>
          <w:p>
            <w:pPr>
              <w:spacing w:after="0" w:line="240" w:lineRule="auto"/>
            </w:pPr>
            <w:r>
              <w:rPr>
                <w:b/>
                <w:sz w:val="20"/>
              </w:rPr>
              <w:t>Exit evidence</w:t>
            </w:r>
          </w:p>
        </w:tc>
      </w:tr>
      <w:tr>
        <w:trPr>
          <w:cantSplit/>
        </w:trPr>
        <w:tc>
          <w:tcPr>
            <w:tcW w:type="dxa" w:w="2520"/>
            <w:vAlign w:val="center"/>
            <w:tcMar>
              <w:top w:w="70" w:type="dxa"/>
              <w:bottom w:w="70" w:type="dxa"/>
              <w:left w:w="90" w:type="dxa"/>
              <w:right w:w="90" w:type="dxa"/>
            </w:tcMar>
            <w:shd w:fill="FFFFFF"/>
          </w:tcPr>
          <w:p>
            <w:pPr>
              <w:spacing w:after="0" w:line="240" w:lineRule="auto"/>
            </w:pPr>
            <w:r>
              <w:rPr>
                <w:sz w:val="20"/>
              </w:rPr>
              <w:t>V01 Managing Director</w:t>
            </w:r>
          </w:p>
        </w:tc>
        <w:tc>
          <w:tcPr>
            <w:tcW w:type="dxa" w:w="4464"/>
            <w:vAlign w:val="center"/>
            <w:tcMar>
              <w:top w:w="70" w:type="dxa"/>
              <w:bottom w:w="70" w:type="dxa"/>
              <w:left w:w="90" w:type="dxa"/>
              <w:right w:w="90" w:type="dxa"/>
            </w:tcMar>
            <w:shd w:fill="FFFFFF"/>
          </w:tcPr>
          <w:p>
            <w:pPr>
              <w:spacing w:after="0" w:line="240" w:lineRule="auto"/>
            </w:pPr>
            <w:r>
              <w:rPr>
                <w:sz w:val="20"/>
              </w:rPr>
              <w:t>Record rights/storage; Bill is named. Close Gate 0 with at least 30 referenced questions from signed cases across all five types.</w:t>
            </w:r>
          </w:p>
        </w:tc>
        <w:tc>
          <w:tcPr>
            <w:tcW w:type="dxa" w:w="3384"/>
            <w:vAlign w:val="center"/>
            <w:tcMar>
              <w:top w:w="70" w:type="dxa"/>
              <w:bottom w:w="70" w:type="dxa"/>
              <w:left w:w="90" w:type="dxa"/>
              <w:right w:w="90" w:type="dxa"/>
            </w:tcMar>
            <w:shd w:fill="FFFFFF"/>
          </w:tcPr>
          <w:p>
            <w:pPr>
              <w:spacing w:after="0" w:line="240" w:lineRule="auto"/>
            </w:pPr>
            <w:r>
              <w:rPr>
                <w:sz w:val="20"/>
              </w:rPr>
              <w:t>Rights/storage record, case-derived coverage and accepted scoring schema.</w:t>
            </w:r>
          </w:p>
        </w:tc>
      </w:tr>
      <w:tr>
        <w:trPr>
          <w:cantSplit/>
        </w:trPr>
        <w:tc>
          <w:tcPr>
            <w:tcW w:type="dxa" w:w="2520"/>
            <w:vAlign w:val="center"/>
            <w:tcMar>
              <w:top w:w="70" w:type="dxa"/>
              <w:bottom w:w="70" w:type="dxa"/>
              <w:left w:w="90" w:type="dxa"/>
              <w:right w:w="90" w:type="dxa"/>
            </w:tcMar>
            <w:shd w:fill="F4F6F7"/>
          </w:tcPr>
          <w:p>
            <w:pPr>
              <w:spacing w:after="0" w:line="240" w:lineRule="auto"/>
            </w:pPr>
            <w:r>
              <w:rPr>
                <w:sz w:val="20"/>
              </w:rPr>
              <w:t>V02 Head of Product &amp; AI</w:t>
            </w:r>
          </w:p>
        </w:tc>
        <w:tc>
          <w:tcPr>
            <w:tcW w:type="dxa" w:w="4464"/>
            <w:vAlign w:val="center"/>
            <w:tcMar>
              <w:top w:w="70" w:type="dxa"/>
              <w:bottom w:w="70" w:type="dxa"/>
              <w:left w:w="90" w:type="dxa"/>
              <w:right w:w="90" w:type="dxa"/>
            </w:tcMar>
            <w:shd w:fill="F4F6F7"/>
          </w:tcPr>
          <w:p>
            <w:pPr>
              <w:spacing w:after="0" w:line="240" w:lineRule="auto"/>
            </w:pPr>
            <w:r>
              <w:rPr>
                <w:sz w:val="20"/>
              </w:rPr>
              <w:t>Pin both repo commits; install CPU dependencies; validate external --pack and confidentiality tests.</w:t>
            </w:r>
          </w:p>
        </w:tc>
        <w:tc>
          <w:tcPr>
            <w:tcW w:type="dxa" w:w="3384"/>
            <w:vAlign w:val="center"/>
            <w:tcMar>
              <w:top w:w="70" w:type="dxa"/>
              <w:bottom w:w="70" w:type="dxa"/>
              <w:left w:w="90" w:type="dxa"/>
              <w:right w:w="90" w:type="dxa"/>
            </w:tcMar>
            <w:shd w:fill="F4F6F7"/>
          </w:tcPr>
          <w:p>
            <w:pPr>
              <w:spacing w:after="0" w:line="240" w:lineRule="auto"/>
            </w:pPr>
            <w:r>
              <w:rPr>
                <w:sz w:val="20"/>
              </w:rPr>
              <w:t>Test log and environment record.</w:t>
            </w:r>
          </w:p>
        </w:tc>
      </w:tr>
      <w:tr>
        <w:trPr>
          <w:cantSplit/>
        </w:trPr>
        <w:tc>
          <w:tcPr>
            <w:tcW w:type="dxa" w:w="2520"/>
            <w:vAlign w:val="center"/>
            <w:tcMar>
              <w:top w:w="70" w:type="dxa"/>
              <w:bottom w:w="70" w:type="dxa"/>
              <w:left w:w="90" w:type="dxa"/>
              <w:right w:w="90" w:type="dxa"/>
            </w:tcMar>
            <w:shd w:fill="FFFFFF"/>
          </w:tcPr>
          <w:p>
            <w:pPr>
              <w:spacing w:after="0" w:line="240" w:lineRule="auto"/>
            </w:pPr>
            <w:r>
              <w:rPr>
                <w:sz w:val="20"/>
              </w:rPr>
              <w:t>V03 Knowledge Engineer</w:t>
            </w:r>
          </w:p>
        </w:tc>
        <w:tc>
          <w:tcPr>
            <w:tcW w:type="dxa" w:w="4464"/>
            <w:vAlign w:val="center"/>
            <w:tcMar>
              <w:top w:w="70" w:type="dxa"/>
              <w:bottom w:w="70" w:type="dxa"/>
              <w:left w:w="90" w:type="dxa"/>
              <w:right w:w="90" w:type="dxa"/>
            </w:tcMar>
            <w:shd w:fill="FFFFFF"/>
          </w:tcPr>
          <w:p>
            <w:pPr>
              <w:spacing w:after="0" w:line="240" w:lineRule="auto"/>
            </w:pPr>
            <w:r>
              <w:rPr>
                <w:sz w:val="20"/>
              </w:rPr>
              <w:t>In parallel with V04, admit about 20 documents and review extracted text/tables.</w:t>
            </w:r>
          </w:p>
        </w:tc>
        <w:tc>
          <w:tcPr>
            <w:tcW w:type="dxa" w:w="3384"/>
            <w:vAlign w:val="center"/>
            <w:tcMar>
              <w:top w:w="70" w:type="dxa"/>
              <w:bottom w:w="70" w:type="dxa"/>
              <w:left w:w="90" w:type="dxa"/>
              <w:right w:w="90" w:type="dxa"/>
            </w:tcMar>
            <w:shd w:fill="FFFFFF"/>
          </w:tcPr>
          <w:p>
            <w:pPr>
              <w:spacing w:after="0" w:line="240" w:lineRule="auto"/>
            </w:pPr>
            <w:r>
              <w:rPr>
                <w:sz w:val="20"/>
              </w:rPr>
              <w:t>Hashes, rights and reviewed evidence JSONL.</w:t>
            </w:r>
          </w:p>
        </w:tc>
      </w:tr>
      <w:tr>
        <w:trPr>
          <w:cantSplit/>
        </w:trPr>
        <w:tc>
          <w:tcPr>
            <w:tcW w:type="dxa" w:w="2520"/>
            <w:vAlign w:val="center"/>
            <w:tcMar>
              <w:top w:w="70" w:type="dxa"/>
              <w:bottom w:w="70" w:type="dxa"/>
              <w:left w:w="90" w:type="dxa"/>
              <w:right w:w="90" w:type="dxa"/>
            </w:tcMar>
            <w:shd w:fill="F4F6F7"/>
          </w:tcPr>
          <w:p>
            <w:pPr>
              <w:spacing w:after="0" w:line="240" w:lineRule="auto"/>
            </w:pPr>
            <w:r>
              <w:rPr>
                <w:sz w:val="20"/>
              </w:rPr>
              <w:t>V04 Applied AI Engineer</w:t>
            </w:r>
          </w:p>
        </w:tc>
        <w:tc>
          <w:tcPr>
            <w:tcW w:type="dxa" w:w="4464"/>
            <w:vAlign w:val="center"/>
            <w:tcMar>
              <w:top w:w="70" w:type="dxa"/>
              <w:bottom w:w="70" w:type="dxa"/>
              <w:left w:w="90" w:type="dxa"/>
              <w:right w:w="90" w:type="dxa"/>
            </w:tcMar>
            <w:shd w:fill="F4F6F7"/>
          </w:tcPr>
          <w:p>
            <w:pPr>
              <w:spacing w:after="0" w:line="240" w:lineRule="auto"/>
            </w:pPr>
            <w:r>
              <w:rPr>
                <w:sz w:val="20"/>
              </w:rPr>
              <w:t>S0-cases via FIRST_CASE_RUNBOOK.md. Depends on V02 plus per-case rights/storage and signoff; NOT on V03, documents or an index.</w:t>
            </w:r>
          </w:p>
        </w:tc>
        <w:tc>
          <w:tcPr>
            <w:tcW w:type="dxa" w:w="3384"/>
            <w:vAlign w:val="center"/>
            <w:tcMar>
              <w:top w:w="70" w:type="dxa"/>
              <w:bottom w:w="70" w:type="dxa"/>
              <w:left w:w="90" w:type="dxa"/>
              <w:right w:w="90" w:type="dxa"/>
            </w:tcMar>
            <w:shd w:fill="F4F6F7"/>
          </w:tcPr>
          <w:p>
            <w:pPr>
              <w:spacing w:after="0" w:line="240" w:lineRule="auto"/>
            </w:pPr>
            <w:r>
              <w:rPr>
                <w:sz w:val="20"/>
              </w:rPr>
              <w:t>Per-case 0/1/2 scorecards, critical flags, grounding and latency.</w:t>
            </w:r>
          </w:p>
        </w:tc>
      </w:tr>
      <w:tr>
        <w:trPr>
          <w:cantSplit/>
        </w:trPr>
        <w:tc>
          <w:tcPr>
            <w:tcW w:type="dxa" w:w="2520"/>
            <w:vAlign w:val="center"/>
            <w:tcMar>
              <w:top w:w="70" w:type="dxa"/>
              <w:bottom w:w="70" w:type="dxa"/>
              <w:left w:w="90" w:type="dxa"/>
              <w:right w:w="90" w:type="dxa"/>
            </w:tcMar>
            <w:shd w:fill="FFFFFF"/>
          </w:tcPr>
          <w:p>
            <w:pPr>
              <w:spacing w:after="0" w:line="240" w:lineRule="auto"/>
            </w:pPr>
            <w:r>
              <w:rPr>
                <w:sz w:val="20"/>
              </w:rPr>
              <w:t>V04R Applied AI Engineer</w:t>
            </w:r>
          </w:p>
        </w:tc>
        <w:tc>
          <w:tcPr>
            <w:tcW w:type="dxa" w:w="4464"/>
            <w:vAlign w:val="center"/>
            <w:tcMar>
              <w:top w:w="70" w:type="dxa"/>
              <w:bottom w:w="70" w:type="dxa"/>
              <w:left w:w="90" w:type="dxa"/>
              <w:right w:w="90" w:type="dxa"/>
            </w:tcMar>
            <w:shd w:fill="FFFFFF"/>
          </w:tcPr>
          <w:p>
            <w:pPr>
              <w:spacing w:after="0" w:line="240" w:lineRule="auto"/>
            </w:pPr>
            <w:r>
              <w:rPr>
                <w:sz w:val="20"/>
              </w:rPr>
              <w:t>After V03, V04 and Gate 0, build retrieval; compare S0-retrieval against S0-cases on the same questions.</w:t>
            </w:r>
          </w:p>
        </w:tc>
        <w:tc>
          <w:tcPr>
            <w:tcW w:type="dxa" w:w="3384"/>
            <w:vAlign w:val="center"/>
            <w:tcMar>
              <w:top w:w="70" w:type="dxa"/>
              <w:bottom w:w="70" w:type="dxa"/>
              <w:left w:w="90" w:type="dxa"/>
              <w:right w:w="90" w:type="dxa"/>
            </w:tcMar>
            <w:shd w:fill="FFFFFF"/>
          </w:tcPr>
          <w:p>
            <w:pPr>
              <w:spacing w:after="0" w:line="240" w:lineRule="auto"/>
            </w:pPr>
            <w:r>
              <w:rPr>
                <w:sz w:val="20"/>
              </w:rPr>
              <w:t>Same scorecards; improved scores without new critical errors; evidence/prompt provenance.</w:t>
            </w:r>
          </w:p>
        </w:tc>
      </w:tr>
      <w:tr>
        <w:trPr>
          <w:cantSplit/>
        </w:trPr>
        <w:tc>
          <w:tcPr>
            <w:tcW w:type="dxa" w:w="2520"/>
            <w:vAlign w:val="center"/>
            <w:tcMar>
              <w:top w:w="70" w:type="dxa"/>
              <w:bottom w:w="70" w:type="dxa"/>
              <w:left w:w="90" w:type="dxa"/>
              <w:right w:w="90" w:type="dxa"/>
            </w:tcMar>
            <w:shd w:fill="F4F6F7"/>
          </w:tcPr>
          <w:p>
            <w:pPr>
              <w:spacing w:after="0" w:line="240" w:lineRule="auto"/>
            </w:pPr>
            <w:r>
              <w:rPr>
                <w:sz w:val="20"/>
              </w:rPr>
              <w:t>V05 Technical Director</w:t>
            </w:r>
          </w:p>
        </w:tc>
        <w:tc>
          <w:tcPr>
            <w:tcW w:type="dxa" w:w="4464"/>
            <w:vAlign w:val="center"/>
            <w:tcMar>
              <w:top w:w="70" w:type="dxa"/>
              <w:bottom w:w="70" w:type="dxa"/>
              <w:left w:w="90" w:type="dxa"/>
              <w:right w:w="90" w:type="dxa"/>
            </w:tcMar>
            <w:shd w:fill="F4F6F7"/>
          </w:tcPr>
          <w:p>
            <w:pPr>
              <w:spacing w:after="0" w:line="240" w:lineRule="auto"/>
            </w:pPr>
            <w:r>
              <w:rPr>
                <w:sz w:val="20"/>
              </w:rPr>
              <w:t>Bill accepts retrieval improvement over S0-cases before considering bounded training on remaining failures.</w:t>
            </w:r>
          </w:p>
        </w:tc>
        <w:tc>
          <w:tcPr>
            <w:tcW w:type="dxa" w:w="3384"/>
            <w:vAlign w:val="center"/>
            <w:tcMar>
              <w:top w:w="70" w:type="dxa"/>
              <w:bottom w:w="70" w:type="dxa"/>
              <w:left w:w="90" w:type="dxa"/>
              <w:right w:w="90" w:type="dxa"/>
            </w:tcMar>
            <w:shd w:fill="F4F6F7"/>
          </w:tcPr>
          <w:p>
            <w:pPr>
              <w:spacing w:after="0" w:line="240" w:lineRule="auto"/>
            </w:pPr>
            <w:r>
              <w:rPr>
                <w:sz w:val="20"/>
              </w:rPr>
              <w:t>Written train/stop decision and predeclared criteria.</w:t>
            </w:r>
          </w:p>
        </w:tc>
      </w:tr>
      <w:tr>
        <w:trPr>
          <w:cantSplit/>
        </w:trPr>
        <w:tc>
          <w:tcPr>
            <w:tcW w:type="dxa" w:w="2520"/>
            <w:vAlign w:val="center"/>
            <w:tcMar>
              <w:top w:w="70" w:type="dxa"/>
              <w:bottom w:w="70" w:type="dxa"/>
              <w:left w:w="90" w:type="dxa"/>
              <w:right w:w="90" w:type="dxa"/>
            </w:tcMar>
            <w:shd w:fill="FFFFFF"/>
          </w:tcPr>
          <w:p>
            <w:pPr>
              <w:spacing w:after="0" w:line="240" w:lineRule="auto"/>
            </w:pPr>
            <w:r>
              <w:rPr>
                <w:sz w:val="20"/>
              </w:rPr>
              <w:t>V06 Applied AI Engineer</w:t>
            </w:r>
          </w:p>
        </w:tc>
        <w:tc>
          <w:tcPr>
            <w:tcW w:type="dxa" w:w="4464"/>
            <w:vAlign w:val="center"/>
            <w:tcMar>
              <w:top w:w="70" w:type="dxa"/>
              <w:bottom w:w="70" w:type="dxa"/>
              <w:left w:w="90" w:type="dxa"/>
              <w:right w:w="90" w:type="dxa"/>
            </w:tcMar>
            <w:shd w:fill="FFFFFF"/>
          </w:tcPr>
          <w:p>
            <w:pPr>
              <w:spacing w:after="0" w:line="240" w:lineRule="auto"/>
            </w:pPr>
            <w:r>
              <w:rPr>
                <w:sz w:val="20"/>
              </w:rPr>
              <w:t>Bootstrap ~/slm, attach scoped profile, pin base/runtime; prove QLoRA smoke.</w:t>
            </w:r>
          </w:p>
        </w:tc>
        <w:tc>
          <w:tcPr>
            <w:tcW w:type="dxa" w:w="3384"/>
            <w:vAlign w:val="center"/>
            <w:tcMar>
              <w:top w:w="70" w:type="dxa"/>
              <w:bottom w:w="70" w:type="dxa"/>
              <w:left w:w="90" w:type="dxa"/>
              <w:right w:w="90" w:type="dxa"/>
            </w:tcMar>
            <w:shd w:fill="FFFFFF"/>
          </w:tcPr>
          <w:p>
            <w:pPr>
              <w:spacing w:after="0" w:line="240" w:lineRule="auto"/>
            </w:pPr>
            <w:r>
              <w:rPr>
                <w:sz w:val="20"/>
              </w:rPr>
              <w:t>Allowed/denied access and train/save/reload/resume evidence.</w:t>
            </w:r>
          </w:p>
        </w:tc>
      </w:tr>
      <w:tr>
        <w:trPr>
          <w:cantSplit/>
        </w:trPr>
        <w:tc>
          <w:tcPr>
            <w:tcW w:type="dxa" w:w="2520"/>
            <w:vAlign w:val="center"/>
            <w:tcMar>
              <w:top w:w="70" w:type="dxa"/>
              <w:bottom w:w="70" w:type="dxa"/>
              <w:left w:w="90" w:type="dxa"/>
              <w:right w:w="90" w:type="dxa"/>
            </w:tcMar>
            <w:shd w:fill="F4F6F7"/>
          </w:tcPr>
          <w:p>
            <w:pPr>
              <w:spacing w:after="0" w:line="240" w:lineRule="auto"/>
            </w:pPr>
            <w:r>
              <w:rPr>
                <w:sz w:val="20"/>
              </w:rPr>
              <w:t>V07 Knowledge Engineer</w:t>
            </w:r>
          </w:p>
        </w:tc>
        <w:tc>
          <w:tcPr>
            <w:tcW w:type="dxa" w:w="4464"/>
            <w:vAlign w:val="center"/>
            <w:tcMar>
              <w:top w:w="70" w:type="dxa"/>
              <w:bottom w:w="70" w:type="dxa"/>
              <w:left w:w="90" w:type="dxa"/>
              <w:right w:w="90" w:type="dxa"/>
            </w:tcMar>
            <w:shd w:fill="F4F6F7"/>
          </w:tcPr>
          <w:p>
            <w:pPr>
              <w:spacing w:after="0" w:line="240" w:lineRule="auto"/>
            </w:pPr>
            <w:r>
              <w:rPr>
                <w:sz w:val="20"/>
              </w:rPr>
              <w:t>Release disjoint reviewed training and development families.</w:t>
            </w:r>
          </w:p>
        </w:tc>
        <w:tc>
          <w:tcPr>
            <w:tcW w:type="dxa" w:w="3384"/>
            <w:vAlign w:val="center"/>
            <w:tcMar>
              <w:top w:w="70" w:type="dxa"/>
              <w:bottom w:w="70" w:type="dxa"/>
              <w:left w:w="90" w:type="dxa"/>
              <w:right w:w="90" w:type="dxa"/>
            </w:tcMar>
            <w:shd w:fill="F4F6F7"/>
          </w:tcPr>
          <w:p>
            <w:pPr>
              <w:spacing w:after="0" w:line="240" w:lineRule="auto"/>
            </w:pPr>
            <w:r>
              <w:rPr>
                <w:sz w:val="20"/>
              </w:rPr>
              <w:t>Dataset manifest, source_ids and CPU mask audit.</w:t>
            </w:r>
          </w:p>
        </w:tc>
      </w:tr>
      <w:tr>
        <w:trPr>
          <w:cantSplit/>
        </w:trPr>
        <w:tc>
          <w:tcPr>
            <w:tcW w:type="dxa" w:w="2520"/>
            <w:vAlign w:val="center"/>
            <w:tcMar>
              <w:top w:w="70" w:type="dxa"/>
              <w:bottom w:w="70" w:type="dxa"/>
              <w:left w:w="90" w:type="dxa"/>
              <w:right w:w="90" w:type="dxa"/>
            </w:tcMar>
            <w:shd w:fill="FFFFFF"/>
          </w:tcPr>
          <w:p>
            <w:pPr>
              <w:spacing w:after="0" w:line="240" w:lineRule="auto"/>
            </w:pPr>
            <w:r>
              <w:rPr>
                <w:sz w:val="20"/>
              </w:rPr>
              <w:t>V08 Applied AI Engineer</w:t>
            </w:r>
          </w:p>
        </w:tc>
        <w:tc>
          <w:tcPr>
            <w:tcW w:type="dxa" w:w="4464"/>
            <w:vAlign w:val="center"/>
            <w:tcMar>
              <w:top w:w="70" w:type="dxa"/>
              <w:bottom w:w="70" w:type="dxa"/>
              <w:left w:w="90" w:type="dxa"/>
              <w:right w:w="90" w:type="dxa"/>
            </w:tcMar>
            <w:shd w:fill="FFFFFF"/>
          </w:tcPr>
          <w:p>
            <w:pPr>
              <w:spacing w:after="0" w:line="240" w:lineRule="auto"/>
            </w:pPr>
            <w:r>
              <w:rPr>
                <w:sz w:val="20"/>
              </w:rPr>
              <w:t>Run bounded experiments and identical-template B/A comparison.</w:t>
            </w:r>
          </w:p>
        </w:tc>
        <w:tc>
          <w:tcPr>
            <w:tcW w:type="dxa" w:w="3384"/>
            <w:vAlign w:val="center"/>
            <w:tcMar>
              <w:top w:w="70" w:type="dxa"/>
              <w:bottom w:w="70" w:type="dxa"/>
              <w:left w:w="90" w:type="dxa"/>
              <w:right w:w="90" w:type="dxa"/>
            </w:tcMar>
            <w:shd w:fill="FFFFFF"/>
          </w:tcPr>
          <w:p>
            <w:pPr>
              <w:spacing w:after="0" w:line="240" w:lineRule="auto"/>
            </w:pPr>
            <w:r>
              <w:rPr>
                <w:sz w:val="20"/>
              </w:rPr>
              <w:t>Reproducible run and comparison reports.</w:t>
            </w:r>
          </w:p>
        </w:tc>
      </w:tr>
      <w:tr>
        <w:trPr>
          <w:cantSplit/>
        </w:trPr>
        <w:tc>
          <w:tcPr>
            <w:tcW w:type="dxa" w:w="2520"/>
            <w:vAlign w:val="center"/>
            <w:tcMar>
              <w:top w:w="70" w:type="dxa"/>
              <w:bottom w:w="70" w:type="dxa"/>
              <w:left w:w="90" w:type="dxa"/>
              <w:right w:w="90" w:type="dxa"/>
            </w:tcMar>
            <w:shd w:fill="F4F6F7"/>
          </w:tcPr>
          <w:p>
            <w:pPr>
              <w:spacing w:after="0" w:line="240" w:lineRule="auto"/>
            </w:pPr>
            <w:r>
              <w:rPr>
                <w:sz w:val="20"/>
              </w:rPr>
              <w:t>V09 Technical Director</w:t>
            </w:r>
          </w:p>
        </w:tc>
        <w:tc>
          <w:tcPr>
            <w:tcW w:type="dxa" w:w="4464"/>
            <w:vAlign w:val="center"/>
            <w:tcMar>
              <w:top w:w="70" w:type="dxa"/>
              <w:bottom w:w="70" w:type="dxa"/>
              <w:left w:w="90" w:type="dxa"/>
              <w:right w:w="90" w:type="dxa"/>
            </w:tcMar>
            <w:shd w:fill="F4F6F7"/>
          </w:tcPr>
          <w:p>
            <w:pPr>
              <w:spacing w:after="0" w:line="240" w:lineRule="auto"/>
            </w:pPr>
            <w:r>
              <w:rPr>
                <w:sz w:val="20"/>
              </w:rPr>
              <w:t>Adjudicate improvement over S0-retrieval without new critical errors.</w:t>
            </w:r>
          </w:p>
        </w:tc>
        <w:tc>
          <w:tcPr>
            <w:tcW w:type="dxa" w:w="3384"/>
            <w:vAlign w:val="center"/>
            <w:tcMar>
              <w:top w:w="70" w:type="dxa"/>
              <w:bottom w:w="70" w:type="dxa"/>
              <w:left w:w="90" w:type="dxa"/>
              <w:right w:w="90" w:type="dxa"/>
            </w:tcMar>
            <w:shd w:fill="F4F6F7"/>
          </w:tcPr>
          <w:p>
            <w:pPr>
              <w:spacing w:after="0" w:line="240" w:lineRule="auto"/>
            </w:pPr>
            <w:r>
              <w:rPr>
                <w:sz w:val="20"/>
              </w:rPr>
              <w:t>Signed acceptance or rejection.</w:t>
            </w:r>
          </w:p>
        </w:tc>
      </w:tr>
      <w:tr>
        <w:trPr>
          <w:cantSplit/>
        </w:trPr>
        <w:tc>
          <w:tcPr>
            <w:tcW w:type="dxa" w:w="2520"/>
            <w:vAlign w:val="center"/>
            <w:tcMar>
              <w:top w:w="70" w:type="dxa"/>
              <w:bottom w:w="70" w:type="dxa"/>
              <w:left w:w="90" w:type="dxa"/>
              <w:right w:w="90" w:type="dxa"/>
            </w:tcMar>
            <w:shd w:fill="FFFFFF"/>
          </w:tcPr>
          <w:p>
            <w:pPr>
              <w:spacing w:after="0" w:line="240" w:lineRule="auto"/>
            </w:pPr>
            <w:r>
              <w:rPr>
                <w:sz w:val="20"/>
              </w:rPr>
              <w:t>V10 Head of Product &amp; AI</w:t>
            </w:r>
          </w:p>
        </w:tc>
        <w:tc>
          <w:tcPr>
            <w:tcW w:type="dxa" w:w="4464"/>
            <w:vAlign w:val="center"/>
            <w:tcMar>
              <w:top w:w="70" w:type="dxa"/>
              <w:bottom w:w="70" w:type="dxa"/>
              <w:left w:w="90" w:type="dxa"/>
              <w:right w:w="90" w:type="dxa"/>
            </w:tcMar>
            <w:shd w:fill="FFFFFF"/>
          </w:tcPr>
          <w:p>
            <w:pPr>
              <w:spacing w:after="0" w:line="240" w:lineRule="auto"/>
            </w:pPr>
            <w:r>
              <w:rPr>
                <w:sz w:val="20"/>
              </w:rPr>
              <w:t>Package, serve privately, verify rollback and second-operator reproduction.</w:t>
            </w:r>
          </w:p>
        </w:tc>
        <w:tc>
          <w:tcPr>
            <w:tcW w:type="dxa" w:w="3384"/>
            <w:vAlign w:val="center"/>
            <w:tcMar>
              <w:top w:w="70" w:type="dxa"/>
              <w:bottom w:w="70" w:type="dxa"/>
              <w:left w:w="90" w:type="dxa"/>
              <w:right w:w="90" w:type="dxa"/>
            </w:tcMar>
            <w:shd w:fill="FFFFFF"/>
          </w:tcPr>
          <w:p>
            <w:pPr>
              <w:spacing w:after="0" w:line="240" w:lineRule="auto"/>
            </w:pPr>
            <w:r>
              <w:rPr>
                <w:sz w:val="20"/>
              </w:rPr>
              <w:t>Versioned release and completed handoff.</w:t>
            </w:r>
          </w:p>
        </w:tc>
      </w:tr>
    </w:tbl>
    <w:p>
      <w:pPr>
        <w:spacing w:after="0"/>
      </w:pPr>
    </w:p>
    <w:p>
      <w:pPr>
        <w:pStyle w:val="Heading1"/>
      </w:pPr>
      <w:r>
        <w:t>12 Completion and handoff</w:t>
      </w:r>
    </w:p>
    <w:p>
      <w:r>
        <w:t>v0 is complete only when the accepted broadbridge-oil-gas adapter beats S0-retrieval on the frozen case-derived Gate 0 question set without new critical errors, runs on the existing box, and a second operator reproduces the result from the two repository commits and permitted artifacts. Engine unit tests alone do not close v0.</w:t>
      </w:r>
    </w:p>
    <w:p>
      <w:r>
        <w:t>The handoff records source/dataset/index hashes, both repo commits, base revision, tokenizer/template and adapter/GGUF hashes, dependencies, hardware, seed, config, question IDs, scores, reviewer decisions and rollback tag. The operator demonstrates setup, retrieval, evaluation, reload, private serving and restore. Distinguish passed, failed and unrun checks.</w:t>
      </w:r>
    </w:p>
    <w:p>
      <w:r>
        <w:t>Brad approves each experiment's GPU-hour/runtime cap and storage cost after the baseline. Checkpoint before stopping and verify artifact upload. Use budget alerts and a manual stop checklist; watchdog automation and broader recovery objectives remain Post-v0.</w:t>
      </w:r>
    </w:p>
    <w:p>
      <w:pPr>
        <w:pStyle w:val="Heading1"/>
        <w:pageBreakBefore/>
      </w:pPr>
      <w:r>
        <w:t>13 Technical references and document precedence</w:t>
      </w:r>
    </w:p>
    <w:p>
      <w:r>
        <w:t>The implementation choices and targets in this brief are project recommendations. Vendor documentation supports the specific API and platform behavior cited, not the proposed gate sequence, hardware capacity or engineering acceptance. Documentation was checked on 24 September 2026; pin the versions actually validated during Gate 3.</w:t>
      </w:r>
    </w:p>
    <w:p>
      <w:pPr>
        <w:pStyle w:val="ListBullet"/>
      </w:pPr>
      <w:r>
        <w:t xml:space="preserve">R1 Qwen3-8B model cards: </w:t>
      </w:r>
      <w:hyperlink r:id="rId10">
        <w:r>
          <w:rPr>
            <w:color w:val="146082"/>
          </w:rPr>
          <w:t>Qwen publisher</w:t>
        </w:r>
      </w:hyperlink>
      <w:r>
        <w:t xml:space="preserve"> and </w:t>
      </w:r>
      <w:hyperlink r:id="rId11">
        <w:r>
          <w:rPr>
            <w:color w:val="146082"/>
          </w:rPr>
          <w:t>Foundry Unsloth checkpoint</w:t>
        </w:r>
      </w:hyperlink>
      <w:r>
        <w:t>. Text-generation architecture and model license; archive the exact revision used.</w:t>
      </w:r>
    </w:p>
    <w:p>
      <w:pPr>
        <w:pStyle w:val="ListBullet"/>
      </w:pPr>
      <w:r>
        <w:t xml:space="preserve">R2 </w:t>
      </w:r>
      <w:hyperlink r:id="rId12">
        <w:r>
          <w:rPr>
            <w:color w:val="146082"/>
          </w:rPr>
          <w:t>Hugging Face Hub download guide</w:t>
        </w:r>
      </w:hyperlink>
      <w:r>
        <w:t>. Snapshot downloads, revision pinning and local directories.</w:t>
      </w:r>
    </w:p>
    <w:p>
      <w:pPr>
        <w:pStyle w:val="ListBullet"/>
      </w:pPr>
      <w:r>
        <w:t xml:space="preserve">R3 </w:t>
      </w:r>
      <w:hyperlink r:id="rId13">
        <w:r>
          <w:rPr>
            <w:color w:val="146082"/>
          </w:rPr>
          <w:t>AWS EC2 IAM roles</w:t>
        </w:r>
      </w:hyperlink>
      <w:r>
        <w:t>. Instance profiles and workload credentials.</w:t>
      </w:r>
    </w:p>
    <w:p>
      <w:pPr>
        <w:pStyle w:val="ListBullet"/>
      </w:pPr>
      <w:r>
        <w:t xml:space="preserve">R4 </w:t>
      </w:r>
      <w:hyperlink r:id="rId14">
        <w:r>
          <w:rPr>
            <w:color w:val="146082"/>
          </w:rPr>
          <w:t>AWS S3 KMS encryption</w:t>
        </w:r>
      </w:hyperlink>
      <w:r>
        <w:t>. Encryption behavior and KMS permissions.</w:t>
      </w:r>
    </w:p>
    <w:p>
      <w:pPr>
        <w:pStyle w:val="ListBullet"/>
      </w:pPr>
      <w:r>
        <w:t xml:space="preserve">R5 </w:t>
      </w:r>
      <w:hyperlink r:id="rId15">
        <w:r>
          <w:rPr>
            <w:color w:val="146082"/>
          </w:rPr>
          <w:t>TRL SFT Trainer</w:t>
        </w:r>
      </w:hyperlink>
      <w:r>
        <w:t>. Conversational datasets, assistant-only loss and chat-template compatibility. Validate behavior in the pinned environment.</w:t>
      </w:r>
    </w:p>
    <w:p>
      <w:pPr>
        <w:pStyle w:val="ListBullet"/>
      </w:pPr>
      <w:r>
        <w:t xml:space="preserve">R6 </w:t>
      </w:r>
      <w:hyperlink r:id="rId16">
        <w:r>
          <w:rPr>
            <w:color w:val="146082"/>
          </w:rPr>
          <w:t>Ollama structured outputs</w:t>
        </w:r>
      </w:hyperlink>
      <w:r>
        <w:t>. JSON/schema generation controls and response validation.</w:t>
      </w:r>
    </w:p>
    <w:p>
      <w:pPr>
        <w:pStyle w:val="ListBullet"/>
      </w:pPr>
      <w:r>
        <w:t xml:space="preserve">R7 </w:t>
      </w:r>
      <w:hyperlink r:id="rId17">
        <w:r>
          <w:rPr>
            <w:color w:val="146082"/>
          </w:rPr>
          <w:t>AWS budget actions</w:t>
        </w:r>
      </w:hyperlink>
      <w:r>
        <w:t>. Configure budget actions explicitly; notifications alone do not implement a job runtime limit.</w:t>
      </w:r>
    </w:p>
    <w:p>
      <w:pPr>
        <w:pStyle w:val="ListBullet"/>
      </w:pPr>
      <w:r>
        <w:t xml:space="preserve">R8 </w:t>
      </w:r>
      <w:hyperlink r:id="rId18">
        <w:r>
          <w:rPr>
            <w:color w:val="146082"/>
          </w:rPr>
          <w:t>AWS Session Manager sessions</w:t>
        </w:r>
      </w:hyperlink>
      <w:r>
        <w:t>. Agent/plugin prerequisites and SSH/port-forwarding logging limitations.</w:t>
      </w:r>
    </w:p>
    <w:p>
      <w:pPr>
        <w:pStyle w:val="ListBullet"/>
      </w:pPr>
      <w:r>
        <w:t xml:space="preserve">R9 </w:t>
      </w:r>
      <w:hyperlink r:id="rId19">
        <w:r>
          <w:rPr>
            <w:color w:val="146082"/>
          </w:rPr>
          <w:t>Docling project</w:t>
        </w:r>
      </w:hyperlink>
      <w:r>
        <w:t>. Local document conversion, layout and OCR interfaces.</w:t>
      </w:r>
    </w:p>
    <w:p>
      <w:pPr>
        <w:pStyle w:val="ListBullet"/>
      </w:pPr>
      <w:r>
        <w:t xml:space="preserve">R10 </w:t>
      </w:r>
      <w:hyperlink r:id="rId20">
        <w:r>
          <w:rPr>
            <w:color w:val="146082"/>
          </w:rPr>
          <w:t>faster-whisper project</w:t>
        </w:r>
      </w:hyperlink>
      <w:r>
        <w:t>. Local transcription runtime; pin its speech-model dependency separately.</w:t>
      </w:r>
    </w:p>
    <w:p>
      <w:pPr>
        <w:pStyle w:val="ListBullet"/>
      </w:pPr>
      <w:r>
        <w:t xml:space="preserve">R11 </w:t>
      </w:r>
      <w:hyperlink r:id="rId21">
        <w:r>
          <w:rPr>
            <w:color w:val="146082"/>
          </w:rPr>
          <w:t>BGE small English model card</w:t>
        </w:r>
      </w:hyperlink>
      <w:r>
        <w:t>. Initial embedding candidate; benchmark on engineering retrieval before acceptance.</w:t>
      </w:r>
    </w:p>
    <w:p>
      <w:r>
        <w:t>Local implementation evidence inspected: AGENTS.md; docs/SLM_SERVING_BRIEF.md; infra/bootstrap.sh; infra/launch-slm.ps1; infra/status.ps1; infra/iam-s3-policy.json; infra/iam-ec2-selfmanage-policy.json; configs/qwen3-8b-example.yaml; src/train.py; src/prepare.py; src/evaluate.py; src/pack.py; src/llm_client.py; packs/_template/pack.yaml; and packs/nast/brain/deploy_box.sh in the slm-foundry repository.</w:t>
      </w:r>
    </w:p>
    <w:p>
      <w:r>
        <w:t>Broadbridge background: Broadbridge-Foundry-Implementation-Update.md; Broadbridge-Multimodal-SLM-CTO-Plan.md; Broadbridge-Oil-and-Gas-SLM-Development-Plan.md; and the multimodal/AWS implementation runbooks in output/multimodal-implementation. Preserve the original reports and Energy Trading folder link; commodity-trading documents remain organizational references, not a trading-desk requirement.</w:t>
      </w:r>
    </w:p>
    <w:p>
      <w:r>
        <w:t>Precedence for this infrastructure work: current user constraints and Foundry serving brief establish the operational baseline; this brief supplies the new infrastructure scope and acceptance evidence. Earlier new-instance/Qwen3.5 proposals and old instance IDs are not the starting procedure. Existing corporate governance remains in force. Gates 0–3 replace the prior six-week infrastructure-first estimate. Rebaseline dates after Gate 0 and the retrieval benchmark; previous 24- or 31-week whole-program estimates are not renewed commitments.</w:t>
      </w:r>
    </w:p>
    <w:p>
      <w:r>
        <w:t>Immediate handoff: Bill contributes cases directly through the page; Brad records rights/storage and tracks signed-case question coverage. Run S0-cases per signed case, then S0-retrieval after document admission. Only after measured retrieval improvement and remaining-failure review consider training and resolve B03/B07 prerequisites. B01/B02/B04/B05 remain complete per the serving brief. Broadbridge4096 owns the canonical brief and pack; slm-foundry owns the engine log.</w:t>
      </w:r>
    </w:p>
    <w:p>
      <w:pPr>
        <w:pStyle w:val="Heading1"/>
        <w:pageBreakBefore/>
      </w:pPr>
      <w:r>
        <w:t>Appendix A Post v0 infrastructure roadmap</w:t>
      </w:r>
    </w:p>
    <w:p>
      <w:r>
        <w:t>The following capabilities are retained as the long-term plan. They are outside the core v0 critical path, not abandoned. Activate them when customer isolation, availability, data volume or measured retrieval/vision failures justify the cost and a funded owner is assigned.</w:t>
      </w:r>
    </w:p>
    <w:tbl>
      <w:tblPr>
        <w:tblW w:type="auto" w:w="0"/>
        <w:jc w:val="center"/>
        <w:tblLayout w:type="fixed"/>
        <w:tblLook w:firstColumn="1" w:firstRow="1" w:lastColumn="0" w:lastRow="0" w:noHBand="0" w:noVBand="1" w:val="04A0"/>
      </w:tblPr>
      <w:tblGrid>
        <w:gridCol w:w="2952"/>
        <w:gridCol w:w="7416"/>
      </w:tblGrid>
      <w:tr>
        <w:trPr>
          <w:cantSplit/>
          <w:tblHeader/>
        </w:trPr>
        <w:tc>
          <w:tcPr>
            <w:tcW w:type="dxa" w:w="2952"/>
            <w:vAlign w:val="center"/>
            <w:tcMar>
              <w:top w:w="70" w:type="dxa"/>
              <w:bottom w:w="70" w:type="dxa"/>
              <w:left w:w="90" w:type="dxa"/>
              <w:right w:w="90" w:type="dxa"/>
            </w:tcMar>
            <w:shd w:fill="E6EDF1"/>
          </w:tcPr>
          <w:p>
            <w:pPr>
              <w:spacing w:after="0" w:line="240" w:lineRule="auto"/>
            </w:pPr>
            <w:r>
              <w:rPr>
                <w:b/>
                <w:sz w:val="20"/>
              </w:rPr>
              <w:t>Capability</w:t>
            </w:r>
          </w:p>
        </w:tc>
        <w:tc>
          <w:tcPr>
            <w:tcW w:type="dxa" w:w="7416"/>
            <w:vAlign w:val="center"/>
            <w:tcMar>
              <w:top w:w="70" w:type="dxa"/>
              <w:bottom w:w="70" w:type="dxa"/>
              <w:left w:w="90" w:type="dxa"/>
              <w:right w:w="90" w:type="dxa"/>
            </w:tcMar>
            <w:shd w:fill="E6EDF1"/>
          </w:tcPr>
          <w:p>
            <w:pPr>
              <w:spacing w:after="0" w:line="240" w:lineRule="auto"/>
            </w:pPr>
            <w:r>
              <w:rPr>
                <w:b/>
                <w:sz w:val="20"/>
              </w:rPr>
              <w:t>Retained long term design and adoption trigger</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Infrastructure as code</w:t>
            </w:r>
          </w:p>
        </w:tc>
        <w:tc>
          <w:tcPr>
            <w:tcW w:type="dxa" w:w="7416"/>
            <w:vAlign w:val="center"/>
            <w:tcMar>
              <w:top w:w="70" w:type="dxa"/>
              <w:bottom w:w="70" w:type="dxa"/>
              <w:left w:w="90" w:type="dxa"/>
              <w:right w:w="90" w:type="dxa"/>
            </w:tcMar>
            <w:shd w:fill="FFFFFF"/>
          </w:tcPr>
          <w:p>
            <w:pPr>
              <w:spacing w:after="0" w:line="240" w:lineRule="auto"/>
            </w:pPr>
            <w:r>
              <w:rPr>
                <w:sz w:val="20"/>
              </w:rPr>
              <w:t>CloudFormation foundation.yaml and workers.yaml, parameterized accounts, VPC/subnets, AMI, worker types, disks, CIDR and budget. Review change sets and prove rebuild when repeated environments are needed.</w:t>
            </w:r>
          </w:p>
        </w:tc>
      </w:tr>
      <w:tr>
        <w:trPr>
          <w:cantSplit/>
        </w:trPr>
        <w:tc>
          <w:tcPr>
            <w:tcW w:type="dxa" w:w="2952"/>
            <w:vAlign w:val="center"/>
            <w:tcMar>
              <w:top w:w="70" w:type="dxa"/>
              <w:bottom w:w="70" w:type="dxa"/>
              <w:left w:w="90" w:type="dxa"/>
              <w:right w:w="90" w:type="dxa"/>
            </w:tcMar>
            <w:shd w:fill="F4F6F7"/>
          </w:tcPr>
          <w:p>
            <w:pPr>
              <w:spacing w:after="0" w:line="240" w:lineRule="auto"/>
            </w:pPr>
            <w:r>
              <w:rPr>
                <w:sz w:val="20"/>
              </w:rPr>
              <w:t>Stronger storage isolation</w:t>
            </w:r>
          </w:p>
        </w:tc>
        <w:tc>
          <w:tcPr>
            <w:tcW w:type="dxa" w:w="7416"/>
            <w:vAlign w:val="center"/>
            <w:tcMar>
              <w:top w:w="70" w:type="dxa"/>
              <w:bottom w:w="70" w:type="dxa"/>
              <w:left w:w="90" w:type="dxa"/>
              <w:right w:w="90" w:type="dxa"/>
            </w:tcMar>
            <w:shd w:fill="F4F6F7"/>
          </w:tcPr>
          <w:p>
            <w:pPr>
              <w:spacing w:after="0" w:line="240" w:lineRule="auto"/>
            </w:pPr>
            <w:r>
              <w:rPr>
                <w:sz w:val="20"/>
              </w:rPr>
              <w:t>Separate private data, model-artifact and evaluation buckets; customer-managed KMS keys and scoped key policies. Separate ingestion/training/serving/evaluator identities; test allowed and denied S3/KMS access. Adopt for customer or contractual isolation requirements.</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Dedicated ingestion worker</w:t>
            </w:r>
          </w:p>
        </w:tc>
        <w:tc>
          <w:tcPr>
            <w:tcW w:type="dxa" w:w="7416"/>
            <w:vAlign w:val="center"/>
            <w:tcMar>
              <w:top w:w="70" w:type="dxa"/>
              <w:bottom w:w="70" w:type="dxa"/>
              <w:left w:w="90" w:type="dxa"/>
              <w:right w:w="90" w:type="dxa"/>
            </w:tcMar>
            <w:shd w:fill="FFFFFF"/>
          </w:tcPr>
          <w:p>
            <w:pPr>
              <w:spacing w:after="0" w:line="240" w:lineRule="auto"/>
            </w:pPr>
            <w:r>
              <w:rPr>
                <w:sz w:val="20"/>
              </w:rPr>
              <w:t>Initially 4 vCPU/16 GB with sandboxed parsing, OCR, table extraction and job queue. Pin Docling/OCR, spreadsheet/email parsers and private transcription components. Keep GPU extraction separate from training; add capacity from measured throughput.</w:t>
            </w:r>
          </w:p>
        </w:tc>
      </w:tr>
      <w:tr>
        <w:trPr>
          <w:cantSplit/>
        </w:trPr>
        <w:tc>
          <w:tcPr>
            <w:tcW w:type="dxa" w:w="2952"/>
            <w:vAlign w:val="center"/>
            <w:tcMar>
              <w:top w:w="70" w:type="dxa"/>
              <w:bottom w:w="70" w:type="dxa"/>
              <w:left w:w="90" w:type="dxa"/>
              <w:right w:w="90" w:type="dxa"/>
            </w:tcMar>
            <w:shd w:fill="F4F6F7"/>
          </w:tcPr>
          <w:p>
            <w:pPr>
              <w:spacing w:after="0" w:line="240" w:lineRule="auto"/>
            </w:pPr>
            <w:r>
              <w:rPr>
                <w:sz w:val="20"/>
              </w:rPr>
              <w:t>Private access management</w:t>
            </w:r>
          </w:p>
        </w:tc>
        <w:tc>
          <w:tcPr>
            <w:tcW w:type="dxa" w:w="7416"/>
            <w:vAlign w:val="center"/>
            <w:tcMar>
              <w:top w:w="70" w:type="dxa"/>
              <w:bottom w:w="70" w:type="dxa"/>
              <w:left w:w="90" w:type="dxa"/>
              <w:right w:w="90" w:type="dxa"/>
            </w:tcMar>
            <w:shd w:fill="F4F6F7"/>
          </w:tcPr>
          <w:p>
            <w:pPr>
              <w:spacing w:after="0" w:line="240" w:lineRule="auto"/>
            </w:pPr>
            <w:r>
              <w:rPr>
                <w:sz w:val="20"/>
              </w:rPr>
              <w:t>Systems Manager, required agent/permissions/endpoints and controlled egress; human SSO/MFA and temporary worker credentials. Retain application audit metadata because SSH/port-forward contents are not Session Manager logs.</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Retrieval and catalog scale</w:t>
            </w:r>
          </w:p>
        </w:tc>
        <w:tc>
          <w:tcPr>
            <w:tcW w:type="dxa" w:w="7416"/>
            <w:vAlign w:val="center"/>
            <w:tcMar>
              <w:top w:w="70" w:type="dxa"/>
              <w:bottom w:w="70" w:type="dxa"/>
              <w:left w:w="90" w:type="dxa"/>
              <w:right w:w="90" w:type="dxa"/>
            </w:tcMar>
            <w:shd w:fill="FFFFFF"/>
          </w:tcPr>
          <w:p>
            <w:pPr>
              <w:spacing w:after="0" w:line="240" w:lineRule="auto"/>
            </w:pPr>
            <w:r>
              <w:rPr>
                <w:sz w:val="20"/>
              </w:rPr>
              <w:t>PostgreSQL, full-text search and pgvector with pinned embeddings; backup and later managed database. Adopt only after the on-box pilot demonstrates its scale/availability limit.</w:t>
            </w:r>
          </w:p>
        </w:tc>
      </w:tr>
      <w:tr>
        <w:trPr>
          <w:cantSplit/>
        </w:trPr>
        <w:tc>
          <w:tcPr>
            <w:tcW w:type="dxa" w:w="2952"/>
            <w:vAlign w:val="center"/>
            <w:tcMar>
              <w:top w:w="70" w:type="dxa"/>
              <w:bottom w:w="70" w:type="dxa"/>
              <w:left w:w="90" w:type="dxa"/>
              <w:right w:w="90" w:type="dxa"/>
            </w:tcMar>
            <w:shd w:fill="F4F6F7"/>
          </w:tcPr>
          <w:p>
            <w:pPr>
              <w:spacing w:after="0" w:line="240" w:lineRule="auto"/>
            </w:pPr>
            <w:r>
              <w:rPr>
                <w:sz w:val="20"/>
              </w:rPr>
              <w:t>Operator CLI framework</w:t>
            </w:r>
          </w:p>
        </w:tc>
        <w:tc>
          <w:tcPr>
            <w:tcW w:type="dxa" w:w="7416"/>
            <w:vAlign w:val="center"/>
            <w:tcMar>
              <w:top w:w="70" w:type="dxa"/>
              <w:bottom w:w="70" w:type="dxa"/>
              <w:left w:w="90" w:type="dxa"/>
              <w:right w:w="90" w:type="dxa"/>
            </w:tcMar>
            <w:shd w:fill="F4F6F7"/>
          </w:tcPr>
          <w:p>
            <w:pPr>
              <w:spacing w:after="0" w:line="240" w:lineRule="auto"/>
            </w:pPr>
            <w:r>
              <w:rPr>
                <w:sz w:val="20"/>
              </w:rPr>
              <w:t>Domain-owned packs/oil_gas_cli.py with inventory, download-base, ingest, validate, build-dataset, train, evaluate, package and verify-release. Explicit run/environment IDs and dry-run for mutations. Until then use the tested Foundry entry points.</w:t>
            </w:r>
          </w:p>
        </w:tc>
      </w:tr>
      <w:tr>
        <w:trPr>
          <w:cantSplit/>
        </w:trPr>
        <w:tc>
          <w:tcPr>
            <w:tcW w:type="dxa" w:w="2952"/>
            <w:vAlign w:val="center"/>
            <w:tcMar>
              <w:top w:w="70" w:type="dxa"/>
              <w:bottom w:w="70" w:type="dxa"/>
              <w:left w:w="90" w:type="dxa"/>
              <w:right w:w="90" w:type="dxa"/>
            </w:tcMar>
            <w:shd w:fill="FFFFFF"/>
          </w:tcPr>
          <w:p>
            <w:pPr>
              <w:spacing w:after="0" w:line="240" w:lineRule="auto"/>
            </w:pPr>
            <w:r>
              <w:rPr>
                <w:sz w:val="20"/>
              </w:rPr>
              <w:t>Vision and audio</w:t>
            </w:r>
          </w:p>
        </w:tc>
        <w:tc>
          <w:tcPr>
            <w:tcW w:type="dxa" w:w="7416"/>
            <w:vAlign w:val="center"/>
            <w:tcMar>
              <w:top w:w="70" w:type="dxa"/>
              <w:bottom w:w="70" w:type="dxa"/>
              <w:left w:w="90" w:type="dxa"/>
              <w:right w:w="90" w:type="dxa"/>
            </w:tcMar>
            <w:shd w:fill="FFFFFF"/>
          </w:tcPr>
          <w:p>
            <w:pPr>
              <w:spacing w:after="0" w:line="240" w:lineRule="auto"/>
            </w:pPr>
            <w:r>
              <w:rPr>
                <w:sz w:val="20"/>
              </w:rPr>
              <w:t>Reviewed P&amp;ID/diagram interpretation through a separately benchmarked vision extractor, OCR and private speech transcription. Preserve uncertainty and evidence locators. Native multimodal fine-tuning remains a separate model and validation project; Qwen3-8B stays text-only.</w:t>
            </w:r>
          </w:p>
        </w:tc>
      </w:tr>
      <w:tr>
        <w:trPr>
          <w:cantSplit/>
        </w:trPr>
        <w:tc>
          <w:tcPr>
            <w:tcW w:type="dxa" w:w="2952"/>
            <w:vAlign w:val="center"/>
            <w:tcMar>
              <w:top w:w="70" w:type="dxa"/>
              <w:bottom w:w="70" w:type="dxa"/>
              <w:left w:w="90" w:type="dxa"/>
              <w:right w:w="90" w:type="dxa"/>
            </w:tcMar>
            <w:shd w:fill="F4F6F7"/>
          </w:tcPr>
          <w:p>
            <w:pPr>
              <w:spacing w:after="0" w:line="240" w:lineRule="auto"/>
            </w:pPr>
            <w:r>
              <w:rPr>
                <w:sz w:val="20"/>
              </w:rPr>
              <w:t>Availability and recovery</w:t>
            </w:r>
          </w:p>
        </w:tc>
        <w:tc>
          <w:tcPr>
            <w:tcW w:type="dxa" w:w="7416"/>
            <w:vAlign w:val="center"/>
            <w:tcMar>
              <w:top w:w="70" w:type="dxa"/>
              <w:bottom w:w="70" w:type="dxa"/>
              <w:left w:w="90" w:type="dxa"/>
              <w:right w:w="90" w:type="dxa"/>
            </w:tcMar>
            <w:shd w:fill="F4F6F7"/>
          </w:tcPr>
          <w:p>
            <w:pPr>
              <w:spacing w:after="0" w:line="240" w:lineRule="auto"/>
            </w:pPr>
            <w:r>
              <w:rPr>
                <w:sz w:val="20"/>
              </w:rPr>
              <w:t>Dedicated serving host, GPU job leases, CloudWatch/CloudTrail monitoring, checkpoint-age alarms, cost alerts and idle-stop watchdog. Proposed recovery targets: 30-minute checkpoint loss, 24-hour metadata RPO, one-day restore and 30-minute serving rollback, demonstrated before becoming commitments.</w:t>
            </w:r>
          </w:p>
        </w:tc>
      </w:tr>
    </w:tbl>
    <w:p>
      <w:pPr>
        <w:spacing w:after="0"/>
      </w:pPr>
    </w:p>
    <w:p>
      <w:r>
        <w:t>Long-term disk planning retains an encrypted 500 GB gp3 working-volume estimate, recalculated from actual model and data files. Keep latest two plus best development checkpoints as an initial retention proposal, subject to the approved records policy and legal holds. Do not auto-terminate the existing box.</w:t>
      </w:r>
    </w:p>
    <w:p>
      <w:r>
        <w:t>Shared parent services and the approved subsidiary organisation remain the governance model at every stage. Infrastructure growth creates no automatic hiring commitment or expert appointment. Keep expert content rights, software/adapter ownership, base-model licensing and customer-data permissions as distinct records.</w:t>
      </w:r>
    </w:p>
    <w:p>
      <w:pPr>
        <w:pStyle w:val="Heading1"/>
        <w:pageBreakBefore/>
      </w:pPr>
      <w:r>
        <w:t>Appendix B Canonical case capture and fallback</w:t>
      </w:r>
    </w:p>
    <w:p>
      <w:r>
        <w:t>Bill Hurt uses the Broadbridge Case Capture web page directly, contributing as many cases as he chooses without a call first. This is the primary and canonical intake. Pilot case records live in the Claude artifact store: collection cases contains broadbridge.case_record/1 records, while workflow/main holds Part A. Brad exports All records as JSON. Originals and any supporting documents belong in the one approved S3 bucket, with rights and locators recorded.</w:t>
      </w:r>
    </w:p>
    <w:p>
      <w:r>
        <w:t>There is one external contract: schemas/case_record.schema.json plus schemas/export.schema.json, both Draft 2020-12. The wrapper contains exported_at, workflow and cases. Case status is draft, complete or signed; permitted_use is training, testing_only or reference_only, with training as the page default. A page default does not sign a case or grant training admission. Record types are real_event, reconstructed or hypothetical. hard_fail_criteria and evidence_ids are strings. Decision-time observations and hindsight hypotheses are arrays; canonical names and enums are shared by every intake route.</w:t>
      </w:r>
    </w:p>
    <w:p>
      <w:r>
        <w:t>Run scripts/import_cases.py &lt;complete_export.json&gt; &lt;fresh_out_dir&gt;. It validates both schemas, archives each canonical case, derives eval/questions.jsonl from questions and writes training candidates only from signed/training cases with complete signoff and a train-family split. Every case has a printed disposition. Missing/invalid permissions reject schema validation; no default is invented. Family precedence is locked_test, then dev, then train. Exports must include related cases so holdouts cannot leak into training.</w:t>
      </w:r>
    </w:p>
    <w:p>
      <w:r>
        <w:t>The Interview Guide DOCX is a pre-read and optional call script. A reviewer who cannot use the page may use scripts/case_from_form_fallback.py. This fallback reads the labelled form and emits the same broadbridge.case_record/1 record and export wrapper, not an alternative schema. Its review report holds source-document provenance, consent and blank-field flags outside the canonical case. Blank narrative fields are flagged; missing or unknown enum choices require explicit correction. The parser does not infer facts, family membership, source rights or signature authenticity.</w:t>
      </w:r>
    </w:p>
    <w:p>
      <w:r>
        <w:t>Supply reviewed case/family IDs. Default output is draft; only an explicit operator attestation after reviewer approval can produce signed status with a reviewer name and date. Merge through the complete page export, or explicitly attest a standalone family when no related records exist. Never combine independently split datasets. Full fallback commands and the accepted signature/date format are in packs/oil-gas/README.md. Keep originals unchanged and preserve the form's review report alongside them in approved storage.</w:t>
      </w:r>
    </w:p>
    <w:p>
      <w:r>
        <w:t>All downstream tools accept only broadbridge.case_record/1. run_brief.py passes identity.unit_service and decision_time only. Hindsight, questions, workflow, consent and evidence inventory never enter its prompt. The runtime guard checks the projection and rejects retrospective/reference-answer leakage; paraphrased hindsight still needs human review. Use --dry-run for local inspection or the first-case runbook for stock qwen3:8b through the tunnel, think:false and schema=brief. The same reviewer scorecard assesses the later S0-retrieval stage, with its additional evidence provenance recorded separately.</w:t>
      </w:r>
    </w:p>
    <w:p>
      <w:r>
        <w:t>Gate 0 questions come from signed cases: at least 30 Section C questions, references present, and coverage of brief, missing_data, calculation, grounded_explanation and abstention. Bill is the named reviewer. Capture, parsing and signoff do not close rights/storage or coverage requirements automatically. No PermitHub PIFR/A22 or NeonDB integration is introduced.</w:t>
      </w:r>
    </w:p>
    <w:sectPr w:rsidR="00FC693F" w:rsidRPr="0006063C" w:rsidSect="00034616">
      <w:footerReference w:type="default" r:id="rId9"/>
      <w:pgSz w:w="12240" w:h="15840"/>
      <w:pgMar w:top="864" w:right="936" w:bottom="864" w:left="936"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6"/>
      </w:rPr>
      <w:t xml:space="preserve">Broadbridge Oil &amp; Gas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8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40" w:lineRule="auto"/>
    </w:pPr>
    <w:rPr>
      <w:rFonts w:ascii="Calibri" w:hAnsi="Calibri"/>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4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4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huggingface.co/Qwen/Qwen3-8B" TargetMode="External"/><Relationship Id="rId11" Type="http://schemas.openxmlformats.org/officeDocument/2006/relationships/hyperlink" Target="https://huggingface.co/unsloth/Qwen3-8B" TargetMode="External"/><Relationship Id="rId12" Type="http://schemas.openxmlformats.org/officeDocument/2006/relationships/hyperlink" Target="https://huggingface.co/docs/huggingface_hub/guides/download" TargetMode="External"/><Relationship Id="rId13" Type="http://schemas.openxmlformats.org/officeDocument/2006/relationships/hyperlink" Target="https://docs.aws.amazon.com/AWSEC2/latest/UserGuide/iam-roles-for-amazon-ec2.html" TargetMode="External"/><Relationship Id="rId14" Type="http://schemas.openxmlformats.org/officeDocument/2006/relationships/hyperlink" Target="https://docs.aws.amazon.com/AmazonS3/latest/userguide/UsingKMSEncryption.html" TargetMode="External"/><Relationship Id="rId15" Type="http://schemas.openxmlformats.org/officeDocument/2006/relationships/hyperlink" Target="https://huggingface.co/docs/trl/sft_trainer" TargetMode="External"/><Relationship Id="rId16" Type="http://schemas.openxmlformats.org/officeDocument/2006/relationships/hyperlink" Target="https://docs.ollama.com/capabilities/structured-outputs" TargetMode="External"/><Relationship Id="rId17" Type="http://schemas.openxmlformats.org/officeDocument/2006/relationships/hyperlink" Target="https://docs.aws.amazon.com/cost-management/latest/userguide/budgets-action-configure.html" TargetMode="External"/><Relationship Id="rId18" Type="http://schemas.openxmlformats.org/officeDocument/2006/relationships/hyperlink" Target="https://docs.aws.amazon.com/systems-manager/latest/userguide/session-manager-working-with-sessions-start.html" TargetMode="External"/><Relationship Id="rId19" Type="http://schemas.openxmlformats.org/officeDocument/2006/relationships/hyperlink" Target="https://github.com/docling-project/docling" TargetMode="External"/><Relationship Id="rId20" Type="http://schemas.openxmlformats.org/officeDocument/2006/relationships/hyperlink" Target="https://github.com/SYSTRAN/faster-whisper" TargetMode="External"/><Relationship Id="rId21" Type="http://schemas.openxmlformats.org/officeDocument/2006/relationships/hyperlink" Target="https://huggingface.co/BAAI/bge-small-en-v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SLM Foundry infrastructure implementation brief</dc:title>
  <dc:subject>Broadbridge Oil and Gas training infrastructure handoff</dc:subject>
  <dc:creator>Broadbridge4096</dc:creator>
  <cp:keywords/>
  <dc:description>generated by python-docx</dc:description>
  <cp:lastModifiedBy/>
  <cp:revision>1</cp:revision>
  <dcterms:created xsi:type="dcterms:W3CDTF">2013-12-23T23:15:00Z</dcterms:created>
  <dcterms:modified xsi:type="dcterms:W3CDTF">2013-12-23T23:15:00Z</dcterms:modified>
  <cp:category/>
</cp:coreProperties>
</file>