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全局安装react的脚手架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-g create-react-app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创建一个react的项目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命令：create-react-app [项目名称]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Jsx语法的原理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React.creatElement([eleName],[传对象设置元素属性],[子元素],[子元素].....)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通过bable转化成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3515" cy="175577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+ Typescript 的脚手架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命令：create-react-app [项目名称] --scripts-version=react-scripts-ts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规则过于严格需要重新修改配置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1610" cy="1677670"/>
            <wp:effectExtent l="0" t="0" r="1524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修改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EFEF2"/>
        </w:rPr>
        <w:t>tslint.json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文件的配置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9"/>
          <w:szCs w:val="19"/>
          <w:shd w:val="clear" w:fill="F0F0F0"/>
        </w:rPr>
        <w:t xml:space="preserve">{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9"/>
          <w:szCs w:val="19"/>
          <w:shd w:val="clear" w:fill="F0F0F0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9"/>
          <w:szCs w:val="19"/>
          <w:shd w:val="clear" w:fill="F0F0F0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</w:rPr>
        <w:t xml:space="preserve">"extends": [ </w:t>
      </w:r>
      <w:r>
        <w:rPr>
          <w:rFonts w:hint="eastAsia" w:ascii="楷体" w:hAnsi="楷体" w:eastAsia="楷体" w:cs="楷体"/>
          <w:i w:val="0"/>
          <w:caps w:val="0"/>
          <w:color w:val="880000"/>
          <w:spacing w:val="0"/>
          <w:sz w:val="19"/>
          <w:szCs w:val="19"/>
        </w:rPr>
        <w:t xml:space="preserve">"tslint:recommended" ], </w:t>
      </w:r>
      <w:r>
        <w:rPr>
          <w:rFonts w:hint="eastAsia" w:ascii="楷体" w:hAnsi="楷体" w:eastAsia="楷体" w:cs="楷体"/>
          <w:i w:val="0"/>
          <w:caps w:val="0"/>
          <w:color w:val="8800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8800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</w:rPr>
        <w:t xml:space="preserve">"rules": { 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</w:rPr>
        <w:t xml:space="preserve">"no-console": [ 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t xml:space="preserve">false ], 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>//不允许使用console调试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</w:rPr>
        <w:t xml:space="preserve">"only-arrow-functions": [ 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t>false ],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>//只能使用箭头函数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</w:rPr>
        <w:t>"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  <w:lang w:val="en-US" w:eastAsia="zh-CN"/>
        </w:rPr>
        <w:t>ordered-imports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</w:rPr>
        <w:t xml:space="preserve">": 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t>false,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>//按字母顺序引入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</w:rPr>
        <w:t>"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  <w:lang w:val="en-US" w:eastAsia="zh-CN"/>
        </w:rPr>
        <w:t>prefer-const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19"/>
          <w:szCs w:val="19"/>
        </w:rPr>
        <w:t xml:space="preserve">": 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t>false,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>//唯一变量时 尽量使用const 声明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t xml:space="preserve">} 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t>}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t>rules的规则</w:t>
      </w:r>
      <w:r>
        <w:rPr>
          <w:rFonts w:hint="eastAsia" w:ascii="楷体" w:hAnsi="楷体" w:eastAsia="楷体" w:cs="楷体"/>
          <w:i w:val="0"/>
          <w:caps w:val="0"/>
          <w:color w:val="008800"/>
          <w:spacing w:val="0"/>
          <w:sz w:val="19"/>
          <w:szCs w:val="19"/>
          <w:lang w:val="en-US" w:eastAsia="zh-CN"/>
        </w:rPr>
        <w:br w:type="textWrapping"/>
      </w:r>
      <w:r>
        <w:drawing>
          <wp:inline distT="0" distB="0" distL="114300" distR="114300">
            <wp:extent cx="5271135" cy="4450715"/>
            <wp:effectExtent l="0" t="0" r="571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jsx-self-close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false  //jsx元素是否必须闭合</w:t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69865" cy="5321300"/>
            <wp:effectExtent l="0" t="0" r="698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j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18262"/>
    <w:multiLevelType w:val="singleLevel"/>
    <w:tmpl w:val="CD1182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F3E69"/>
    <w:rsid w:val="05A8019D"/>
    <w:rsid w:val="0AB23536"/>
    <w:rsid w:val="0D8474C9"/>
    <w:rsid w:val="0FED0D7F"/>
    <w:rsid w:val="13EC74D7"/>
    <w:rsid w:val="15B9243F"/>
    <w:rsid w:val="16675CD0"/>
    <w:rsid w:val="1F3A1356"/>
    <w:rsid w:val="26467093"/>
    <w:rsid w:val="31DC6168"/>
    <w:rsid w:val="37D55757"/>
    <w:rsid w:val="3C450D99"/>
    <w:rsid w:val="3D9F4D34"/>
    <w:rsid w:val="406575D4"/>
    <w:rsid w:val="46B6241A"/>
    <w:rsid w:val="486A2CB2"/>
    <w:rsid w:val="4E6F2EB9"/>
    <w:rsid w:val="50C93AE3"/>
    <w:rsid w:val="50DB14DA"/>
    <w:rsid w:val="51B27D2C"/>
    <w:rsid w:val="5FA31D63"/>
    <w:rsid w:val="600A680F"/>
    <w:rsid w:val="64322BCC"/>
    <w:rsid w:val="6B5A796C"/>
    <w:rsid w:val="6E2B2EBD"/>
    <w:rsid w:val="7A5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2019-03-29T09:54:10Z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