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ascii="Aptos Display" w:hAnsi="Aptos Display"/>
          <w:b/>
          <w:color w:val="17803D"/>
          <w:sz w:val="68"/>
        </w:rPr>
        <w:t>DATA SPEAK</w:t>
      </w:r>
    </w:p>
    <w:p>
      <w:pPr>
        <w:jc w:val="center"/>
      </w:pPr>
      <w:r>
        <w:rPr>
          <w:b/>
          <w:color w:val="1F2937"/>
          <w:sz w:val="44"/>
        </w:rPr>
        <w:t>FastAPI Analytics API Documentation</w:t>
      </w:r>
    </w:p>
    <w:p>
      <w:pPr>
        <w:jc w:val="center"/>
      </w:pPr>
      <w:r>
        <w:rPr>
          <w:color w:val="6B7280"/>
          <w:sz w:val="24"/>
        </w:rPr>
        <w:t>Internal deterministic analytics service contract</w:t>
      </w:r>
    </w:p>
    <w:p/>
    <w:p>
      <w:pPr>
        <w:jc w:val="center"/>
      </w:pPr>
      <w:r>
        <w:rPr>
          <w:i/>
        </w:rPr>
        <w:t>Turning Data Into Clearer Decisions</w:t>
      </w:r>
    </w:p>
    <w:p/>
    <w:tbl>
      <w:tblPr>
        <w:tblStyle w:val="TableGrid"/>
        <w:tblW w:type="auto" w:w="0"/>
        <w:jc w:val="center"/>
        <w:tblLook w:firstColumn="1" w:firstRow="1" w:lastColumn="0" w:lastRow="0" w:noHBand="0" w:noVBand="1" w:val="04A0"/>
      </w:tblPr>
      <w:tblGrid>
        <w:gridCol w:w="5040"/>
        <w:gridCol w:w="5040"/>
      </w:tblGrid>
      <w:tr>
        <w:tc>
          <w:tcPr>
            <w:tcW w:type="dxa" w:w="5040"/>
            <w:shd w:fill="17803D"/>
            <w:vAlign w:val="center"/>
          </w:tcPr>
          <w:p>
            <w:r/>
            <w:r>
              <w:rPr>
                <w:rFonts w:ascii="Aptos" w:hAnsi="Aptos"/>
                <w:b/>
                <w:color w:val="FFFFFF"/>
                <w:sz w:val="17"/>
              </w:rPr>
              <w:t>Document</w:t>
            </w:r>
          </w:p>
        </w:tc>
        <w:tc>
          <w:tcPr>
            <w:tcW w:type="dxa" w:w="5040"/>
            <w:shd w:fill="17803D"/>
            <w:vAlign w:val="center"/>
          </w:tcPr>
          <w:p>
            <w:r/>
            <w:r>
              <w:rPr>
                <w:rFonts w:ascii="Aptos" w:hAnsi="Aptos"/>
                <w:b/>
                <w:color w:val="FFFFFF"/>
                <w:sz w:val="17"/>
              </w:rPr>
              <w:t>Value</w:t>
            </w:r>
          </w:p>
        </w:tc>
      </w:tr>
      <w:tr>
        <w:tc>
          <w:tcPr>
            <w:tcW w:type="dxa" w:w="5040"/>
            <w:vAlign w:val="center"/>
          </w:tcPr>
          <w:p>
            <w:r/>
            <w:r>
              <w:rPr>
                <w:rFonts w:ascii="Aptos" w:hAnsi="Aptos"/>
                <w:b w:val="0"/>
                <w:color w:val="1F2937"/>
                <w:sz w:val="16"/>
              </w:rPr>
              <w:t>Project</w:t>
            </w:r>
          </w:p>
        </w:tc>
        <w:tc>
          <w:tcPr>
            <w:tcW w:type="dxa" w:w="5040"/>
            <w:vAlign w:val="center"/>
          </w:tcPr>
          <w:p>
            <w:r/>
            <w:r>
              <w:rPr>
                <w:rFonts w:ascii="Aptos" w:hAnsi="Aptos"/>
                <w:b w:val="0"/>
                <w:color w:val="1F2937"/>
                <w:sz w:val="16"/>
              </w:rPr>
              <w:t>Data Speak - AI-Assisted Data Analytics and Executive Insight Platform</w:t>
            </w:r>
          </w:p>
        </w:tc>
      </w:tr>
      <w:tr>
        <w:tc>
          <w:tcPr>
            <w:tcW w:type="dxa" w:w="5040"/>
            <w:vAlign w:val="center"/>
            <w:shd w:fill="F7FAF8"/>
          </w:tcPr>
          <w:p>
            <w:r/>
            <w:r>
              <w:rPr>
                <w:rFonts w:ascii="Aptos" w:hAnsi="Aptos"/>
                <w:b w:val="0"/>
                <w:color w:val="1F2937"/>
                <w:sz w:val="16"/>
              </w:rPr>
              <w:t>Document status</w:t>
            </w:r>
          </w:p>
        </w:tc>
        <w:tc>
          <w:tcPr>
            <w:tcW w:type="dxa" w:w="5040"/>
            <w:vAlign w:val="center"/>
            <w:shd w:fill="F7FAF8"/>
          </w:tcPr>
          <w:p>
            <w:r/>
            <w:r>
              <w:rPr>
                <w:rFonts w:ascii="Aptos" w:hAnsi="Aptos"/>
                <w:b w:val="0"/>
                <w:color w:val="1F2937"/>
                <w:sz w:val="16"/>
              </w:rPr>
              <w:t>Baseline technical specification</w:t>
            </w:r>
          </w:p>
        </w:tc>
      </w:tr>
      <w:tr>
        <w:tc>
          <w:tcPr>
            <w:tcW w:type="dxa" w:w="5040"/>
            <w:vAlign w:val="center"/>
          </w:tcPr>
          <w:p>
            <w:r/>
            <w:r>
              <w:rPr>
                <w:rFonts w:ascii="Aptos" w:hAnsi="Aptos"/>
                <w:b w:val="0"/>
                <w:color w:val="1F2937"/>
                <w:sz w:val="16"/>
              </w:rPr>
              <w:t>Prepared for</w:t>
            </w:r>
          </w:p>
        </w:tc>
        <w:tc>
          <w:tcPr>
            <w:tcW w:type="dxa" w:w="5040"/>
            <w:vAlign w:val="center"/>
          </w:tcPr>
          <w:p>
            <w:r/>
            <w:r>
              <w:rPr>
                <w:rFonts w:ascii="Aptos" w:hAnsi="Aptos"/>
                <w:b w:val="0"/>
                <w:color w:val="1F2937"/>
                <w:sz w:val="16"/>
              </w:rPr>
              <w:t>MSIT Capstone Project</w:t>
            </w:r>
          </w:p>
        </w:tc>
      </w:tr>
      <w:tr>
        <w:tc>
          <w:tcPr>
            <w:tcW w:type="dxa" w:w="5040"/>
            <w:vAlign w:val="center"/>
            <w:shd w:fill="F7FAF8"/>
          </w:tcPr>
          <w:p>
            <w:r/>
            <w:r>
              <w:rPr>
                <w:rFonts w:ascii="Aptos" w:hAnsi="Aptos"/>
                <w:b w:val="0"/>
                <w:color w:val="1F2937"/>
                <w:sz w:val="16"/>
              </w:rPr>
              <w:t>Version</w:t>
            </w:r>
          </w:p>
        </w:tc>
        <w:tc>
          <w:tcPr>
            <w:tcW w:type="dxa" w:w="5040"/>
            <w:vAlign w:val="center"/>
            <w:shd w:fill="F7FAF8"/>
          </w:tcPr>
          <w:p>
            <w:r/>
            <w:r>
              <w:rPr>
                <w:rFonts w:ascii="Aptos" w:hAnsi="Aptos"/>
                <w:b w:val="0"/>
                <w:color w:val="1F2937"/>
                <w:sz w:val="16"/>
              </w:rPr>
              <w:t>1.0</w:t>
            </w:r>
          </w:p>
        </w:tc>
      </w:tr>
      <w:tr>
        <w:tc>
          <w:tcPr>
            <w:tcW w:type="dxa" w:w="5040"/>
            <w:vAlign w:val="center"/>
          </w:tcPr>
          <w:p>
            <w:r/>
            <w:r>
              <w:rPr>
                <w:rFonts w:ascii="Aptos" w:hAnsi="Aptos"/>
                <w:b w:val="0"/>
                <w:color w:val="1F2937"/>
                <w:sz w:val="16"/>
              </w:rPr>
              <w:t>Date</w:t>
            </w:r>
          </w:p>
        </w:tc>
        <w:tc>
          <w:tcPr>
            <w:tcW w:type="dxa" w:w="5040"/>
            <w:vAlign w:val="center"/>
          </w:tcPr>
          <w:p>
            <w:r/>
            <w:r>
              <w:rPr>
                <w:rFonts w:ascii="Aptos" w:hAnsi="Aptos"/>
                <w:b w:val="0"/>
                <w:color w:val="1F2937"/>
                <w:sz w:val="16"/>
              </w:rPr>
              <w:t>3 October 2026</w:t>
            </w:r>
          </w:p>
        </w:tc>
      </w:tr>
      <w:tr>
        <w:tc>
          <w:tcPr>
            <w:tcW w:type="dxa" w:w="5040"/>
            <w:vAlign w:val="center"/>
            <w:shd w:fill="F7FAF8"/>
          </w:tcPr>
          <w:p>
            <w:r/>
            <w:r>
              <w:rPr>
                <w:rFonts w:ascii="Aptos" w:hAnsi="Aptos"/>
                <w:b w:val="0"/>
                <w:color w:val="1F2937"/>
                <w:sz w:val="16"/>
              </w:rPr>
              <w:t>Implementation note</w:t>
            </w:r>
          </w:p>
        </w:tc>
        <w:tc>
          <w:tcPr>
            <w:tcW w:type="dxa" w:w="5040"/>
            <w:vAlign w:val="center"/>
            <w:shd w:fill="F7FAF8"/>
          </w:tcPr>
          <w:p>
            <w:r/>
            <w:r>
              <w:rPr>
                <w:rFonts w:ascii="Aptos" w:hAnsi="Aptos"/>
                <w:b w:val="0"/>
                <w:color w:val="1F2937"/>
                <w:sz w:val="16"/>
              </w:rPr>
              <w:t>Designed/prototyped items are clearly distinguished from production implementation.</w:t>
            </w:r>
          </w:p>
        </w:tc>
      </w:tr>
    </w:tbl>
    <w:p/>
    <w:p>
      <w:r>
        <w:br w:type="page"/>
      </w:r>
    </w:p>
    <w:p>
      <w:pPr>
        <w:pStyle w:val="Heading1"/>
      </w:pPr>
      <w:r>
        <w:t>1. Purpose and Boundary</w:t>
      </w:r>
    </w:p>
    <w:p>
      <w:r>
        <w:t>The FastAPI service performs deterministic profiling and statistical analysis for Data Speak. It is an internal service called by Laravel. It does not own user authentication, application workflow, final report persistence, or frontend routing. It must not delegate critical numerical calculations to an LLM.</w:t>
      </w:r>
    </w:p>
    <w:p>
      <w:pPr>
        <w:pStyle w:val="Heading2"/>
      </w:pPr>
      <w:r>
        <w:t>Document Status Legend</w:t>
      </w:r>
    </w:p>
    <w:tbl>
      <w:tblPr>
        <w:tblStyle w:val="TableGrid"/>
        <w:tblW w:type="auto" w:w="0"/>
        <w:jc w:val="center"/>
        <w:tblLook w:firstColumn="1" w:firstRow="1" w:lastColumn="0" w:lastRow="0" w:noHBand="0" w:noVBand="1" w:val="04A0"/>
      </w:tblPr>
      <w:tblGrid>
        <w:gridCol w:w="5040"/>
        <w:gridCol w:w="5040"/>
      </w:tblGrid>
      <w:tr>
        <w:tc>
          <w:tcPr>
            <w:tcW w:type="dxa" w:w="5040"/>
            <w:shd w:fill="17803D"/>
            <w:vAlign w:val="center"/>
          </w:tcPr>
          <w:p>
            <w:r/>
            <w:r>
              <w:rPr>
                <w:rFonts w:ascii="Aptos" w:hAnsi="Aptos"/>
                <w:b/>
                <w:color w:val="FFFFFF"/>
                <w:sz w:val="17"/>
              </w:rPr>
              <w:t>Status</w:t>
            </w:r>
          </w:p>
        </w:tc>
        <w:tc>
          <w:tcPr>
            <w:tcW w:type="dxa" w:w="5040"/>
            <w:shd w:fill="17803D"/>
            <w:vAlign w:val="center"/>
          </w:tcPr>
          <w:p>
            <w:r/>
            <w:r>
              <w:rPr>
                <w:rFonts w:ascii="Aptos" w:hAnsi="Aptos"/>
                <w:b/>
                <w:color w:val="FFFFFF"/>
                <w:sz w:val="17"/>
              </w:rPr>
              <w:t>Meaning</w:t>
            </w:r>
          </w:p>
        </w:tc>
      </w:tr>
      <w:tr>
        <w:tc>
          <w:tcPr>
            <w:tcW w:type="dxa" w:w="5040"/>
            <w:vAlign w:val="center"/>
          </w:tcPr>
          <w:p>
            <w:r/>
            <w:r>
              <w:rPr>
                <w:rFonts w:ascii="Aptos" w:hAnsi="Aptos"/>
                <w:b w:val="0"/>
                <w:color w:val="1F2937"/>
                <w:sz w:val="16"/>
              </w:rPr>
              <w:t>Implemented</w:t>
            </w:r>
          </w:p>
        </w:tc>
        <w:tc>
          <w:tcPr>
            <w:tcW w:type="dxa" w:w="5040"/>
            <w:vAlign w:val="center"/>
          </w:tcPr>
          <w:p>
            <w:r/>
            <w:r>
              <w:rPr>
                <w:rFonts w:ascii="Aptos" w:hAnsi="Aptos"/>
                <w:b w:val="0"/>
                <w:color w:val="1F2937"/>
                <w:sz w:val="16"/>
              </w:rPr>
              <w:t>Working production code or infrastructure exists.</w:t>
            </w:r>
          </w:p>
        </w:tc>
      </w:tr>
      <w:tr>
        <w:tc>
          <w:tcPr>
            <w:tcW w:type="dxa" w:w="5040"/>
            <w:vAlign w:val="center"/>
            <w:shd w:fill="F7FAF8"/>
          </w:tcPr>
          <w:p>
            <w:r/>
            <w:r>
              <w:rPr>
                <w:rFonts w:ascii="Aptos" w:hAnsi="Aptos"/>
                <w:b w:val="0"/>
                <w:color w:val="1F2937"/>
                <w:sz w:val="16"/>
              </w:rPr>
              <w:t>Prototyped</w:t>
            </w:r>
          </w:p>
        </w:tc>
        <w:tc>
          <w:tcPr>
            <w:tcW w:type="dxa" w:w="5040"/>
            <w:vAlign w:val="center"/>
            <w:shd w:fill="F7FAF8"/>
          </w:tcPr>
          <w:p>
            <w:r/>
            <w:r>
              <w:rPr>
                <w:rFonts w:ascii="Aptos" w:hAnsi="Aptos"/>
                <w:b w:val="0"/>
                <w:color w:val="1F2937"/>
                <w:sz w:val="16"/>
              </w:rPr>
              <w:t>Interactive or UI prototype exists; production integration may not exist.</w:t>
            </w:r>
          </w:p>
        </w:tc>
      </w:tr>
      <w:tr>
        <w:tc>
          <w:tcPr>
            <w:tcW w:type="dxa" w:w="5040"/>
            <w:vAlign w:val="center"/>
          </w:tcPr>
          <w:p>
            <w:r/>
            <w:r>
              <w:rPr>
                <w:rFonts w:ascii="Aptos" w:hAnsi="Aptos"/>
                <w:b w:val="0"/>
                <w:color w:val="1F2937"/>
                <w:sz w:val="16"/>
              </w:rPr>
              <w:t>Designed</w:t>
            </w:r>
          </w:p>
        </w:tc>
        <w:tc>
          <w:tcPr>
            <w:tcW w:type="dxa" w:w="5040"/>
            <w:vAlign w:val="center"/>
          </w:tcPr>
          <w:p>
            <w:r/>
            <w:r>
              <w:rPr>
                <w:rFonts w:ascii="Aptos" w:hAnsi="Aptos"/>
                <w:b w:val="0"/>
                <w:color w:val="1F2937"/>
                <w:sz w:val="16"/>
              </w:rPr>
              <w:t>Architecture, contract, data model, or behavior has been specified.</w:t>
            </w:r>
          </w:p>
        </w:tc>
      </w:tr>
      <w:tr>
        <w:tc>
          <w:tcPr>
            <w:tcW w:type="dxa" w:w="5040"/>
            <w:vAlign w:val="center"/>
            <w:shd w:fill="F7FAF8"/>
          </w:tcPr>
          <w:p>
            <w:r/>
            <w:r>
              <w:rPr>
                <w:rFonts w:ascii="Aptos" w:hAnsi="Aptos"/>
                <w:b w:val="0"/>
                <w:color w:val="1F2937"/>
                <w:sz w:val="16"/>
              </w:rPr>
              <w:t>Planned</w:t>
            </w:r>
          </w:p>
        </w:tc>
        <w:tc>
          <w:tcPr>
            <w:tcW w:type="dxa" w:w="5040"/>
            <w:vAlign w:val="center"/>
            <w:shd w:fill="F7FAF8"/>
          </w:tcPr>
          <w:p>
            <w:r/>
            <w:r>
              <w:rPr>
                <w:rFonts w:ascii="Aptos" w:hAnsi="Aptos"/>
                <w:b w:val="0"/>
                <w:color w:val="1F2937"/>
                <w:sz w:val="16"/>
              </w:rPr>
              <w:t>Approved future capability not yet implemented.</w:t>
            </w:r>
          </w:p>
        </w:tc>
      </w:tr>
    </w:tbl>
    <w:p/>
    <w:p>
      <w:pPr>
        <w:pStyle w:val="Heading1"/>
      </w:pPr>
      <w:r>
        <w:t>2. Technology Baseline</w:t>
      </w:r>
    </w:p>
    <w:tbl>
      <w:tblPr>
        <w:tblStyle w:val="TableGrid"/>
        <w:tblW w:type="auto" w:w="0"/>
        <w:jc w:val="center"/>
        <w:tblLook w:firstColumn="1" w:firstRow="1" w:lastColumn="0" w:lastRow="0" w:noHBand="0" w:noVBand="1" w:val="04A0"/>
      </w:tblPr>
      <w:tblGrid>
        <w:gridCol w:w="5040"/>
        <w:gridCol w:w="5040"/>
      </w:tblGrid>
      <w:tr>
        <w:tc>
          <w:tcPr>
            <w:tcW w:type="dxa" w:w="5040"/>
            <w:shd w:fill="17803D"/>
            <w:vAlign w:val="center"/>
          </w:tcPr>
          <w:p>
            <w:r/>
            <w:r>
              <w:rPr>
                <w:rFonts w:ascii="Aptos" w:hAnsi="Aptos"/>
                <w:b/>
                <w:color w:val="FFFFFF"/>
                <w:sz w:val="17"/>
              </w:rPr>
              <w:t>Capability</w:t>
            </w:r>
          </w:p>
        </w:tc>
        <w:tc>
          <w:tcPr>
            <w:tcW w:type="dxa" w:w="5040"/>
            <w:shd w:fill="17803D"/>
            <w:vAlign w:val="center"/>
          </w:tcPr>
          <w:p>
            <w:r/>
            <w:r>
              <w:rPr>
                <w:rFonts w:ascii="Aptos" w:hAnsi="Aptos"/>
                <w:b/>
                <w:color w:val="FFFFFF"/>
                <w:sz w:val="17"/>
              </w:rPr>
              <w:t>Technology</w:t>
            </w:r>
          </w:p>
        </w:tc>
      </w:tr>
      <w:tr>
        <w:tc>
          <w:tcPr>
            <w:tcW w:type="dxa" w:w="5040"/>
            <w:vAlign w:val="center"/>
          </w:tcPr>
          <w:p>
            <w:r/>
            <w:r>
              <w:rPr>
                <w:rFonts w:ascii="Aptos" w:hAnsi="Aptos"/>
                <w:b w:val="0"/>
                <w:color w:val="1F2937"/>
                <w:sz w:val="16"/>
              </w:rPr>
              <w:t>API framework</w:t>
            </w:r>
          </w:p>
        </w:tc>
        <w:tc>
          <w:tcPr>
            <w:tcW w:type="dxa" w:w="5040"/>
            <w:vAlign w:val="center"/>
          </w:tcPr>
          <w:p>
            <w:r/>
            <w:r>
              <w:rPr>
                <w:rFonts w:ascii="Aptos" w:hAnsi="Aptos"/>
                <w:b w:val="0"/>
                <w:color w:val="1F2937"/>
                <w:sz w:val="16"/>
              </w:rPr>
              <w:t>FastAPI / Python</w:t>
            </w:r>
          </w:p>
        </w:tc>
      </w:tr>
      <w:tr>
        <w:tc>
          <w:tcPr>
            <w:tcW w:type="dxa" w:w="5040"/>
            <w:vAlign w:val="center"/>
            <w:shd w:fill="F7FAF8"/>
          </w:tcPr>
          <w:p>
            <w:r/>
            <w:r>
              <w:rPr>
                <w:rFonts w:ascii="Aptos" w:hAnsi="Aptos"/>
                <w:b w:val="0"/>
                <w:color w:val="1F2937"/>
                <w:sz w:val="16"/>
              </w:rPr>
              <w:t>Dataframe processing</w:t>
            </w:r>
          </w:p>
        </w:tc>
        <w:tc>
          <w:tcPr>
            <w:tcW w:type="dxa" w:w="5040"/>
            <w:vAlign w:val="center"/>
            <w:shd w:fill="F7FAF8"/>
          </w:tcPr>
          <w:p>
            <w:r/>
            <w:r>
              <w:rPr>
                <w:rFonts w:ascii="Aptos" w:hAnsi="Aptos"/>
                <w:b w:val="0"/>
                <w:color w:val="1F2937"/>
                <w:sz w:val="16"/>
              </w:rPr>
              <w:t>Polars</w:t>
            </w:r>
          </w:p>
        </w:tc>
      </w:tr>
      <w:tr>
        <w:tc>
          <w:tcPr>
            <w:tcW w:type="dxa" w:w="5040"/>
            <w:vAlign w:val="center"/>
          </w:tcPr>
          <w:p>
            <w:r/>
            <w:r>
              <w:rPr>
                <w:rFonts w:ascii="Aptos" w:hAnsi="Aptos"/>
                <w:b w:val="0"/>
                <w:color w:val="1F2937"/>
                <w:sz w:val="16"/>
              </w:rPr>
              <w:t>Scientific/statistical functions</w:t>
            </w:r>
          </w:p>
        </w:tc>
        <w:tc>
          <w:tcPr>
            <w:tcW w:type="dxa" w:w="5040"/>
            <w:vAlign w:val="center"/>
          </w:tcPr>
          <w:p>
            <w:r/>
            <w:r>
              <w:rPr>
                <w:rFonts w:ascii="Aptos" w:hAnsi="Aptos"/>
                <w:b w:val="0"/>
                <w:color w:val="1F2937"/>
                <w:sz w:val="16"/>
              </w:rPr>
              <w:t>SciPy</w:t>
            </w:r>
          </w:p>
        </w:tc>
      </w:tr>
      <w:tr>
        <w:tc>
          <w:tcPr>
            <w:tcW w:type="dxa" w:w="5040"/>
            <w:vAlign w:val="center"/>
            <w:shd w:fill="F7FAF8"/>
          </w:tcPr>
          <w:p>
            <w:r/>
            <w:r>
              <w:rPr>
                <w:rFonts w:ascii="Aptos" w:hAnsi="Aptos"/>
                <w:b w:val="0"/>
                <w:color w:val="1F2937"/>
                <w:sz w:val="16"/>
              </w:rPr>
              <w:t>Statistical modelling</w:t>
            </w:r>
          </w:p>
        </w:tc>
        <w:tc>
          <w:tcPr>
            <w:tcW w:type="dxa" w:w="5040"/>
            <w:vAlign w:val="center"/>
            <w:shd w:fill="F7FAF8"/>
          </w:tcPr>
          <w:p>
            <w:r/>
            <w:r>
              <w:rPr>
                <w:rFonts w:ascii="Aptos" w:hAnsi="Aptos"/>
                <w:b w:val="0"/>
                <w:color w:val="1F2937"/>
                <w:sz w:val="16"/>
              </w:rPr>
              <w:t>statsmodels</w:t>
            </w:r>
          </w:p>
        </w:tc>
      </w:tr>
      <w:tr>
        <w:tc>
          <w:tcPr>
            <w:tcW w:type="dxa" w:w="5040"/>
            <w:vAlign w:val="center"/>
          </w:tcPr>
          <w:p>
            <w:r/>
            <w:r>
              <w:rPr>
                <w:rFonts w:ascii="Aptos" w:hAnsi="Aptos"/>
                <w:b w:val="0"/>
                <w:color w:val="1F2937"/>
                <w:sz w:val="16"/>
              </w:rPr>
              <w:t>Machine learning utilities</w:t>
            </w:r>
          </w:p>
        </w:tc>
        <w:tc>
          <w:tcPr>
            <w:tcW w:type="dxa" w:w="5040"/>
            <w:vAlign w:val="center"/>
          </w:tcPr>
          <w:p>
            <w:r/>
            <w:r>
              <w:rPr>
                <w:rFonts w:ascii="Aptos" w:hAnsi="Aptos"/>
                <w:b w:val="0"/>
                <w:color w:val="1F2937"/>
                <w:sz w:val="16"/>
              </w:rPr>
              <w:t>scikit-learn where justified</w:t>
            </w:r>
          </w:p>
        </w:tc>
      </w:tr>
      <w:tr>
        <w:tc>
          <w:tcPr>
            <w:tcW w:type="dxa" w:w="5040"/>
            <w:vAlign w:val="center"/>
            <w:shd w:fill="F7FAF8"/>
          </w:tcPr>
          <w:p>
            <w:r/>
            <w:r>
              <w:rPr>
                <w:rFonts w:ascii="Aptos" w:hAnsi="Aptos"/>
                <w:b w:val="0"/>
                <w:color w:val="1F2937"/>
                <w:sz w:val="16"/>
              </w:rPr>
              <w:t>Validation</w:t>
            </w:r>
          </w:p>
        </w:tc>
        <w:tc>
          <w:tcPr>
            <w:tcW w:type="dxa" w:w="5040"/>
            <w:vAlign w:val="center"/>
            <w:shd w:fill="F7FAF8"/>
          </w:tcPr>
          <w:p>
            <w:r/>
            <w:r>
              <w:rPr>
                <w:rFonts w:ascii="Aptos" w:hAnsi="Aptos"/>
                <w:b w:val="0"/>
                <w:color w:val="1F2937"/>
                <w:sz w:val="16"/>
              </w:rPr>
              <w:t>Pydantic models</w:t>
            </w:r>
          </w:p>
        </w:tc>
      </w:tr>
      <w:tr>
        <w:tc>
          <w:tcPr>
            <w:tcW w:type="dxa" w:w="5040"/>
            <w:vAlign w:val="center"/>
          </w:tcPr>
          <w:p>
            <w:r/>
            <w:r>
              <w:rPr>
                <w:rFonts w:ascii="Aptos" w:hAnsi="Aptos"/>
                <w:b w:val="0"/>
                <w:color w:val="1F2937"/>
                <w:sz w:val="16"/>
              </w:rPr>
              <w:t>Execution</w:t>
            </w:r>
          </w:p>
        </w:tc>
        <w:tc>
          <w:tcPr>
            <w:tcW w:type="dxa" w:w="5040"/>
            <w:vAlign w:val="center"/>
          </w:tcPr>
          <w:p>
            <w:r/>
            <w:r>
              <w:rPr>
                <w:rFonts w:ascii="Aptos" w:hAnsi="Aptos"/>
                <w:b w:val="0"/>
                <w:color w:val="1F2937"/>
                <w:sz w:val="16"/>
              </w:rPr>
              <w:t>Synchronous for small operations; queue/orchestration via Laravel/Redis for long jobs</w:t>
            </w:r>
          </w:p>
        </w:tc>
      </w:tr>
    </w:tbl>
    <w:p/>
    <w:p>
      <w:pPr>
        <w:pStyle w:val="Heading1"/>
      </w:pPr>
      <w:r>
        <w:t>3. Service Endpoints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7803D"/>
            <w:vAlign w:val="center"/>
          </w:tcPr>
          <w:p>
            <w:r/>
            <w:r>
              <w:rPr>
                <w:rFonts w:ascii="Aptos" w:hAnsi="Aptos"/>
                <w:b/>
                <w:color w:val="FFFFFF"/>
                <w:sz w:val="17"/>
              </w:rPr>
              <w:t>ID</w:t>
            </w:r>
          </w:p>
        </w:tc>
        <w:tc>
          <w:tcPr>
            <w:tcW w:type="dxa" w:w="2520"/>
            <w:shd w:fill="17803D"/>
            <w:vAlign w:val="center"/>
          </w:tcPr>
          <w:p>
            <w:r/>
            <w:r>
              <w:rPr>
                <w:rFonts w:ascii="Aptos" w:hAnsi="Aptos"/>
                <w:b/>
                <w:color w:val="FFFFFF"/>
                <w:sz w:val="17"/>
              </w:rPr>
              <w:t>Method</w:t>
            </w:r>
          </w:p>
        </w:tc>
        <w:tc>
          <w:tcPr>
            <w:tcW w:type="dxa" w:w="2520"/>
            <w:shd w:fill="17803D"/>
            <w:vAlign w:val="center"/>
          </w:tcPr>
          <w:p>
            <w:r/>
            <w:r>
              <w:rPr>
                <w:rFonts w:ascii="Aptos" w:hAnsi="Aptos"/>
                <w:b/>
                <w:color w:val="FFFFFF"/>
                <w:sz w:val="17"/>
              </w:rPr>
              <w:t>Endpoint</w:t>
            </w:r>
          </w:p>
        </w:tc>
        <w:tc>
          <w:tcPr>
            <w:tcW w:type="dxa" w:w="2520"/>
            <w:shd w:fill="17803D"/>
            <w:vAlign w:val="center"/>
          </w:tcPr>
          <w:p>
            <w:r/>
            <w:r>
              <w:rPr>
                <w:rFonts w:ascii="Aptos" w:hAnsi="Aptos"/>
                <w:b/>
                <w:color w:val="FFFFFF"/>
                <w:sz w:val="17"/>
              </w:rPr>
              <w:t>Purpose</w:t>
            </w:r>
          </w:p>
        </w:tc>
      </w:tr>
      <w:tr>
        <w:tc>
          <w:tcPr>
            <w:tcW w:type="dxa" w:w="2520"/>
            <w:vAlign w:val="center"/>
          </w:tcPr>
          <w:p>
            <w:r/>
            <w:r>
              <w:rPr>
                <w:rFonts w:ascii="Aptos" w:hAnsi="Aptos"/>
                <w:b w:val="0"/>
                <w:color w:val="1F2937"/>
                <w:sz w:val="16"/>
              </w:rPr>
              <w:t>PY-API-001</w:t>
            </w:r>
          </w:p>
        </w:tc>
        <w:tc>
          <w:tcPr>
            <w:tcW w:type="dxa" w:w="2520"/>
            <w:vAlign w:val="center"/>
          </w:tcPr>
          <w:p>
            <w:r/>
            <w:r>
              <w:rPr>
                <w:rFonts w:ascii="Aptos" w:hAnsi="Aptos"/>
                <w:b w:val="0"/>
                <w:color w:val="1F2937"/>
                <w:sz w:val="16"/>
              </w:rPr>
              <w:t>GET</w:t>
            </w:r>
          </w:p>
        </w:tc>
        <w:tc>
          <w:tcPr>
            <w:tcW w:type="dxa" w:w="2520"/>
            <w:vAlign w:val="center"/>
          </w:tcPr>
          <w:p>
            <w:r/>
            <w:r>
              <w:rPr>
                <w:rFonts w:ascii="Aptos" w:hAnsi="Aptos"/>
                <w:b w:val="0"/>
                <w:color w:val="1F2937"/>
                <w:sz w:val="16"/>
              </w:rPr>
              <w:t>/health</w:t>
            </w:r>
          </w:p>
        </w:tc>
        <w:tc>
          <w:tcPr>
            <w:tcW w:type="dxa" w:w="2520"/>
            <w:vAlign w:val="center"/>
          </w:tcPr>
          <w:p>
            <w:r/>
            <w:r>
              <w:rPr>
                <w:rFonts w:ascii="Aptos" w:hAnsi="Aptos"/>
                <w:b w:val="0"/>
                <w:color w:val="1F2937"/>
                <w:sz w:val="16"/>
              </w:rPr>
              <w:t>Health/readiness information</w:t>
            </w:r>
          </w:p>
        </w:tc>
      </w:tr>
      <w:tr>
        <w:tc>
          <w:tcPr>
            <w:tcW w:type="dxa" w:w="2520"/>
            <w:vAlign w:val="center"/>
            <w:shd w:fill="F7FAF8"/>
          </w:tcPr>
          <w:p>
            <w:r/>
            <w:r>
              <w:rPr>
                <w:rFonts w:ascii="Aptos" w:hAnsi="Aptos"/>
                <w:b w:val="0"/>
                <w:color w:val="1F2937"/>
                <w:sz w:val="16"/>
              </w:rPr>
              <w:t>PY-API-002</w:t>
            </w:r>
          </w:p>
        </w:tc>
        <w:tc>
          <w:tcPr>
            <w:tcW w:type="dxa" w:w="2520"/>
            <w:vAlign w:val="center"/>
            <w:shd w:fill="F7FAF8"/>
          </w:tcPr>
          <w:p>
            <w:r/>
            <w:r>
              <w:rPr>
                <w:rFonts w:ascii="Aptos" w:hAnsi="Aptos"/>
                <w:b w:val="0"/>
                <w:color w:val="1F2937"/>
                <w:sz w:val="16"/>
              </w:rPr>
              <w:t>POST</w:t>
            </w:r>
          </w:p>
        </w:tc>
        <w:tc>
          <w:tcPr>
            <w:tcW w:type="dxa" w:w="2520"/>
            <w:vAlign w:val="center"/>
            <w:shd w:fill="F7FAF8"/>
          </w:tcPr>
          <w:p>
            <w:r/>
            <w:r>
              <w:rPr>
                <w:rFonts w:ascii="Aptos" w:hAnsi="Aptos"/>
                <w:b w:val="0"/>
                <w:color w:val="1F2937"/>
                <w:sz w:val="16"/>
              </w:rPr>
              <w:t>/v1/profile</w:t>
            </w:r>
          </w:p>
        </w:tc>
        <w:tc>
          <w:tcPr>
            <w:tcW w:type="dxa" w:w="2520"/>
            <w:vAlign w:val="center"/>
            <w:shd w:fill="F7FAF8"/>
          </w:tcPr>
          <w:p>
            <w:r/>
            <w:r>
              <w:rPr>
                <w:rFonts w:ascii="Aptos" w:hAnsi="Aptos"/>
                <w:b w:val="0"/>
                <w:color w:val="1F2937"/>
                <w:sz w:val="16"/>
              </w:rPr>
              <w:t>Profile a transient CSV dataset</w:t>
            </w:r>
          </w:p>
        </w:tc>
      </w:tr>
      <w:tr>
        <w:tc>
          <w:tcPr>
            <w:tcW w:type="dxa" w:w="2520"/>
            <w:vAlign w:val="center"/>
          </w:tcPr>
          <w:p>
            <w:r/>
            <w:r>
              <w:rPr>
                <w:rFonts w:ascii="Aptos" w:hAnsi="Aptos"/>
                <w:b w:val="0"/>
                <w:color w:val="1F2937"/>
                <w:sz w:val="16"/>
              </w:rPr>
              <w:t>PY-API-003</w:t>
            </w:r>
          </w:p>
        </w:tc>
        <w:tc>
          <w:tcPr>
            <w:tcW w:type="dxa" w:w="2520"/>
            <w:vAlign w:val="center"/>
          </w:tcPr>
          <w:p>
            <w:r/>
            <w:r>
              <w:rPr>
                <w:rFonts w:ascii="Aptos" w:hAnsi="Aptos"/>
                <w:b w:val="0"/>
                <w:color w:val="1F2937"/>
                <w:sz w:val="16"/>
              </w:rPr>
              <w:t>POST</w:t>
            </w:r>
          </w:p>
        </w:tc>
        <w:tc>
          <w:tcPr>
            <w:tcW w:type="dxa" w:w="2520"/>
            <w:vAlign w:val="center"/>
          </w:tcPr>
          <w:p>
            <w:r/>
            <w:r>
              <w:rPr>
                <w:rFonts w:ascii="Aptos" w:hAnsi="Aptos"/>
                <w:b w:val="0"/>
                <w:color w:val="1F2937"/>
                <w:sz w:val="16"/>
              </w:rPr>
              <w:t>/v1/validate</w:t>
            </w:r>
          </w:p>
        </w:tc>
        <w:tc>
          <w:tcPr>
            <w:tcW w:type="dxa" w:w="2520"/>
            <w:vAlign w:val="center"/>
          </w:tcPr>
          <w:p>
            <w:r/>
            <w:r>
              <w:rPr>
                <w:rFonts w:ascii="Aptos" w:hAnsi="Aptos"/>
                <w:b w:val="0"/>
                <w:color w:val="1F2937"/>
                <w:sz w:val="16"/>
              </w:rPr>
              <w:t>Structural/data-quality validation</w:t>
            </w:r>
          </w:p>
        </w:tc>
      </w:tr>
      <w:tr>
        <w:tc>
          <w:tcPr>
            <w:tcW w:type="dxa" w:w="2520"/>
            <w:vAlign w:val="center"/>
            <w:shd w:fill="F7FAF8"/>
          </w:tcPr>
          <w:p>
            <w:r/>
            <w:r>
              <w:rPr>
                <w:rFonts w:ascii="Aptos" w:hAnsi="Aptos"/>
                <w:b w:val="0"/>
                <w:color w:val="1F2937"/>
                <w:sz w:val="16"/>
              </w:rPr>
              <w:t>PY-API-004</w:t>
            </w:r>
          </w:p>
        </w:tc>
        <w:tc>
          <w:tcPr>
            <w:tcW w:type="dxa" w:w="2520"/>
            <w:vAlign w:val="center"/>
            <w:shd w:fill="F7FAF8"/>
          </w:tcPr>
          <w:p>
            <w:r/>
            <w:r>
              <w:rPr>
                <w:rFonts w:ascii="Aptos" w:hAnsi="Aptos"/>
                <w:b w:val="0"/>
                <w:color w:val="1F2937"/>
                <w:sz w:val="16"/>
              </w:rPr>
              <w:t>POST</w:t>
            </w:r>
          </w:p>
        </w:tc>
        <w:tc>
          <w:tcPr>
            <w:tcW w:type="dxa" w:w="2520"/>
            <w:vAlign w:val="center"/>
            <w:shd w:fill="F7FAF8"/>
          </w:tcPr>
          <w:p>
            <w:r/>
            <w:r>
              <w:rPr>
                <w:rFonts w:ascii="Aptos" w:hAnsi="Aptos"/>
                <w:b w:val="0"/>
                <w:color w:val="1F2937"/>
                <w:sz w:val="16"/>
              </w:rPr>
              <w:t>/v1/analyze</w:t>
            </w:r>
          </w:p>
        </w:tc>
        <w:tc>
          <w:tcPr>
            <w:tcW w:type="dxa" w:w="2520"/>
            <w:vAlign w:val="center"/>
            <w:shd w:fill="F7FAF8"/>
          </w:tcPr>
          <w:p>
            <w:r/>
            <w:r>
              <w:rPr>
                <w:rFonts w:ascii="Aptos" w:hAnsi="Aptos"/>
                <w:b w:val="0"/>
                <w:color w:val="1F2937"/>
                <w:sz w:val="16"/>
              </w:rPr>
              <w:t>Run deterministic statistical analysis</w:t>
            </w:r>
          </w:p>
        </w:tc>
      </w:tr>
      <w:tr>
        <w:tc>
          <w:tcPr>
            <w:tcW w:type="dxa" w:w="2520"/>
            <w:vAlign w:val="center"/>
          </w:tcPr>
          <w:p>
            <w:r/>
            <w:r>
              <w:rPr>
                <w:rFonts w:ascii="Aptos" w:hAnsi="Aptos"/>
                <w:b w:val="0"/>
                <w:color w:val="1F2937"/>
                <w:sz w:val="16"/>
              </w:rPr>
              <w:t>PY-API-005</w:t>
            </w:r>
          </w:p>
        </w:tc>
        <w:tc>
          <w:tcPr>
            <w:tcW w:type="dxa" w:w="2520"/>
            <w:vAlign w:val="center"/>
          </w:tcPr>
          <w:p>
            <w:r/>
            <w:r>
              <w:rPr>
                <w:rFonts w:ascii="Aptos" w:hAnsi="Aptos"/>
                <w:b w:val="0"/>
                <w:color w:val="1F2937"/>
                <w:sz w:val="16"/>
              </w:rPr>
              <w:t>POST</w:t>
            </w:r>
          </w:p>
        </w:tc>
        <w:tc>
          <w:tcPr>
            <w:tcW w:type="dxa" w:w="2520"/>
            <w:vAlign w:val="center"/>
          </w:tcPr>
          <w:p>
            <w:r/>
            <w:r>
              <w:rPr>
                <w:rFonts w:ascii="Aptos" w:hAnsi="Aptos"/>
                <w:b w:val="0"/>
                <w:color w:val="1F2937"/>
                <w:sz w:val="16"/>
              </w:rPr>
              <w:t>/v1/insights</w:t>
            </w:r>
          </w:p>
        </w:tc>
        <w:tc>
          <w:tcPr>
            <w:tcW w:type="dxa" w:w="2520"/>
            <w:vAlign w:val="center"/>
          </w:tcPr>
          <w:p>
            <w:r/>
            <w:r>
              <w:rPr>
                <w:rFonts w:ascii="Aptos" w:hAnsi="Aptos"/>
                <w:b w:val="0"/>
                <w:color w:val="1F2937"/>
                <w:sz w:val="16"/>
              </w:rPr>
              <w:t>Detect/rank candidate insights from derived results</w:t>
            </w:r>
          </w:p>
        </w:tc>
      </w:tr>
      <w:tr>
        <w:tc>
          <w:tcPr>
            <w:tcW w:type="dxa" w:w="2520"/>
            <w:vAlign w:val="center"/>
            <w:shd w:fill="F7FAF8"/>
          </w:tcPr>
          <w:p>
            <w:r/>
            <w:r>
              <w:rPr>
                <w:rFonts w:ascii="Aptos" w:hAnsi="Aptos"/>
                <w:b w:val="0"/>
                <w:color w:val="1F2937"/>
                <w:sz w:val="16"/>
              </w:rPr>
              <w:t>PY-API-006</w:t>
            </w:r>
          </w:p>
        </w:tc>
        <w:tc>
          <w:tcPr>
            <w:tcW w:type="dxa" w:w="2520"/>
            <w:vAlign w:val="center"/>
            <w:shd w:fill="F7FAF8"/>
          </w:tcPr>
          <w:p>
            <w:r/>
            <w:r>
              <w:rPr>
                <w:rFonts w:ascii="Aptos" w:hAnsi="Aptos"/>
                <w:b w:val="0"/>
                <w:color w:val="1F2937"/>
                <w:sz w:val="16"/>
              </w:rPr>
              <w:t>POST</w:t>
            </w:r>
          </w:p>
        </w:tc>
        <w:tc>
          <w:tcPr>
            <w:tcW w:type="dxa" w:w="2520"/>
            <w:vAlign w:val="center"/>
            <w:shd w:fill="F7FAF8"/>
          </w:tcPr>
          <w:p>
            <w:r/>
            <w:r>
              <w:rPr>
                <w:rFonts w:ascii="Aptos" w:hAnsi="Aptos"/>
                <w:b w:val="0"/>
                <w:color w:val="1F2937"/>
                <w:sz w:val="16"/>
              </w:rPr>
              <w:t>/v1/visualizations/recommend</w:t>
            </w:r>
          </w:p>
        </w:tc>
        <w:tc>
          <w:tcPr>
            <w:tcW w:type="dxa" w:w="2520"/>
            <w:vAlign w:val="center"/>
            <w:shd w:fill="F7FAF8"/>
          </w:tcPr>
          <w:p>
            <w:r/>
            <w:r>
              <w:rPr>
                <w:rFonts w:ascii="Aptos" w:hAnsi="Aptos"/>
                <w:b w:val="0"/>
                <w:color w:val="1F2937"/>
                <w:sz w:val="16"/>
              </w:rPr>
              <w:t>Recommend visualization specifications</w:t>
            </w:r>
          </w:p>
        </w:tc>
      </w:tr>
    </w:tbl>
    <w:p/>
    <w:p>
      <w:pPr>
        <w:pStyle w:val="Heading1"/>
      </w:pPr>
      <w:r>
        <w:t>4. Health Contract</w:t>
      </w:r>
    </w:p>
    <w:p>
      <w:pPr>
        <w:pStyle w:val="NoSpacing"/>
        <w:spacing w:after="160"/>
        <w:ind w:left="360" w:right="216"/>
      </w:pPr>
      <w:r>
        <w:rPr>
          <w:rFonts w:ascii="Consolas" w:hAnsi="Consolas"/>
          <w:sz w:val="17"/>
        </w:rPr>
        <w:t>GET /health</w:t>
        <w:br/>
        <w:t>200 OK</w:t>
        <w:br/>
        <w:t>{"status":"ok","service":"dataspeak-analytics","version":"1.0"}</w:t>
      </w:r>
    </w:p>
    <w:p>
      <w:pPr>
        <w:pStyle w:val="Heading1"/>
      </w:pPr>
      <w:r>
        <w:t>5. Dataset Input Contract</w:t>
      </w:r>
    </w:p>
    <w:p>
      <w:r>
        <w:t>For production, Laravel should provide the dataset to FastAPI through a controlled internal transfer such as a transient multipart upload or short-lived internal file/stream mechanism. The service processes rows in memory/temporary storage and removes temporary artifacts after completion.</w:t>
      </w:r>
    </w:p>
    <w:tbl>
      <w:tblPr>
        <w:tblStyle w:val="TableGrid"/>
        <w:tblW w:type="auto" w:w="0"/>
        <w:jc w:val="center"/>
        <w:tblLook w:firstColumn="1" w:firstRow="1" w:lastColumn="0" w:lastRow="0" w:noHBand="0" w:noVBand="1" w:val="04A0"/>
      </w:tblPr>
      <w:tblGrid>
        <w:gridCol w:w="5040"/>
        <w:gridCol w:w="5040"/>
      </w:tblGrid>
      <w:tr>
        <w:tc>
          <w:tcPr>
            <w:tcW w:type="dxa" w:w="5040"/>
            <w:shd w:fill="17803D"/>
            <w:vAlign w:val="center"/>
          </w:tcPr>
          <w:p>
            <w:r/>
            <w:r>
              <w:rPr>
                <w:rFonts w:ascii="Aptos" w:hAnsi="Aptos"/>
                <w:b/>
                <w:color w:val="FFFFFF"/>
                <w:sz w:val="17"/>
              </w:rPr>
              <w:t>Input</w:t>
            </w:r>
          </w:p>
        </w:tc>
        <w:tc>
          <w:tcPr>
            <w:tcW w:type="dxa" w:w="5040"/>
            <w:shd w:fill="17803D"/>
            <w:vAlign w:val="center"/>
          </w:tcPr>
          <w:p>
            <w:r/>
            <w:r>
              <w:rPr>
                <w:rFonts w:ascii="Aptos" w:hAnsi="Aptos"/>
                <w:b/>
                <w:color w:val="FFFFFF"/>
                <w:sz w:val="17"/>
              </w:rPr>
              <w:t>Description</w:t>
            </w:r>
          </w:p>
        </w:tc>
      </w:tr>
      <w:tr>
        <w:tc>
          <w:tcPr>
            <w:tcW w:type="dxa" w:w="5040"/>
            <w:vAlign w:val="center"/>
          </w:tcPr>
          <w:p>
            <w:r/>
            <w:r>
              <w:rPr>
                <w:rFonts w:ascii="Aptos" w:hAnsi="Aptos"/>
                <w:b w:val="0"/>
                <w:color w:val="1F2937"/>
                <w:sz w:val="16"/>
              </w:rPr>
              <w:t>analysis_id</w:t>
            </w:r>
          </w:p>
        </w:tc>
        <w:tc>
          <w:tcPr>
            <w:tcW w:type="dxa" w:w="5040"/>
            <w:vAlign w:val="center"/>
          </w:tcPr>
          <w:p>
            <w:r/>
            <w:r>
              <w:rPr>
                <w:rFonts w:ascii="Aptos" w:hAnsi="Aptos"/>
                <w:b w:val="0"/>
                <w:color w:val="1F2937"/>
                <w:sz w:val="16"/>
              </w:rPr>
              <w:t>Correlation identifier; not authorization by itself</w:t>
            </w:r>
          </w:p>
        </w:tc>
      </w:tr>
      <w:tr>
        <w:tc>
          <w:tcPr>
            <w:tcW w:type="dxa" w:w="5040"/>
            <w:vAlign w:val="center"/>
            <w:shd w:fill="F7FAF8"/>
          </w:tcPr>
          <w:p>
            <w:r/>
            <w:r>
              <w:rPr>
                <w:rFonts w:ascii="Aptos" w:hAnsi="Aptos"/>
                <w:b w:val="0"/>
                <w:color w:val="1F2937"/>
                <w:sz w:val="16"/>
              </w:rPr>
              <w:t>file</w:t>
            </w:r>
          </w:p>
        </w:tc>
        <w:tc>
          <w:tcPr>
            <w:tcW w:type="dxa" w:w="5040"/>
            <w:vAlign w:val="center"/>
            <w:shd w:fill="F7FAF8"/>
          </w:tcPr>
          <w:p>
            <w:r/>
            <w:r>
              <w:rPr>
                <w:rFonts w:ascii="Aptos" w:hAnsi="Aptos"/>
                <w:b w:val="0"/>
                <w:color w:val="1F2937"/>
                <w:sz w:val="16"/>
              </w:rPr>
              <w:t>Transient CSV payload/reference</w:t>
            </w:r>
          </w:p>
        </w:tc>
      </w:tr>
      <w:tr>
        <w:tc>
          <w:tcPr>
            <w:tcW w:type="dxa" w:w="5040"/>
            <w:vAlign w:val="center"/>
          </w:tcPr>
          <w:p>
            <w:r/>
            <w:r>
              <w:rPr>
                <w:rFonts w:ascii="Aptos" w:hAnsi="Aptos"/>
                <w:b w:val="0"/>
                <w:color w:val="1F2937"/>
                <w:sz w:val="16"/>
              </w:rPr>
              <w:t>definitions</w:t>
            </w:r>
          </w:p>
        </w:tc>
        <w:tc>
          <w:tcPr>
            <w:tcW w:type="dxa" w:w="5040"/>
            <w:vAlign w:val="center"/>
          </w:tcPr>
          <w:p>
            <w:r/>
            <w:r>
              <w:rPr>
                <w:rFonts w:ascii="Aptos" w:hAnsi="Aptos"/>
                <w:b w:val="0"/>
                <w:color w:val="1F2937"/>
                <w:sz w:val="16"/>
              </w:rPr>
              <w:t>Optional business/semantic field definitions</w:t>
            </w:r>
          </w:p>
        </w:tc>
      </w:tr>
      <w:tr>
        <w:tc>
          <w:tcPr>
            <w:tcW w:type="dxa" w:w="5040"/>
            <w:vAlign w:val="center"/>
            <w:shd w:fill="F7FAF8"/>
          </w:tcPr>
          <w:p>
            <w:r/>
            <w:r>
              <w:rPr>
                <w:rFonts w:ascii="Aptos" w:hAnsi="Aptos"/>
                <w:b w:val="0"/>
                <w:color w:val="1F2937"/>
                <w:sz w:val="16"/>
              </w:rPr>
              <w:t>options</w:t>
            </w:r>
          </w:p>
        </w:tc>
        <w:tc>
          <w:tcPr>
            <w:tcW w:type="dxa" w:w="5040"/>
            <w:vAlign w:val="center"/>
            <w:shd w:fill="F7FAF8"/>
          </w:tcPr>
          <w:p>
            <w:r/>
            <w:r>
              <w:rPr>
                <w:rFonts w:ascii="Aptos" w:hAnsi="Aptos"/>
                <w:b w:val="0"/>
                <w:color w:val="1F2937"/>
                <w:sz w:val="16"/>
              </w:rPr>
              <w:t>Approved analysis configuration</w:t>
            </w:r>
          </w:p>
        </w:tc>
      </w:tr>
    </w:tbl>
    <w:p/>
    <w:p>
      <w:pPr>
        <w:pStyle w:val="Heading1"/>
      </w:pPr>
      <w:r>
        <w:t>6. Validation API</w:t>
      </w:r>
    </w:p>
    <w:p>
      <w:pPr>
        <w:pStyle w:val="NoSpacing"/>
        <w:spacing w:after="160"/>
        <w:ind w:left="360" w:right="216"/>
      </w:pPr>
      <w:r>
        <w:rPr>
          <w:rFonts w:ascii="Consolas" w:hAnsi="Consolas"/>
          <w:sz w:val="17"/>
        </w:rPr>
        <w:t>POST /v1/validate</w:t>
        <w:br/>
        <w:t>multipart: file=&lt;csv&gt;</w:t>
        <w:br/>
        <w:t>metadata={"analysis_id":"..."}</w:t>
      </w:r>
    </w:p>
    <w:p>
      <w:pPr>
        <w:pStyle w:val="NoSpacing"/>
        <w:spacing w:after="160"/>
        <w:ind w:left="360" w:right="216"/>
      </w:pPr>
      <w:r>
        <w:rPr>
          <w:rFonts w:ascii="Consolas" w:hAnsi="Consolas"/>
          <w:sz w:val="17"/>
        </w:rPr>
        <w:t>{</w:t>
        <w:br/>
        <w:t xml:space="preserve">  "valid": true,</w:t>
        <w:br/>
        <w:t xml:space="preserve">  "row_count": 12450,</w:t>
        <w:br/>
        <w:t xml:space="preserve">  "column_count": 8,</w:t>
        <w:br/>
        <w:t xml:space="preserve">  "warnings": [],</w:t>
        <w:br/>
        <w:t xml:space="preserve">  "errors": []</w:t>
        <w:br/>
        <w:t>}</w:t>
      </w:r>
    </w:p>
    <w:p>
      <w:pPr>
        <w:pStyle w:val="Heading1"/>
      </w:pPr>
      <w:r>
        <w:t>7. Profiling API</w:t>
      </w:r>
    </w:p>
    <w:p>
      <w:r>
        <w:t>Profiling produces derived metadata only: row/column counts, inferred data types, null/completeness metrics, distinct counts, selected distribution summaries, and quality warnings. Raw row samples should not be returned unless explicitly required by a future approved design.</w:t>
      </w:r>
    </w:p>
    <w:p>
      <w:pPr>
        <w:pStyle w:val="NoSpacing"/>
        <w:spacing w:after="160"/>
        <w:ind w:left="360" w:right="216"/>
      </w:pPr>
      <w:r>
        <w:rPr>
          <w:rFonts w:ascii="Consolas" w:hAnsi="Consolas"/>
          <w:sz w:val="17"/>
        </w:rPr>
        <w:t>{</w:t>
        <w:br/>
        <w:t xml:space="preserve">  "dataset": {"rows":12450,"columns":8,"completeness":0.981},</w:t>
        <w:br/>
        <w:t xml:space="preserve">  "columns": [</w:t>
        <w:br/>
        <w:t xml:space="preserve">    {"name":"revenue_thb","inferred_type":"numeric","null_rate":0.004,"distinct_count":8120}</w:t>
        <w:br/>
        <w:t xml:space="preserve">  ],</w:t>
        <w:br/>
        <w:t xml:space="preserve">  "quality_findings": []</w:t>
        <w:br/>
        <w:t>}</w:t>
      </w:r>
    </w:p>
    <w:p>
      <w:pPr>
        <w:pStyle w:val="Heading1"/>
      </w:pPr>
      <w:r>
        <w:t>8. Deterministic Analysis API</w:t>
      </w:r>
    </w:p>
    <w:p>
      <w:r>
        <w:t>The analysis engine chooses methods based on data type, semantic definition, sample characteristics, and approved analysis rules. The exact method used must be recorded in evidence metadata so that findings are reproducible.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803D"/>
            <w:vAlign w:val="center"/>
          </w:tcPr>
          <w:p>
            <w:r/>
            <w:r>
              <w:rPr>
                <w:rFonts w:ascii="Aptos" w:hAnsi="Aptos"/>
                <w:b/>
                <w:color w:val="FFFFFF"/>
                <w:sz w:val="17"/>
              </w:rPr>
              <w:t>Analysis Family</w:t>
            </w:r>
          </w:p>
        </w:tc>
        <w:tc>
          <w:tcPr>
            <w:tcW w:type="dxa" w:w="3360"/>
            <w:shd w:fill="17803D"/>
            <w:vAlign w:val="center"/>
          </w:tcPr>
          <w:p>
            <w:r/>
            <w:r>
              <w:rPr>
                <w:rFonts w:ascii="Aptos" w:hAnsi="Aptos"/>
                <w:b/>
                <w:color w:val="FFFFFF"/>
                <w:sz w:val="17"/>
              </w:rPr>
              <w:t>Examples</w:t>
            </w:r>
          </w:p>
        </w:tc>
        <w:tc>
          <w:tcPr>
            <w:tcW w:type="dxa" w:w="3360"/>
            <w:shd w:fill="17803D"/>
            <w:vAlign w:val="center"/>
          </w:tcPr>
          <w:p>
            <w:r/>
            <w:r>
              <w:rPr>
                <w:rFonts w:ascii="Aptos" w:hAnsi="Aptos"/>
                <w:b/>
                <w:color w:val="FFFFFF"/>
                <w:sz w:val="17"/>
              </w:rPr>
              <w:t>Output</w:t>
            </w:r>
          </w:p>
        </w:tc>
      </w:tr>
      <w:tr>
        <w:tc>
          <w:tcPr>
            <w:tcW w:type="dxa" w:w="3360"/>
            <w:vAlign w:val="center"/>
          </w:tcPr>
          <w:p>
            <w:r/>
            <w:r>
              <w:rPr>
                <w:rFonts w:ascii="Aptos" w:hAnsi="Aptos"/>
                <w:b w:val="0"/>
                <w:color w:val="1F2937"/>
                <w:sz w:val="16"/>
              </w:rPr>
              <w:t>Descriptive</w:t>
            </w:r>
          </w:p>
        </w:tc>
        <w:tc>
          <w:tcPr>
            <w:tcW w:type="dxa" w:w="3360"/>
            <w:vAlign w:val="center"/>
          </w:tcPr>
          <w:p>
            <w:r/>
            <w:r>
              <w:rPr>
                <w:rFonts w:ascii="Aptos" w:hAnsi="Aptos"/>
                <w:b w:val="0"/>
                <w:color w:val="1F2937"/>
                <w:sz w:val="16"/>
              </w:rPr>
              <w:t>count, mean, median, min/max, percentiles</w:t>
            </w:r>
          </w:p>
        </w:tc>
        <w:tc>
          <w:tcPr>
            <w:tcW w:type="dxa" w:w="3360"/>
            <w:vAlign w:val="center"/>
          </w:tcPr>
          <w:p>
            <w:r/>
            <w:r>
              <w:rPr>
                <w:rFonts w:ascii="Aptos" w:hAnsi="Aptos"/>
                <w:b w:val="0"/>
                <w:color w:val="1F2937"/>
                <w:sz w:val="16"/>
              </w:rPr>
              <w:t>Evidence metrics</w:t>
            </w:r>
          </w:p>
        </w:tc>
      </w:tr>
      <w:tr>
        <w:tc>
          <w:tcPr>
            <w:tcW w:type="dxa" w:w="3360"/>
            <w:vAlign w:val="center"/>
            <w:shd w:fill="F7FAF8"/>
          </w:tcPr>
          <w:p>
            <w:r/>
            <w:r>
              <w:rPr>
                <w:rFonts w:ascii="Aptos" w:hAnsi="Aptos"/>
                <w:b w:val="0"/>
                <w:color w:val="1F2937"/>
                <w:sz w:val="16"/>
              </w:rPr>
              <w:t>Trend</w:t>
            </w:r>
          </w:p>
        </w:tc>
        <w:tc>
          <w:tcPr>
            <w:tcW w:type="dxa" w:w="3360"/>
            <w:vAlign w:val="center"/>
            <w:shd w:fill="F7FAF8"/>
          </w:tcPr>
          <w:p>
            <w:r/>
            <w:r>
              <w:rPr>
                <w:rFonts w:ascii="Aptos" w:hAnsi="Aptos"/>
                <w:b w:val="0"/>
                <w:color w:val="1F2937"/>
                <w:sz w:val="16"/>
              </w:rPr>
              <w:t>period aggregation, change rate, trend slope</w:t>
            </w:r>
          </w:p>
        </w:tc>
        <w:tc>
          <w:tcPr>
            <w:tcW w:type="dxa" w:w="3360"/>
            <w:vAlign w:val="center"/>
            <w:shd w:fill="F7FAF8"/>
          </w:tcPr>
          <w:p>
            <w:r/>
            <w:r>
              <w:rPr>
                <w:rFonts w:ascii="Aptos" w:hAnsi="Aptos"/>
                <w:b w:val="0"/>
                <w:color w:val="1F2937"/>
                <w:sz w:val="16"/>
              </w:rPr>
              <w:t>Time-based evidence</w:t>
            </w:r>
          </w:p>
        </w:tc>
      </w:tr>
      <w:tr>
        <w:tc>
          <w:tcPr>
            <w:tcW w:type="dxa" w:w="3360"/>
            <w:vAlign w:val="center"/>
          </w:tcPr>
          <w:p>
            <w:r/>
            <w:r>
              <w:rPr>
                <w:rFonts w:ascii="Aptos" w:hAnsi="Aptos"/>
                <w:b w:val="0"/>
                <w:color w:val="1F2937"/>
                <w:sz w:val="16"/>
              </w:rPr>
              <w:t>Group comparison</w:t>
            </w:r>
          </w:p>
        </w:tc>
        <w:tc>
          <w:tcPr>
            <w:tcW w:type="dxa" w:w="3360"/>
            <w:vAlign w:val="center"/>
          </w:tcPr>
          <w:p>
            <w:r/>
            <w:r>
              <w:rPr>
                <w:rFonts w:ascii="Aptos" w:hAnsi="Aptos"/>
                <w:b w:val="0"/>
                <w:color w:val="1F2937"/>
                <w:sz w:val="16"/>
              </w:rPr>
              <w:t>category totals/means, differences</w:t>
            </w:r>
          </w:p>
        </w:tc>
        <w:tc>
          <w:tcPr>
            <w:tcW w:type="dxa" w:w="3360"/>
            <w:vAlign w:val="center"/>
          </w:tcPr>
          <w:p>
            <w:r/>
            <w:r>
              <w:rPr>
                <w:rFonts w:ascii="Aptos" w:hAnsi="Aptos"/>
                <w:b w:val="0"/>
                <w:color w:val="1F2937"/>
                <w:sz w:val="16"/>
              </w:rPr>
              <w:t>Comparative evidence</w:t>
            </w:r>
          </w:p>
        </w:tc>
      </w:tr>
      <w:tr>
        <w:tc>
          <w:tcPr>
            <w:tcW w:type="dxa" w:w="3360"/>
            <w:vAlign w:val="center"/>
            <w:shd w:fill="F7FAF8"/>
          </w:tcPr>
          <w:p>
            <w:r/>
            <w:r>
              <w:rPr>
                <w:rFonts w:ascii="Aptos" w:hAnsi="Aptos"/>
                <w:b w:val="0"/>
                <w:color w:val="1F2937"/>
                <w:sz w:val="16"/>
              </w:rPr>
              <w:t>Association</w:t>
            </w:r>
          </w:p>
        </w:tc>
        <w:tc>
          <w:tcPr>
            <w:tcW w:type="dxa" w:w="3360"/>
            <w:vAlign w:val="center"/>
            <w:shd w:fill="F7FAF8"/>
          </w:tcPr>
          <w:p>
            <w:r/>
            <w:r>
              <w:rPr>
                <w:rFonts w:ascii="Aptos" w:hAnsi="Aptos"/>
                <w:b w:val="0"/>
                <w:color w:val="1F2937"/>
                <w:sz w:val="16"/>
              </w:rPr>
              <w:t>correlation or suitable association tests</w:t>
            </w:r>
          </w:p>
        </w:tc>
        <w:tc>
          <w:tcPr>
            <w:tcW w:type="dxa" w:w="3360"/>
            <w:vAlign w:val="center"/>
            <w:shd w:fill="F7FAF8"/>
          </w:tcPr>
          <w:p>
            <w:r/>
            <w:r>
              <w:rPr>
                <w:rFonts w:ascii="Aptos" w:hAnsi="Aptos"/>
                <w:b w:val="0"/>
                <w:color w:val="1F2937"/>
                <w:sz w:val="16"/>
              </w:rPr>
              <w:t>Association evidence</w:t>
            </w:r>
          </w:p>
        </w:tc>
      </w:tr>
      <w:tr>
        <w:tc>
          <w:tcPr>
            <w:tcW w:type="dxa" w:w="3360"/>
            <w:vAlign w:val="center"/>
          </w:tcPr>
          <w:p>
            <w:r/>
            <w:r>
              <w:rPr>
                <w:rFonts w:ascii="Aptos" w:hAnsi="Aptos"/>
                <w:b w:val="0"/>
                <w:color w:val="1F2937"/>
                <w:sz w:val="16"/>
              </w:rPr>
              <w:t>Statistical tests</w:t>
            </w:r>
          </w:p>
        </w:tc>
        <w:tc>
          <w:tcPr>
            <w:tcW w:type="dxa" w:w="3360"/>
            <w:vAlign w:val="center"/>
          </w:tcPr>
          <w:p>
            <w:r/>
            <w:r>
              <w:rPr>
                <w:rFonts w:ascii="Aptos" w:hAnsi="Aptos"/>
                <w:b w:val="0"/>
                <w:color w:val="1F2937"/>
                <w:sz w:val="16"/>
              </w:rPr>
              <w:t>Method chosen only when assumptions/data support it</w:t>
            </w:r>
          </w:p>
        </w:tc>
        <w:tc>
          <w:tcPr>
            <w:tcW w:type="dxa" w:w="3360"/>
            <w:vAlign w:val="center"/>
          </w:tcPr>
          <w:p>
            <w:r/>
            <w:r>
              <w:rPr>
                <w:rFonts w:ascii="Aptos" w:hAnsi="Aptos"/>
                <w:b w:val="0"/>
                <w:color w:val="1F2937"/>
                <w:sz w:val="16"/>
              </w:rPr>
              <w:t>Test statistic/p-value/effect where appropriate</w:t>
            </w:r>
          </w:p>
        </w:tc>
      </w:tr>
      <w:tr>
        <w:tc>
          <w:tcPr>
            <w:tcW w:type="dxa" w:w="3360"/>
            <w:vAlign w:val="center"/>
            <w:shd w:fill="F7FAF8"/>
          </w:tcPr>
          <w:p>
            <w:r/>
            <w:r>
              <w:rPr>
                <w:rFonts w:ascii="Aptos" w:hAnsi="Aptos"/>
                <w:b w:val="0"/>
                <w:color w:val="1F2937"/>
                <w:sz w:val="16"/>
              </w:rPr>
              <w:t>Quality</w:t>
            </w:r>
          </w:p>
        </w:tc>
        <w:tc>
          <w:tcPr>
            <w:tcW w:type="dxa" w:w="3360"/>
            <w:vAlign w:val="center"/>
            <w:shd w:fill="F7FAF8"/>
          </w:tcPr>
          <w:p>
            <w:r/>
            <w:r>
              <w:rPr>
                <w:rFonts w:ascii="Aptos" w:hAnsi="Aptos"/>
                <w:b w:val="0"/>
                <w:color w:val="1F2937"/>
                <w:sz w:val="16"/>
              </w:rPr>
              <w:t>missingness, uniqueness, anomalies</w:t>
            </w:r>
          </w:p>
        </w:tc>
        <w:tc>
          <w:tcPr>
            <w:tcW w:type="dxa" w:w="3360"/>
            <w:vAlign w:val="center"/>
            <w:shd w:fill="F7FAF8"/>
          </w:tcPr>
          <w:p>
            <w:r/>
            <w:r>
              <w:rPr>
                <w:rFonts w:ascii="Aptos" w:hAnsi="Aptos"/>
                <w:b w:val="0"/>
                <w:color w:val="1F2937"/>
                <w:sz w:val="16"/>
              </w:rPr>
              <w:t>Quality evidence</w:t>
            </w:r>
          </w:p>
        </w:tc>
      </w:tr>
    </w:tbl>
    <w:p/>
    <w:p>
      <w:pPr>
        <w:pStyle w:val="Heading1"/>
      </w:pPr>
      <w:r>
        <w:t>9. Evidence Model</w:t>
      </w:r>
    </w:p>
    <w:p>
      <w:pPr>
        <w:pStyle w:val="NoSpacing"/>
        <w:spacing w:after="160"/>
        <w:ind w:left="360" w:right="216"/>
      </w:pPr>
      <w:r>
        <w:rPr>
          <w:rFonts w:ascii="Consolas" w:hAnsi="Consolas"/>
          <w:sz w:val="17"/>
        </w:rPr>
        <w:t>{</w:t>
        <w:br/>
        <w:t xml:space="preserve">  "evidence_id": "ev_...",</w:t>
        <w:br/>
        <w:t xml:space="preserve">  "metric": "monthly_growth_rate",</w:t>
        <w:br/>
        <w:t xml:space="preserve">  "value": 0.031,</w:t>
        <w:br/>
        <w:t xml:space="preserve">  "display_value": "+3.1%",</w:t>
        <w:br/>
        <w:t xml:space="preserve">  "method": "period_over_period_growth",</w:t>
        <w:br/>
        <w:t xml:space="preserve">  "source_columns": ["order_date","revenue_thb"],</w:t>
        <w:br/>
        <w:t xml:space="preserve">  "parameters": {"period":"month"},</w:t>
        <w:br/>
        <w:t xml:space="preserve">  "quality": {"status":"acceptable"}</w:t>
        <w:br/>
        <w:t>}</w:t>
      </w:r>
    </w:p>
    <w:p>
      <w:pPr>
        <w:pStyle w:val="Heading1"/>
      </w:pPr>
      <w:r>
        <w:t>10. Insight Detection and Ranking</w:t>
      </w:r>
    </w:p>
    <w:p>
      <w:r>
        <w:t>Insight detection consumes deterministic evidence and identifies noteworthy patterns using explicit rules/thresholds. Ranking may consider magnitude, statistical support, business relevance metadata, data quality, and redundancy. The ranking process must not turn descriptive association into unsupported causation.</w:t>
      </w:r>
    </w:p>
    <w:tbl>
      <w:tblPr>
        <w:tblStyle w:val="TableGrid"/>
        <w:tblW w:type="auto" w:w="0"/>
        <w:jc w:val="center"/>
        <w:tblLook w:firstColumn="1" w:firstRow="1" w:lastColumn="0" w:lastRow="0" w:noHBand="0" w:noVBand="1" w:val="04A0"/>
      </w:tblPr>
      <w:tblGrid>
        <w:gridCol w:w="5040"/>
        <w:gridCol w:w="5040"/>
      </w:tblGrid>
      <w:tr>
        <w:tc>
          <w:tcPr>
            <w:tcW w:type="dxa" w:w="5040"/>
            <w:shd w:fill="17803D"/>
            <w:vAlign w:val="center"/>
          </w:tcPr>
          <w:p>
            <w:r/>
            <w:r>
              <w:rPr>
                <w:rFonts w:ascii="Aptos" w:hAnsi="Aptos"/>
                <w:b/>
                <w:color w:val="FFFFFF"/>
                <w:sz w:val="17"/>
              </w:rPr>
              <w:t>Rule</w:t>
            </w:r>
          </w:p>
        </w:tc>
        <w:tc>
          <w:tcPr>
            <w:tcW w:type="dxa" w:w="5040"/>
            <w:shd w:fill="17803D"/>
            <w:vAlign w:val="center"/>
          </w:tcPr>
          <w:p>
            <w:r/>
            <w:r>
              <w:rPr>
                <w:rFonts w:ascii="Aptos" w:hAnsi="Aptos"/>
                <w:b/>
                <w:color w:val="FFFFFF"/>
                <w:sz w:val="17"/>
              </w:rPr>
              <w:t>Requirement</w:t>
            </w:r>
          </w:p>
        </w:tc>
      </w:tr>
      <w:tr>
        <w:tc>
          <w:tcPr>
            <w:tcW w:type="dxa" w:w="5040"/>
            <w:vAlign w:val="center"/>
          </w:tcPr>
          <w:p>
            <w:r/>
            <w:r>
              <w:rPr>
                <w:rFonts w:ascii="Aptos" w:hAnsi="Aptos"/>
                <w:b w:val="0"/>
                <w:color w:val="1F2937"/>
                <w:sz w:val="16"/>
              </w:rPr>
              <w:t>Traceable</w:t>
            </w:r>
          </w:p>
        </w:tc>
        <w:tc>
          <w:tcPr>
            <w:tcW w:type="dxa" w:w="5040"/>
            <w:vAlign w:val="center"/>
          </w:tcPr>
          <w:p>
            <w:r/>
            <w:r>
              <w:rPr>
                <w:rFonts w:ascii="Aptos" w:hAnsi="Aptos"/>
                <w:b w:val="0"/>
                <w:color w:val="1F2937"/>
                <w:sz w:val="16"/>
              </w:rPr>
              <w:t>Every insight references evidence IDs</w:t>
            </w:r>
          </w:p>
        </w:tc>
      </w:tr>
      <w:tr>
        <w:tc>
          <w:tcPr>
            <w:tcW w:type="dxa" w:w="5040"/>
            <w:vAlign w:val="center"/>
            <w:shd w:fill="F7FAF8"/>
          </w:tcPr>
          <w:p>
            <w:r/>
            <w:r>
              <w:rPr>
                <w:rFonts w:ascii="Aptos" w:hAnsi="Aptos"/>
                <w:b w:val="0"/>
                <w:color w:val="1F2937"/>
                <w:sz w:val="16"/>
              </w:rPr>
              <w:t>Deterministic</w:t>
            </w:r>
          </w:p>
        </w:tc>
        <w:tc>
          <w:tcPr>
            <w:tcW w:type="dxa" w:w="5040"/>
            <w:vAlign w:val="center"/>
            <w:shd w:fill="F7FAF8"/>
          </w:tcPr>
          <w:p>
            <w:r/>
            <w:r>
              <w:rPr>
                <w:rFonts w:ascii="Aptos" w:hAnsi="Aptos"/>
                <w:b w:val="0"/>
                <w:color w:val="1F2937"/>
                <w:sz w:val="16"/>
              </w:rPr>
              <w:t>Same approved inputs/configuration should reproduce the same numerical evidence</w:t>
            </w:r>
          </w:p>
        </w:tc>
      </w:tr>
      <w:tr>
        <w:tc>
          <w:tcPr>
            <w:tcW w:type="dxa" w:w="5040"/>
            <w:vAlign w:val="center"/>
          </w:tcPr>
          <w:p>
            <w:r/>
            <w:r>
              <w:rPr>
                <w:rFonts w:ascii="Aptos" w:hAnsi="Aptos"/>
                <w:b w:val="0"/>
                <w:color w:val="1F2937"/>
                <w:sz w:val="16"/>
              </w:rPr>
              <w:t>Quality-aware</w:t>
            </w:r>
          </w:p>
        </w:tc>
        <w:tc>
          <w:tcPr>
            <w:tcW w:type="dxa" w:w="5040"/>
            <w:vAlign w:val="center"/>
          </w:tcPr>
          <w:p>
            <w:r/>
            <w:r>
              <w:rPr>
                <w:rFonts w:ascii="Aptos" w:hAnsi="Aptos"/>
                <w:b w:val="0"/>
                <w:color w:val="1F2937"/>
                <w:sz w:val="16"/>
              </w:rPr>
              <w:t>Low-quality evidence is downgraded or excluded</w:t>
            </w:r>
          </w:p>
        </w:tc>
      </w:tr>
      <w:tr>
        <w:tc>
          <w:tcPr>
            <w:tcW w:type="dxa" w:w="5040"/>
            <w:vAlign w:val="center"/>
            <w:shd w:fill="F7FAF8"/>
          </w:tcPr>
          <w:p>
            <w:r/>
            <w:r>
              <w:rPr>
                <w:rFonts w:ascii="Aptos" w:hAnsi="Aptos"/>
                <w:b w:val="0"/>
                <w:color w:val="1F2937"/>
                <w:sz w:val="16"/>
              </w:rPr>
              <w:t>No unsupported causality</w:t>
            </w:r>
          </w:p>
        </w:tc>
        <w:tc>
          <w:tcPr>
            <w:tcW w:type="dxa" w:w="5040"/>
            <w:vAlign w:val="center"/>
            <w:shd w:fill="F7FAF8"/>
          </w:tcPr>
          <w:p>
            <w:r/>
            <w:r>
              <w:rPr>
                <w:rFonts w:ascii="Aptos" w:hAnsi="Aptos"/>
                <w:b w:val="0"/>
                <w:color w:val="1F2937"/>
                <w:sz w:val="16"/>
              </w:rPr>
              <w:t>Use neutral descriptive language unless causal design supports causation</w:t>
            </w:r>
          </w:p>
        </w:tc>
      </w:tr>
      <w:tr>
        <w:tc>
          <w:tcPr>
            <w:tcW w:type="dxa" w:w="5040"/>
            <w:vAlign w:val="center"/>
          </w:tcPr>
          <w:p>
            <w:r/>
            <w:r>
              <w:rPr>
                <w:rFonts w:ascii="Aptos" w:hAnsi="Aptos"/>
                <w:b w:val="0"/>
                <w:color w:val="1F2937"/>
                <w:sz w:val="16"/>
              </w:rPr>
              <w:t>Bounded</w:t>
            </w:r>
          </w:p>
        </w:tc>
        <w:tc>
          <w:tcPr>
            <w:tcW w:type="dxa" w:w="5040"/>
            <w:vAlign w:val="center"/>
          </w:tcPr>
          <w:p>
            <w:r/>
            <w:r>
              <w:rPr>
                <w:rFonts w:ascii="Aptos" w:hAnsi="Aptos"/>
                <w:b w:val="0"/>
                <w:color w:val="1F2937"/>
                <w:sz w:val="16"/>
              </w:rPr>
              <w:t>Limit near-duplicate findings and excessive output</w:t>
            </w:r>
          </w:p>
        </w:tc>
      </w:tr>
    </w:tbl>
    <w:p/>
    <w:p>
      <w:pPr>
        <w:pStyle w:val="Heading1"/>
      </w:pPr>
      <w:r>
        <w:t>11. Visualization Recommendation</w:t>
      </w:r>
    </w:p>
    <w:p>
      <w:pPr>
        <w:pStyle w:val="NoSpacing"/>
        <w:spacing w:after="160"/>
        <w:ind w:left="360" w:right="216"/>
      </w:pPr>
      <w:r>
        <w:rPr>
          <w:rFonts w:ascii="Consolas" w:hAnsi="Consolas"/>
          <w:sz w:val="17"/>
        </w:rPr>
        <w:t>{</w:t>
        <w:br/>
        <w:t xml:space="preserve">  "visualizations": [{</w:t>
        <w:br/>
        <w:t xml:space="preserve">    "type":"line",</w:t>
        <w:br/>
        <w:t xml:space="preserve">    "title":"Monthly Revenue",</w:t>
        <w:br/>
        <w:t xml:space="preserve">    "x":{"field":"order_month","label":"Month"},</w:t>
        <w:br/>
        <w:t xml:space="preserve">    "y":{"field":"revenue","label":"Revenue","unit":"THB"},</w:t>
        <w:br/>
        <w:t xml:space="preserve">    "evidence_ids":["ev_..."]</w:t>
        <w:br/>
        <w:t xml:space="preserve">  }]</w:t>
        <w:br/>
        <w:t>}</w:t>
      </w:r>
    </w:p>
    <w:p>
      <w:pPr>
        <w:pStyle w:val="Heading1"/>
      </w:pPr>
      <w:r>
        <w:t>12. Error Handling</w:t>
      </w:r>
    </w:p>
    <w:tbl>
      <w:tblPr>
        <w:tblStyle w:val="TableGrid"/>
        <w:tblW w:type="auto" w:w="0"/>
        <w:jc w:val="center"/>
        <w:tblLook w:firstColumn="1" w:firstRow="1" w:lastColumn="0" w:lastRow="0" w:noHBand="0" w:noVBand="1" w:val="04A0"/>
      </w:tblPr>
      <w:tblGrid>
        <w:gridCol w:w="5040"/>
        <w:gridCol w:w="5040"/>
      </w:tblGrid>
      <w:tr>
        <w:tc>
          <w:tcPr>
            <w:tcW w:type="dxa" w:w="5040"/>
            <w:shd w:fill="17803D"/>
            <w:vAlign w:val="center"/>
          </w:tcPr>
          <w:p>
            <w:r/>
            <w:r>
              <w:rPr>
                <w:rFonts w:ascii="Aptos" w:hAnsi="Aptos"/>
                <w:b/>
                <w:color w:val="FFFFFF"/>
                <w:sz w:val="17"/>
              </w:rPr>
              <w:t>Code</w:t>
            </w:r>
          </w:p>
        </w:tc>
        <w:tc>
          <w:tcPr>
            <w:tcW w:type="dxa" w:w="5040"/>
            <w:shd w:fill="17803D"/>
            <w:vAlign w:val="center"/>
          </w:tcPr>
          <w:p>
            <w:r/>
            <w:r>
              <w:rPr>
                <w:rFonts w:ascii="Aptos" w:hAnsi="Aptos"/>
                <w:b/>
                <w:color w:val="FFFFFF"/>
                <w:sz w:val="17"/>
              </w:rPr>
              <w:t>Meaning</w:t>
            </w:r>
          </w:p>
        </w:tc>
      </w:tr>
      <w:tr>
        <w:tc>
          <w:tcPr>
            <w:tcW w:type="dxa" w:w="5040"/>
            <w:vAlign w:val="center"/>
          </w:tcPr>
          <w:p>
            <w:r/>
            <w:r>
              <w:rPr>
                <w:rFonts w:ascii="Aptos" w:hAnsi="Aptos"/>
                <w:b w:val="0"/>
                <w:color w:val="1F2937"/>
                <w:sz w:val="16"/>
              </w:rPr>
              <w:t>ANALYTICS_INVALID_DATASET</w:t>
            </w:r>
          </w:p>
        </w:tc>
        <w:tc>
          <w:tcPr>
            <w:tcW w:type="dxa" w:w="5040"/>
            <w:vAlign w:val="center"/>
          </w:tcPr>
          <w:p>
            <w:r/>
            <w:r>
              <w:rPr>
                <w:rFonts w:ascii="Aptos" w:hAnsi="Aptos"/>
                <w:b w:val="0"/>
                <w:color w:val="1F2937"/>
                <w:sz w:val="16"/>
              </w:rPr>
              <w:t>CSV cannot be parsed or has unsupported structure</w:t>
            </w:r>
          </w:p>
        </w:tc>
      </w:tr>
      <w:tr>
        <w:tc>
          <w:tcPr>
            <w:tcW w:type="dxa" w:w="5040"/>
            <w:vAlign w:val="center"/>
            <w:shd w:fill="F7FAF8"/>
          </w:tcPr>
          <w:p>
            <w:r/>
            <w:r>
              <w:rPr>
                <w:rFonts w:ascii="Aptos" w:hAnsi="Aptos"/>
                <w:b w:val="0"/>
                <w:color w:val="1F2937"/>
                <w:sz w:val="16"/>
              </w:rPr>
              <w:t>ANALYTICS_INSUFFICIENT_DATA</w:t>
            </w:r>
          </w:p>
        </w:tc>
        <w:tc>
          <w:tcPr>
            <w:tcW w:type="dxa" w:w="5040"/>
            <w:vAlign w:val="center"/>
            <w:shd w:fill="F7FAF8"/>
          </w:tcPr>
          <w:p>
            <w:r/>
            <w:r>
              <w:rPr>
                <w:rFonts w:ascii="Aptos" w:hAnsi="Aptos"/>
                <w:b w:val="0"/>
                <w:color w:val="1F2937"/>
                <w:sz w:val="16"/>
              </w:rPr>
              <w:t>Not enough valid observations</w:t>
            </w:r>
          </w:p>
        </w:tc>
      </w:tr>
      <w:tr>
        <w:tc>
          <w:tcPr>
            <w:tcW w:type="dxa" w:w="5040"/>
            <w:vAlign w:val="center"/>
          </w:tcPr>
          <w:p>
            <w:r/>
            <w:r>
              <w:rPr>
                <w:rFonts w:ascii="Aptos" w:hAnsi="Aptos"/>
                <w:b w:val="0"/>
                <w:color w:val="1F2937"/>
                <w:sz w:val="16"/>
              </w:rPr>
              <w:t>ANALYTICS_UNSUPPORTED_TYPE</w:t>
            </w:r>
          </w:p>
        </w:tc>
        <w:tc>
          <w:tcPr>
            <w:tcW w:type="dxa" w:w="5040"/>
            <w:vAlign w:val="center"/>
          </w:tcPr>
          <w:p>
            <w:r/>
            <w:r>
              <w:rPr>
                <w:rFonts w:ascii="Aptos" w:hAnsi="Aptos"/>
                <w:b w:val="0"/>
                <w:color w:val="1F2937"/>
                <w:sz w:val="16"/>
              </w:rPr>
              <w:t>Required analysis is not valid for inferred/defined type</w:t>
            </w:r>
          </w:p>
        </w:tc>
      </w:tr>
      <w:tr>
        <w:tc>
          <w:tcPr>
            <w:tcW w:type="dxa" w:w="5040"/>
            <w:vAlign w:val="center"/>
            <w:shd w:fill="F7FAF8"/>
          </w:tcPr>
          <w:p>
            <w:r/>
            <w:r>
              <w:rPr>
                <w:rFonts w:ascii="Aptos" w:hAnsi="Aptos"/>
                <w:b w:val="0"/>
                <w:color w:val="1F2937"/>
                <w:sz w:val="16"/>
              </w:rPr>
              <w:t>ANALYTICS_METHOD_FAILED</w:t>
            </w:r>
          </w:p>
        </w:tc>
        <w:tc>
          <w:tcPr>
            <w:tcW w:type="dxa" w:w="5040"/>
            <w:vAlign w:val="center"/>
            <w:shd w:fill="F7FAF8"/>
          </w:tcPr>
          <w:p>
            <w:r/>
            <w:r>
              <w:rPr>
                <w:rFonts w:ascii="Aptos" w:hAnsi="Aptos"/>
                <w:b w:val="0"/>
                <w:color w:val="1F2937"/>
                <w:sz w:val="16"/>
              </w:rPr>
              <w:t>Approved statistical method could not complete</w:t>
            </w:r>
          </w:p>
        </w:tc>
      </w:tr>
      <w:tr>
        <w:tc>
          <w:tcPr>
            <w:tcW w:type="dxa" w:w="5040"/>
            <w:vAlign w:val="center"/>
          </w:tcPr>
          <w:p>
            <w:r/>
            <w:r>
              <w:rPr>
                <w:rFonts w:ascii="Aptos" w:hAnsi="Aptos"/>
                <w:b w:val="0"/>
                <w:color w:val="1F2937"/>
                <w:sz w:val="16"/>
              </w:rPr>
              <w:t>ANALYTICS_INTERNAL_ERROR</w:t>
            </w:r>
          </w:p>
        </w:tc>
        <w:tc>
          <w:tcPr>
            <w:tcW w:type="dxa" w:w="5040"/>
            <w:vAlign w:val="center"/>
          </w:tcPr>
          <w:p>
            <w:r/>
            <w:r>
              <w:rPr>
                <w:rFonts w:ascii="Aptos" w:hAnsi="Aptos"/>
                <w:b w:val="0"/>
                <w:color w:val="1F2937"/>
                <w:sz w:val="16"/>
              </w:rPr>
              <w:t>Unexpected service failure</w:t>
            </w:r>
          </w:p>
        </w:tc>
      </w:tr>
    </w:tbl>
    <w:p/>
    <w:p>
      <w:pPr>
        <w:pStyle w:val="Heading1"/>
      </w:pPr>
      <w:r>
        <w:t>13. Privacy, Logging and Security</w:t>
      </w:r>
    </w:p>
    <w:p>
      <w:pPr>
        <w:pStyle w:val="ListBullet"/>
      </w:pPr>
      <w:r>
        <w:t>FastAPI must be reachable only through approved internal infrastructure in production.</w:t>
      </w:r>
    </w:p>
    <w:p>
      <w:pPr>
        <w:pStyle w:val="ListBullet"/>
      </w:pPr>
      <w:r>
        <w:t>Authenticate service-to-service calls.</w:t>
      </w:r>
    </w:p>
    <w:p>
      <w:pPr>
        <w:pStyle w:val="ListBullet"/>
      </w:pPr>
      <w:r>
        <w:t>Never log raw CSV rows or sensitive cell values.</w:t>
      </w:r>
    </w:p>
    <w:p>
      <w:pPr>
        <w:pStyle w:val="ListBullet"/>
      </w:pPr>
      <w:r>
        <w:t>Log analysis/job IDs, method names, durations, counts and safe diagnostics.</w:t>
      </w:r>
    </w:p>
    <w:p>
      <w:pPr>
        <w:pStyle w:val="ListBullet"/>
      </w:pPr>
      <w:r>
        <w:t>Delete temporary files in success and failure paths.</w:t>
      </w:r>
    </w:p>
    <w:p>
      <w:pPr>
        <w:pStyle w:val="ListBullet"/>
      </w:pPr>
      <w:r>
        <w:t>Do not send raw dataset rows to Qwen, external LLMs, or NLI services.</w:t>
      </w:r>
    </w:p>
    <w:p>
      <w:pPr>
        <w:pStyle w:val="Heading1"/>
      </w:pPr>
      <w:r>
        <w:t>14. Testing Requirements</w:t>
      </w:r>
    </w:p>
    <w:p>
      <w:pPr>
        <w:pStyle w:val="ListBullet"/>
      </w:pPr>
      <w:r>
        <w:t>PyTest unit tests for validators, profilers, statistical functions and evidence formatting.</w:t>
      </w:r>
    </w:p>
    <w:p>
      <w:pPr>
        <w:pStyle w:val="ListBullet"/>
      </w:pPr>
      <w:r>
        <w:t>Golden deterministic datasets with known expected results.</w:t>
      </w:r>
    </w:p>
    <w:p>
      <w:pPr>
        <w:pStyle w:val="ListBullet"/>
      </w:pPr>
      <w:r>
        <w:t>Tests for nulls, malformed CSV, Unicode headers, empty files and mixed data types.</w:t>
      </w:r>
    </w:p>
    <w:p>
      <w:pPr>
        <w:pStyle w:val="ListBullet"/>
      </w:pPr>
      <w:r>
        <w:t>Contract tests between Laravel and FastAPI.</w:t>
      </w:r>
    </w:p>
    <w:p>
      <w:pPr>
        <w:pStyle w:val="ListBullet"/>
      </w:pPr>
      <w:r>
        <w:t>Regression tests for metric definitions and visualization units.</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B7280"/>
        <w:sz w:val="16"/>
      </w:rPr>
      <w:t>Data Speak - MSIT Capstone Project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ptos" w:hAnsi="Aptos"/>
        <w:color w:val="6B7280"/>
        <w:sz w:val="16"/>
      </w:rPr>
      <w:t>DATA SPEAK  |  TECHNICAL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803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7803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803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