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2000" w14:textId="77777777" w:rsidR="00955AFC" w:rsidRDefault="00955AFC" w:rsidP="00955AFC">
      <w:pPr>
        <w:spacing w:line="360" w:lineRule="auto"/>
        <w:jc w:val="center"/>
      </w:pPr>
      <w:r>
        <w:rPr>
          <w:b/>
          <w:bCs/>
        </w:rPr>
        <w:t>Clinical Decision Making and Pattern Recognition in Health Care:</w:t>
      </w:r>
    </w:p>
    <w:p w14:paraId="6659872D" w14:textId="77777777" w:rsidR="00955AFC" w:rsidRDefault="00955AFC" w:rsidP="00955AFC">
      <w:pPr>
        <w:spacing w:line="360" w:lineRule="auto"/>
        <w:jc w:val="center"/>
      </w:pPr>
      <w:r>
        <w:rPr>
          <w:b/>
          <w:bCs/>
        </w:rPr>
        <w:t>Agentic AI, Chain Reasoning, and Anomaly Detection for Treatment,</w:t>
      </w:r>
    </w:p>
    <w:p w14:paraId="13A3A7C3" w14:textId="77777777" w:rsidR="00955AFC" w:rsidRDefault="00955AFC" w:rsidP="00955AFC">
      <w:pPr>
        <w:spacing w:line="360" w:lineRule="auto"/>
        <w:jc w:val="center"/>
      </w:pPr>
      <w:r>
        <w:rPr>
          <w:b/>
          <w:bCs/>
        </w:rPr>
        <w:t>Payment, and Operations</w:t>
      </w:r>
    </w:p>
    <w:p w14:paraId="08679239" w14:textId="77777777" w:rsidR="00955AFC" w:rsidRDefault="00955AFC" w:rsidP="00955AFC">
      <w:pPr>
        <w:spacing w:line="360" w:lineRule="auto"/>
      </w:pPr>
    </w:p>
    <w:p w14:paraId="17D0A90E" w14:textId="793699A3" w:rsidR="00955AFC" w:rsidRDefault="00955AFC" w:rsidP="00955AFC">
      <w:pPr>
        <w:spacing w:line="360" w:lineRule="auto"/>
        <w:jc w:val="center"/>
      </w:pPr>
      <w:r>
        <w:t>Submitted to Cotiviti — Generative AI Research Engineer Intern Assessment</w:t>
      </w:r>
    </w:p>
    <w:p w14:paraId="291264E5" w14:textId="49F26518" w:rsidR="00955AFC" w:rsidRDefault="00576D7D" w:rsidP="00955AFC">
      <w:pPr>
        <w:spacing w:line="360" w:lineRule="auto"/>
        <w:jc w:val="center"/>
      </w:pPr>
      <w:r>
        <w:t>Sabna Balasubramoniapillai</w:t>
      </w:r>
    </w:p>
    <w:p w14:paraId="73D5790A" w14:textId="1EE02A39" w:rsidR="00164885" w:rsidRPr="009852F0" w:rsidRDefault="00955AFC" w:rsidP="009852F0">
      <w:pPr>
        <w:pStyle w:val="Heading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r w:rsidR="009852F0">
        <w:rPr>
          <w:rFonts w:ascii="Times New Roman" w:eastAsia="Times New Roman" w:hAnsi="Times New Roman" w:cs="Times New Roman"/>
          <w:b/>
          <w:bCs/>
          <w:sz w:val="24"/>
          <w:szCs w:val="24"/>
        </w:rPr>
        <w:t>:</w:t>
      </w:r>
    </w:p>
    <w:p w14:paraId="6EF5D6BB" w14:textId="05E29D6B" w:rsidR="004130E3" w:rsidRDefault="004130E3" w:rsidP="00B40EE4">
      <w:pPr>
        <w:jc w:val="both"/>
      </w:pPr>
      <w:r w:rsidRPr="004130E3">
        <w:t>The healthcare sector finds itself at a crucial crossroads. Over many years, the process of decision-making and claims management was done by physicians based on experience, business rules and manual review</w:t>
      </w:r>
      <w:r>
        <w:t>. A</w:t>
      </w:r>
      <w:r w:rsidRPr="004130E3">
        <w:t>ll these activities are time-consuming and expensive, but also inconsistent by nature. Nowadays, there comes a wave of new methods of artificial intelligence that allows for better decision-making in terms of speed, consistency and transparency of the process compared to any human-driven approach. It is an important strategic challenge for Cotiviti, which specializes in payment integrity and analytics.</w:t>
      </w:r>
    </w:p>
    <w:p w14:paraId="2DA9BE61" w14:textId="3DC1EB9D" w:rsidR="004130E3" w:rsidRDefault="004130E3" w:rsidP="004130E3">
      <w:pPr>
        <w:spacing w:after="140"/>
        <w:jc w:val="both"/>
      </w:pPr>
      <w:r>
        <w:rPr>
          <w:sz w:val="23"/>
          <w:szCs w:val="23"/>
        </w:rPr>
        <w:t>At the center of this transformation are two interrelated technologies: chain-of-thought reasoning and agentic generative AI. Chain-of-thought reasoning prompts large language models (LLMs) to work through complex clinical or administrative problems in sequential logical steps before arriving at a conclusion, dramatically improving accuracy on multi-premise tasks such as diagnosis code verification, cost anomaly detection, and fraud adjudication. Agentic AI builds on this by orchestrating networks of specialized LLM-powered agents that autonomously plan, retrieve knowledge, call analytical tools, and synthesize outputs simultaneously. According to Srinivasu et al. (2026), agentic AI systems in healthcare can independently manage tasks ranging from data retrieval and clinical reasoning to coordinated decision support across multiple specialized modules without requiring continuous human direction.</w:t>
      </w:r>
      <w:r w:rsidR="00576D7D">
        <w:rPr>
          <w:sz w:val="23"/>
          <w:szCs w:val="23"/>
        </w:rPr>
        <w:t xml:space="preserve"> </w:t>
      </w:r>
      <w:r>
        <w:rPr>
          <w:sz w:val="23"/>
          <w:szCs w:val="23"/>
        </w:rPr>
        <w:t>Together with classical machine learning techniques like classification, prediction, inference, clustering, and time-series anomaly detection, these approaches form a comprehensive AI toolkit applicable across the treatment, payment, and operations (TPO) spectrum. To ground this analysis in practice, the report draws on a working proof of concept (POC): a four-agent AI claims review system built on the Llama 3.3 70B LLM, a retrieval-augmented generation (RAG) knowledge base from CMS payment guidelines and ICD-10 coding references, and a governance layer that tracks confidence scores, detects reasoning bias, and records human override decisions throughout the adjudication pipeline.</w:t>
      </w:r>
    </w:p>
    <w:p w14:paraId="3A0E20F9" w14:textId="7AAD646F" w:rsidR="00613C8D" w:rsidRDefault="00613C8D" w:rsidP="00613C8D">
      <w:pPr>
        <w:pStyle w:val="Heading1"/>
        <w:rPr>
          <w:rFonts w:ascii="Times New Roman" w:eastAsia="Times New Roman" w:hAnsi="Times New Roman" w:cs="Times New Roman"/>
          <w:b/>
          <w:bCs/>
          <w:sz w:val="24"/>
          <w:szCs w:val="24"/>
        </w:rPr>
      </w:pPr>
      <w:r w:rsidRPr="00303EFB">
        <w:rPr>
          <w:rFonts w:ascii="Times New Roman" w:eastAsia="Times New Roman" w:hAnsi="Times New Roman" w:cs="Times New Roman"/>
          <w:b/>
          <w:bCs/>
          <w:sz w:val="24"/>
          <w:szCs w:val="24"/>
        </w:rPr>
        <w:t>Relevant Trends</w:t>
      </w:r>
    </w:p>
    <w:p w14:paraId="4F4778A7" w14:textId="00165704" w:rsidR="007571C8" w:rsidRDefault="007571C8" w:rsidP="00B40EE4">
      <w:pPr>
        <w:jc w:val="both"/>
      </w:pPr>
      <w:r w:rsidRPr="007571C8">
        <w:t>AI is quickly being embraced by healthcare organizations for the optimization of their clinical and administrative practices. According to Deloitte (2026), 80 percent of healthcare leaders expect generative and agentic AI to create value in the domains of clinical practice, operations, and business. Healthcare organizations and hospitals have increasingly begun to use AI in order to automate processes and generate insights</w:t>
      </w:r>
      <w:r>
        <w:t>.</w:t>
      </w:r>
    </w:p>
    <w:p w14:paraId="249B0516" w14:textId="4C2FB5B2" w:rsidR="007571C8" w:rsidRDefault="007571C8" w:rsidP="00B40EE4">
      <w:pPr>
        <w:jc w:val="both"/>
      </w:pPr>
      <w:r w:rsidRPr="007571C8">
        <w:t xml:space="preserve">In terms of payment integrity, AI is being used by insurers in the processes of claims intake, fraud detection, prior authorization, and claims adjudication. Industry experts have stated that with the use of AI, insurers will be able to save on their operating expenses while speeding up claims </w:t>
      </w:r>
      <w:r w:rsidRPr="007571C8">
        <w:lastRenderedPageBreak/>
        <w:t>management (</w:t>
      </w:r>
      <w:proofErr w:type="spellStart"/>
      <w:r w:rsidRPr="007571C8">
        <w:t>Mobisoft</w:t>
      </w:r>
      <w:proofErr w:type="spellEnd"/>
      <w:r w:rsidRPr="007571C8">
        <w:t xml:space="preserve"> Infotech, 2026). Meanwhile, instances of health care fraud continue to become more complicated, involving synthetic identities and the use of artificial intelligence to generate false documents and commit fraud.</w:t>
      </w:r>
    </w:p>
    <w:p w14:paraId="6AA13B1A" w14:textId="77777777" w:rsidR="007571C8" w:rsidRDefault="007571C8" w:rsidP="007571C8"/>
    <w:p w14:paraId="6159B971" w14:textId="09C7D692" w:rsidR="007571C8" w:rsidRDefault="00F2448F" w:rsidP="007571C8">
      <w:pPr>
        <w:spacing w:after="160" w:line="360" w:lineRule="auto"/>
        <w:jc w:val="both"/>
        <w:rPr>
          <w:b/>
          <w:bCs/>
          <w:color w:val="2F5496" w:themeColor="accent1" w:themeShade="BF"/>
        </w:rPr>
      </w:pPr>
      <w:r w:rsidRPr="00303EFB">
        <w:rPr>
          <w:b/>
          <w:bCs/>
          <w:color w:val="2F5496" w:themeColor="accent1" w:themeShade="BF"/>
        </w:rPr>
        <w:t>Opportunities</w:t>
      </w:r>
      <w:r w:rsidR="007571C8">
        <w:rPr>
          <w:b/>
          <w:bCs/>
          <w:color w:val="2F5496" w:themeColor="accent1" w:themeShade="BF"/>
        </w:rPr>
        <w:t xml:space="preserve"> and Threats:</w:t>
      </w:r>
    </w:p>
    <w:p w14:paraId="595F2CD2" w14:textId="77777777" w:rsidR="00576D7D" w:rsidRDefault="00576D7D" w:rsidP="00576D7D">
      <w:pPr>
        <w:spacing w:after="140"/>
        <w:jc w:val="both"/>
      </w:pPr>
      <w:r>
        <w:rPr>
          <w:sz w:val="23"/>
          <w:szCs w:val="23"/>
        </w:rPr>
        <w:t>Cotiviti's primary advantage is its cross-domain data depth. Unlike single-domain vendors focused on fraud detection or coding review alone, Cotiviti holds longitudinal claims data spanning treatment patterns, payment histories, coding accuracy, and risk adjustment — enabling AI models that detect anomalies only visible when multiple signals are analyzed together. This data moat cannot be replicated quickly by new entrants. A second opportunity is the alignment between Cotiviti's existing governance architecture and emerging regulatory requirements: the confidence scoring, bias flagging, and human override capabilities already embedded in the POC are precisely what regulators are beginning to mandate — positioning Cotiviti to package these as a billable client service. Finally, the industry-wide shift toward pre-payment fraud detection (H2O.ai, 2025; Insurance Thought Leadership, 2025) opens a high-margin, subscription-based intelligence product built on Cotiviti's longitudinal claims data.</w:t>
      </w:r>
    </w:p>
    <w:p w14:paraId="517BDA6F" w14:textId="77777777" w:rsidR="00576D7D" w:rsidRDefault="00576D7D" w:rsidP="00576D7D">
      <w:pPr>
        <w:spacing w:after="140"/>
        <w:jc w:val="both"/>
      </w:pPr>
      <w:r>
        <w:rPr>
          <w:sz w:val="23"/>
          <w:szCs w:val="23"/>
        </w:rPr>
        <w:t xml:space="preserve">The most pressing threat is algorithmic bias: models trained on historical claims data may encode existing disparities in care access and provider coding, leading to unfair denial patterns that expose Cotiviti and its clients to regulatory and legal liability. A second structural challenge is the adversarial dynamic of AI-powered fraud — as Perspective AI (2026) and </w:t>
      </w:r>
      <w:proofErr w:type="spellStart"/>
      <w:r>
        <w:rPr>
          <w:sz w:val="23"/>
          <w:szCs w:val="23"/>
        </w:rPr>
        <w:t>ComplyCube</w:t>
      </w:r>
      <w:proofErr w:type="spellEnd"/>
      <w:r>
        <w:rPr>
          <w:sz w:val="23"/>
          <w:szCs w:val="23"/>
        </w:rPr>
        <w:t xml:space="preserve"> (2026) document, fraud actors continuously evolve their techniques, requiring ongoing model retraining rather than static deployments. Finally, the regulatory landscape governing AI in healthcare remains unsettled, with requirements around explainability, data residency, and human oversight varying across jurisdictions and evolving rapidly.</w:t>
      </w:r>
    </w:p>
    <w:p w14:paraId="2EB3A75D" w14:textId="77777777" w:rsidR="007571C8" w:rsidRDefault="007571C8" w:rsidP="007571C8">
      <w:pPr>
        <w:pStyle w:val="NoSpacing"/>
      </w:pPr>
    </w:p>
    <w:p w14:paraId="76294B2A" w14:textId="77777777" w:rsidR="00576D7D" w:rsidRDefault="00F2448F" w:rsidP="00576D7D">
      <w:pPr>
        <w:spacing w:after="160" w:line="360" w:lineRule="auto"/>
        <w:jc w:val="both"/>
        <w:rPr>
          <w:b/>
          <w:bCs/>
          <w:color w:val="2F5496" w:themeColor="accent1" w:themeShade="BF"/>
        </w:rPr>
      </w:pPr>
      <w:r w:rsidRPr="00303EFB">
        <w:rPr>
          <w:b/>
          <w:bCs/>
          <w:color w:val="2F5496" w:themeColor="accent1" w:themeShade="BF"/>
        </w:rPr>
        <w:t>Strategic Recommendations for Cotiviti</w:t>
      </w:r>
      <w:r w:rsidR="007571C8">
        <w:rPr>
          <w:b/>
          <w:bCs/>
          <w:color w:val="2F5496" w:themeColor="accent1" w:themeShade="BF"/>
        </w:rPr>
        <w:t>:</w:t>
      </w:r>
    </w:p>
    <w:p w14:paraId="42E55C3A" w14:textId="114744DB" w:rsidR="00F2448F" w:rsidRDefault="00F2448F" w:rsidP="001C3793">
      <w:pPr>
        <w:pStyle w:val="NoSpacing"/>
        <w:jc w:val="both"/>
        <w:rPr>
          <w:b/>
          <w:bCs/>
          <w:color w:val="2F5496" w:themeColor="accent1" w:themeShade="BF"/>
        </w:rPr>
      </w:pPr>
      <w:r w:rsidRPr="00F2448F">
        <w:t>Three positions are suggested. First, Cotiviti should develop a Pre-Payment Agentic Integrity Engine, which is an AI solution based on multiple agents, incorporating real-time claims data and combining time series anomaly detection and chain reasoning powered by RAG to identify high-risk claims before the payment decision. This engine will provide auditors with clear reasoning chains behind the decisions, greatly decreasing the amount of manual work needed for review. The second position is developing the capabilities in Federated Learning and Privacy-Preserving AI that would enable cross-payer pattern recognition without sharing protected health information, which is becoming increasingly important due to regulatory requirements. Finally, Cotiviti should develop an AI Governance and Bias Monitoring Framework as a service to its clients. This is important because in the age of self-governed AI solutions payers become increasingly responsible for any ethical or legal issues related to the decisions of autonomous systems, and Cotiviti can offer them protection from these problems.</w:t>
      </w:r>
      <w:r>
        <w:br w:type="page"/>
      </w:r>
      <w:r w:rsidR="007E0E30">
        <w:br/>
      </w:r>
      <w:r w:rsidR="007E0E30">
        <w:br/>
      </w:r>
      <w:r w:rsidR="007E0E30" w:rsidRPr="007E0E30">
        <w:rPr>
          <w:b/>
          <w:bCs/>
          <w:color w:val="2F5496" w:themeColor="accent1" w:themeShade="BF"/>
        </w:rPr>
        <w:t>Conclusion:</w:t>
      </w:r>
    </w:p>
    <w:p w14:paraId="4E267084" w14:textId="1D4E7507" w:rsidR="007571C8" w:rsidRDefault="007571C8" w:rsidP="00576D7D">
      <w:pPr>
        <w:jc w:val="both"/>
        <w:rPr>
          <w:b/>
          <w:bCs/>
        </w:rPr>
      </w:pPr>
      <w:r w:rsidRPr="007571C8">
        <w:t xml:space="preserve">In this report, the proof of concept highlights the use of special AI agents, Retrieval-Augmented Generation, and AI governance to optimize the process of claims handling in the healthcare sector using coding validation, fraud detection, cost analysis, and final adjudication. With continued advances in AI adoption within the healthcare sector, </w:t>
      </w:r>
      <w:r w:rsidRPr="007E0E30">
        <w:t>Cotiviti has an advantage of setting standards in the field by developing innovative agentic AI technology.</w:t>
      </w:r>
    </w:p>
    <w:p w14:paraId="12D5D9B9" w14:textId="77777777" w:rsidR="00A0198A" w:rsidRDefault="00A0198A" w:rsidP="00A0198A">
      <w:pPr>
        <w:pStyle w:val="Heading1"/>
        <w:spacing w:before="0" w:after="1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References</w:t>
      </w:r>
    </w:p>
    <w:p w14:paraId="59E2643A" w14:textId="2C406B4D" w:rsidR="00527548" w:rsidRDefault="00527548" w:rsidP="00527548">
      <w:pPr>
        <w:jc w:val="center"/>
      </w:pPr>
      <w:r w:rsidRPr="00527548">
        <w:t xml:space="preserve">Cohere Health. (2026, February 27). </w:t>
      </w:r>
      <w:r w:rsidRPr="00527548">
        <w:rPr>
          <w:i/>
          <w:iCs/>
        </w:rPr>
        <w:t xml:space="preserve">Agentic AI for health plans: Key Gartner 2026 insights. </w:t>
      </w:r>
      <w:r w:rsidRPr="00527548">
        <w:t xml:space="preserve">https:// </w:t>
      </w:r>
      <w:hyperlink r:id="rId5" w:history="1">
        <w:r w:rsidRPr="007C59FF">
          <w:rPr>
            <w:rStyle w:val="Hyperlink"/>
          </w:rPr>
          <w:t>www.coherehealth.com/blog/agentic-ai-health-plans-gartner-2026-insights</w:t>
        </w:r>
      </w:hyperlink>
    </w:p>
    <w:p w14:paraId="0F97D113" w14:textId="77777777" w:rsidR="00527548" w:rsidRDefault="00527548" w:rsidP="00527548">
      <w:pPr>
        <w:jc w:val="center"/>
      </w:pPr>
    </w:p>
    <w:p w14:paraId="2ED078C1" w14:textId="575660E0" w:rsidR="00527548" w:rsidRDefault="00527548" w:rsidP="00527548">
      <w:r>
        <w:t xml:space="preserve">    </w:t>
      </w:r>
      <w:proofErr w:type="spellStart"/>
      <w:r w:rsidRPr="00527548">
        <w:t>ComplyCube</w:t>
      </w:r>
      <w:proofErr w:type="spellEnd"/>
      <w:r w:rsidRPr="00527548">
        <w:t xml:space="preserve">. (2026, February 5). </w:t>
      </w:r>
      <w:r w:rsidRPr="00527548">
        <w:rPr>
          <w:i/>
          <w:iCs/>
        </w:rPr>
        <w:t>AI-powered health insurance fraud detection</w:t>
      </w:r>
      <w:r w:rsidRPr="00527548">
        <w:t xml:space="preserve">. </w:t>
      </w:r>
      <w:r>
        <w:t xml:space="preserve"> </w:t>
      </w:r>
    </w:p>
    <w:p w14:paraId="7BC7CC20" w14:textId="1ED364D8" w:rsidR="00527548" w:rsidRDefault="00527548" w:rsidP="00527548">
      <w:r>
        <w:t xml:space="preserve">        </w:t>
      </w:r>
      <w:r w:rsidRPr="00527548">
        <w:t>https://www.complycube.com/en/ health-insurance-fraud-detection-compliance/</w:t>
      </w:r>
    </w:p>
    <w:p w14:paraId="36CA9CAB" w14:textId="77777777" w:rsidR="00527548" w:rsidRDefault="00527548" w:rsidP="00527548"/>
    <w:p w14:paraId="7A20E31B" w14:textId="4C34C086" w:rsidR="00527548" w:rsidRDefault="00527548" w:rsidP="00527548">
      <w:pPr>
        <w:jc w:val="center"/>
      </w:pPr>
      <w:r w:rsidRPr="00527548">
        <w:t xml:space="preserve">Deloitte. (2026, April 16). </w:t>
      </w:r>
      <w:r w:rsidRPr="00527548">
        <w:rPr>
          <w:i/>
          <w:iCs/>
        </w:rPr>
        <w:t>Many health care leaders are leaning into agentic AI as adoption hurdles ease</w:t>
      </w:r>
      <w:r w:rsidRPr="00527548">
        <w:t xml:space="preserve">. Deloitte Insights. </w:t>
      </w:r>
      <w:hyperlink r:id="rId6" w:history="1">
        <w:r w:rsidRPr="007C59FF">
          <w:rPr>
            <w:rStyle w:val="Hyperlink"/>
          </w:rPr>
          <w:t>https://www.deloitte.com/us/en/insights/industry/health-care/agentic-ai-health-care-operating model-change.html</w:t>
        </w:r>
      </w:hyperlink>
    </w:p>
    <w:p w14:paraId="55EA15A3" w14:textId="77777777" w:rsidR="00527548" w:rsidRDefault="00527548" w:rsidP="00527548">
      <w:pPr>
        <w:jc w:val="center"/>
      </w:pPr>
    </w:p>
    <w:p w14:paraId="0169F0AA" w14:textId="005BB259" w:rsidR="00527548" w:rsidRDefault="00527548" w:rsidP="00527548">
      <w:pPr>
        <w:jc w:val="center"/>
      </w:pPr>
      <w:r w:rsidRPr="00527548">
        <w:t xml:space="preserve">H2O.ai. (2025). </w:t>
      </w:r>
      <w:r w:rsidRPr="00527548">
        <w:rPr>
          <w:i/>
          <w:iCs/>
        </w:rPr>
        <w:t>AI fraud detection for medical claims</w:t>
      </w:r>
      <w:r w:rsidRPr="00527548">
        <w:t xml:space="preserve">. </w:t>
      </w:r>
      <w:hyperlink r:id="rId7" w:history="1">
        <w:r w:rsidRPr="007C59FF">
          <w:rPr>
            <w:rStyle w:val="Hyperlink"/>
          </w:rPr>
          <w:t>https://h2o.ai/solutions/use-case/claims-fraud-detection/</w:t>
        </w:r>
      </w:hyperlink>
    </w:p>
    <w:p w14:paraId="4978F145" w14:textId="77777777" w:rsidR="00527548" w:rsidRDefault="00527548" w:rsidP="00527548">
      <w:pPr>
        <w:jc w:val="center"/>
      </w:pPr>
    </w:p>
    <w:p w14:paraId="4365590E" w14:textId="58D5B382" w:rsidR="00527548" w:rsidRDefault="00527548" w:rsidP="00527548">
      <w:pPr>
        <w:jc w:val="center"/>
      </w:pPr>
      <w:r w:rsidRPr="00527548">
        <w:t xml:space="preserve">Insurance Thought Leadership. (2025, July 7). </w:t>
      </w:r>
      <w:r w:rsidRPr="00527548">
        <w:rPr>
          <w:i/>
          <w:iCs/>
        </w:rPr>
        <w:t>AI tools that detect healthcare provider</w:t>
      </w:r>
      <w:r w:rsidRPr="00527548">
        <w:t xml:space="preserve"> </w:t>
      </w:r>
      <w:r w:rsidRPr="00527548">
        <w:rPr>
          <w:i/>
          <w:iCs/>
        </w:rPr>
        <w:t>fraud</w:t>
      </w:r>
      <w:r w:rsidRPr="00527548">
        <w:t xml:space="preserve">. https:// </w:t>
      </w:r>
      <w:hyperlink r:id="rId8" w:history="1">
        <w:r w:rsidRPr="007C59FF">
          <w:rPr>
            <w:rStyle w:val="Hyperlink"/>
          </w:rPr>
          <w:t>www.insurancethoughtleadership.com/life-health/ai-tools-detect-healthcare-provider-fraud</w:t>
        </w:r>
      </w:hyperlink>
    </w:p>
    <w:p w14:paraId="2D87147B" w14:textId="77777777" w:rsidR="00527548" w:rsidRDefault="00527548" w:rsidP="00527548">
      <w:pPr>
        <w:jc w:val="center"/>
      </w:pPr>
    </w:p>
    <w:p w14:paraId="4C083FF8" w14:textId="19545E64" w:rsidR="00527548" w:rsidRDefault="00527548" w:rsidP="00527548">
      <w:pPr>
        <w:jc w:val="center"/>
      </w:pPr>
      <w:proofErr w:type="spellStart"/>
      <w:r w:rsidRPr="00527548">
        <w:t>Mobisoft</w:t>
      </w:r>
      <w:proofErr w:type="spellEnd"/>
      <w:r w:rsidRPr="00527548">
        <w:t xml:space="preserve"> Infotech. (2026, May 8). </w:t>
      </w:r>
      <w:r w:rsidRPr="00527548">
        <w:rPr>
          <w:i/>
          <w:iCs/>
        </w:rPr>
        <w:t>AI in health insurance</w:t>
      </w:r>
      <w:r w:rsidRPr="00527548">
        <w:t>: Claims automation and fraud detection. https:// mobisoftinfotech.com/resources/blog/ai-health-insurance-claims-automation-fraud-detection</w:t>
      </w:r>
    </w:p>
    <w:p w14:paraId="7AE7918D" w14:textId="77777777" w:rsidR="00527548" w:rsidRDefault="00527548" w:rsidP="00527548">
      <w:pPr>
        <w:jc w:val="center"/>
      </w:pPr>
    </w:p>
    <w:p w14:paraId="3137C29A" w14:textId="54B5F439" w:rsidR="00527548" w:rsidRDefault="00527548" w:rsidP="00527548">
      <w:pPr>
        <w:jc w:val="center"/>
      </w:pPr>
      <w:r w:rsidRPr="00527548">
        <w:t xml:space="preserve">Perspective AI. (2026, May 1). </w:t>
      </w:r>
      <w:r w:rsidRPr="00527548">
        <w:rPr>
          <w:i/>
          <w:iCs/>
        </w:rPr>
        <w:t>AI insurance fraud detection in 2026</w:t>
      </w:r>
      <w:r w:rsidRPr="00527548">
        <w:t>: From pattern anomalies to conversational red flags. https://getperspective.ai/blog/ai-insurance-fraud-detection-in-2026-from-pattern-anomalies-to conversational-red-flags</w:t>
      </w:r>
    </w:p>
    <w:p w14:paraId="2D695036" w14:textId="77777777" w:rsidR="00527548" w:rsidRDefault="00527548" w:rsidP="00527548">
      <w:pPr>
        <w:jc w:val="center"/>
      </w:pPr>
    </w:p>
    <w:p w14:paraId="5995599F" w14:textId="63671D00" w:rsidR="00527548" w:rsidRDefault="00527548" w:rsidP="00527548">
      <w:pPr>
        <w:jc w:val="center"/>
      </w:pPr>
      <w:r w:rsidRPr="00527548">
        <w:t xml:space="preserve">Philips. (2026, April 30). </w:t>
      </w:r>
      <w:r w:rsidRPr="00527548">
        <w:rPr>
          <w:i/>
          <w:iCs/>
        </w:rPr>
        <w:t>Emerging healthcare AI trends in 2026 so far.</w:t>
      </w:r>
      <w:r w:rsidRPr="00527548">
        <w:t xml:space="preserve"> https://www.philips.com/a-w/about/news/ archive/features/2026/this-years-emerging-trends-in-healthcare-ai-so-far.html</w:t>
      </w:r>
    </w:p>
    <w:p w14:paraId="204C1036" w14:textId="77777777" w:rsidR="00527548" w:rsidRDefault="00527548" w:rsidP="00527548">
      <w:pPr>
        <w:jc w:val="center"/>
      </w:pPr>
    </w:p>
    <w:p w14:paraId="28F2D9AD" w14:textId="3267EA8F" w:rsidR="00303EFB" w:rsidRDefault="00527548" w:rsidP="007725F6">
      <w:pPr>
        <w:jc w:val="center"/>
      </w:pPr>
      <w:r w:rsidRPr="00527548">
        <w:t xml:space="preserve">Srinivasu, P. N., Aruna Kumari, J., Ahmed, S., &amp; Alhumam, A. (2026). Exploring agentic AI in healthcare: A study on its working mechanism. </w:t>
      </w:r>
      <w:r w:rsidRPr="00527548">
        <w:rPr>
          <w:i/>
          <w:iCs/>
        </w:rPr>
        <w:t xml:space="preserve">Frontiers in Digital Health. </w:t>
      </w:r>
      <w:r w:rsidRPr="00527548">
        <w:t>https://pmc.ncbi.nlm.nih.gov/articles/ PMC12890637/</w:t>
      </w:r>
    </w:p>
    <w:sectPr w:rsidR="00303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3CE"/>
    <w:multiLevelType w:val="multilevel"/>
    <w:tmpl w:val="FA2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79A2"/>
    <w:multiLevelType w:val="multilevel"/>
    <w:tmpl w:val="F7D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16762"/>
    <w:multiLevelType w:val="multilevel"/>
    <w:tmpl w:val="C86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67EA3"/>
    <w:multiLevelType w:val="multilevel"/>
    <w:tmpl w:val="02F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5A8C"/>
    <w:multiLevelType w:val="multilevel"/>
    <w:tmpl w:val="06D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54606"/>
    <w:multiLevelType w:val="multilevel"/>
    <w:tmpl w:val="22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067FD"/>
    <w:multiLevelType w:val="multilevel"/>
    <w:tmpl w:val="527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95782"/>
    <w:multiLevelType w:val="multilevel"/>
    <w:tmpl w:val="9D6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30F7D"/>
    <w:multiLevelType w:val="multilevel"/>
    <w:tmpl w:val="B3A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60C67"/>
    <w:multiLevelType w:val="multilevel"/>
    <w:tmpl w:val="182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52D8"/>
    <w:multiLevelType w:val="multilevel"/>
    <w:tmpl w:val="021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C3D6D"/>
    <w:multiLevelType w:val="multilevel"/>
    <w:tmpl w:val="6E9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F630C"/>
    <w:multiLevelType w:val="multilevel"/>
    <w:tmpl w:val="33BC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12197"/>
    <w:multiLevelType w:val="multilevel"/>
    <w:tmpl w:val="CCC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352918">
    <w:abstractNumId w:val="10"/>
  </w:num>
  <w:num w:numId="2" w16cid:durableId="1601720176">
    <w:abstractNumId w:val="7"/>
  </w:num>
  <w:num w:numId="3" w16cid:durableId="1034043686">
    <w:abstractNumId w:val="8"/>
  </w:num>
  <w:num w:numId="4" w16cid:durableId="863325065">
    <w:abstractNumId w:val="2"/>
  </w:num>
  <w:num w:numId="5" w16cid:durableId="880245263">
    <w:abstractNumId w:val="1"/>
  </w:num>
  <w:num w:numId="6" w16cid:durableId="1803813044">
    <w:abstractNumId w:val="0"/>
  </w:num>
  <w:num w:numId="7" w16cid:durableId="1400252038">
    <w:abstractNumId w:val="6"/>
  </w:num>
  <w:num w:numId="8" w16cid:durableId="811101173">
    <w:abstractNumId w:val="13"/>
  </w:num>
  <w:num w:numId="9" w16cid:durableId="1493597237">
    <w:abstractNumId w:val="12"/>
  </w:num>
  <w:num w:numId="10" w16cid:durableId="183908826">
    <w:abstractNumId w:val="9"/>
  </w:num>
  <w:num w:numId="11" w16cid:durableId="1256086334">
    <w:abstractNumId w:val="5"/>
  </w:num>
  <w:num w:numId="12" w16cid:durableId="510415968">
    <w:abstractNumId w:val="4"/>
  </w:num>
  <w:num w:numId="13" w16cid:durableId="215317469">
    <w:abstractNumId w:val="3"/>
  </w:num>
  <w:num w:numId="14" w16cid:durableId="18088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FC"/>
    <w:rsid w:val="00164885"/>
    <w:rsid w:val="00172D25"/>
    <w:rsid w:val="001C3793"/>
    <w:rsid w:val="002A2584"/>
    <w:rsid w:val="002D7B31"/>
    <w:rsid w:val="00303EFB"/>
    <w:rsid w:val="00383EC1"/>
    <w:rsid w:val="004130E3"/>
    <w:rsid w:val="00527548"/>
    <w:rsid w:val="00576D7D"/>
    <w:rsid w:val="00613C8D"/>
    <w:rsid w:val="006B1C91"/>
    <w:rsid w:val="007571C8"/>
    <w:rsid w:val="007725F6"/>
    <w:rsid w:val="007E0E30"/>
    <w:rsid w:val="00955AFC"/>
    <w:rsid w:val="009852F0"/>
    <w:rsid w:val="009F4415"/>
    <w:rsid w:val="00A0198A"/>
    <w:rsid w:val="00AD51BD"/>
    <w:rsid w:val="00B40EE4"/>
    <w:rsid w:val="00F2448F"/>
    <w:rsid w:val="00FF35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9F58"/>
  <w15:chartTrackingRefBased/>
  <w15:docId w15:val="{31C822B1-4ED4-410F-8042-E9A2974C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AF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55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A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FC"/>
    <w:rPr>
      <w:rFonts w:eastAsiaTheme="majorEastAsia" w:cstheme="majorBidi"/>
      <w:color w:val="272727" w:themeColor="text1" w:themeTint="D8"/>
    </w:rPr>
  </w:style>
  <w:style w:type="paragraph" w:styleId="Title">
    <w:name w:val="Title"/>
    <w:basedOn w:val="Normal"/>
    <w:next w:val="Normal"/>
    <w:link w:val="TitleChar"/>
    <w:uiPriority w:val="10"/>
    <w:qFormat/>
    <w:rsid w:val="00955A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FC"/>
    <w:pPr>
      <w:spacing w:before="160"/>
      <w:jc w:val="center"/>
    </w:pPr>
    <w:rPr>
      <w:i/>
      <w:iCs/>
      <w:color w:val="404040" w:themeColor="text1" w:themeTint="BF"/>
    </w:rPr>
  </w:style>
  <w:style w:type="character" w:customStyle="1" w:styleId="QuoteChar">
    <w:name w:val="Quote Char"/>
    <w:basedOn w:val="DefaultParagraphFont"/>
    <w:link w:val="Quote"/>
    <w:uiPriority w:val="29"/>
    <w:rsid w:val="00955AFC"/>
    <w:rPr>
      <w:i/>
      <w:iCs/>
      <w:color w:val="404040" w:themeColor="text1" w:themeTint="BF"/>
    </w:rPr>
  </w:style>
  <w:style w:type="paragraph" w:styleId="ListParagraph">
    <w:name w:val="List Paragraph"/>
    <w:basedOn w:val="Normal"/>
    <w:uiPriority w:val="34"/>
    <w:qFormat/>
    <w:rsid w:val="00955AFC"/>
    <w:pPr>
      <w:ind w:left="720"/>
      <w:contextualSpacing/>
    </w:pPr>
  </w:style>
  <w:style w:type="character" w:styleId="IntenseEmphasis">
    <w:name w:val="Intense Emphasis"/>
    <w:basedOn w:val="DefaultParagraphFont"/>
    <w:uiPriority w:val="21"/>
    <w:qFormat/>
    <w:rsid w:val="00955AFC"/>
    <w:rPr>
      <w:i/>
      <w:iCs/>
      <w:color w:val="2F5496" w:themeColor="accent1" w:themeShade="BF"/>
    </w:rPr>
  </w:style>
  <w:style w:type="paragraph" w:styleId="IntenseQuote">
    <w:name w:val="Intense Quote"/>
    <w:basedOn w:val="Normal"/>
    <w:next w:val="Normal"/>
    <w:link w:val="IntenseQuoteChar"/>
    <w:uiPriority w:val="30"/>
    <w:qFormat/>
    <w:rsid w:val="00955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AFC"/>
    <w:rPr>
      <w:i/>
      <w:iCs/>
      <w:color w:val="2F5496" w:themeColor="accent1" w:themeShade="BF"/>
    </w:rPr>
  </w:style>
  <w:style w:type="character" w:styleId="IntenseReference">
    <w:name w:val="Intense Reference"/>
    <w:basedOn w:val="DefaultParagraphFont"/>
    <w:uiPriority w:val="32"/>
    <w:qFormat/>
    <w:rsid w:val="00955AFC"/>
    <w:rPr>
      <w:b/>
      <w:bCs/>
      <w:smallCaps/>
      <w:color w:val="2F5496" w:themeColor="accent1" w:themeShade="BF"/>
      <w:spacing w:val="5"/>
    </w:rPr>
  </w:style>
  <w:style w:type="character" w:styleId="Hyperlink">
    <w:name w:val="Hyperlink"/>
    <w:uiPriority w:val="99"/>
    <w:unhideWhenUsed/>
    <w:rsid w:val="00F2448F"/>
    <w:rPr>
      <w:color w:val="0563C1"/>
      <w:u w:val="single"/>
    </w:rPr>
  </w:style>
  <w:style w:type="paragraph" w:styleId="NoSpacing">
    <w:name w:val="No Spacing"/>
    <w:uiPriority w:val="1"/>
    <w:qFormat/>
    <w:rsid w:val="00303EFB"/>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27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urancethoughtleadership.com/life-health/ai-tools-detect-healthcare-provider-fraud" TargetMode="External"/><Relationship Id="rId3" Type="http://schemas.openxmlformats.org/officeDocument/2006/relationships/settings" Target="settings.xml"/><Relationship Id="rId7" Type="http://schemas.openxmlformats.org/officeDocument/2006/relationships/hyperlink" Target="https://h2o.ai/solutions/use-case/claims-fraud-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loitte.com/us/en/insights/industry/health-care/agentic-ai-health-care-operating%20model-change.html" TargetMode="External"/><Relationship Id="rId5" Type="http://schemas.openxmlformats.org/officeDocument/2006/relationships/hyperlink" Target="http://www.coherehealth.com/blog/agentic-ai-health-plans-gartner-2026-insigh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 Pillai</dc:creator>
  <cp:keywords/>
  <dc:description/>
  <cp:lastModifiedBy>Sabna Pillai</cp:lastModifiedBy>
  <cp:revision>14</cp:revision>
  <dcterms:created xsi:type="dcterms:W3CDTF">2026-07-01T17:09:00Z</dcterms:created>
  <dcterms:modified xsi:type="dcterms:W3CDTF">2026-07-02T00:12:00Z</dcterms:modified>
</cp:coreProperties>
</file>