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E7D32"/>
          <w:sz w:val="32"/>
          <w:szCs w:val="32"/>
        </w:rPr>
        <w:t xml:space="preserve">Personne déjà inscrite à l'épicerie</w:t>
      </w:r>
    </w:p>
    <w:p>
      <w:pPr>
        <w:spacing w:after="40"/>
        <w:jc w:val="center"/>
      </w:pPr>
      <w:r>
        <w:rPr>
          <w:i/>
          <w:iCs/>
          <w:color w:val="666666"/>
          <w:sz w:val="22"/>
          <w:szCs w:val="22"/>
        </w:rPr>
        <w:t xml:space="preserve">Suite à votre essai du 1er septembre</w:t>
      </w:r>
    </w:p>
    <w:p>
      <w:pPr>
        <w:spacing w:after="300"/>
        <w:jc w:val="center"/>
      </w:pPr>
      <w:r>
        <w:rPr>
          <w:color w:val="666666"/>
          <w:sz w:val="18"/>
          <w:szCs w:val="18"/>
        </w:rPr>
        <w:t xml:space="preserve">1er septembre 2026</w:t>
      </w:r>
    </w:p>
    <w:p>
      <w:pPr>
        <w:pBdr>
          <w:bottom w:val="single" w:color="CCCCCC" w:sz="6" w:space="1"/>
        </w:pBdr>
        <w:spacing w:after="220"/>
      </w:pPr>
    </w:p>
    <w:p>
      <w:pPr>
        <w:pStyle w:val="Heading1"/>
        <w:spacing w:after="150" w:before="340"/>
      </w:pPr>
      <w:r>
        <w:rPr>
          <w:b/>
          <w:bCs/>
          <w:color w:val="2E7D32"/>
          <w:sz w:val="26"/>
          <w:szCs w:val="26"/>
        </w:rPr>
        <w:t xml:space="preserve">Ce que vous avez rencontré</w:t>
      </w:r>
    </w:p>
    <w:p>
      <w:pPr>
        <w:spacing w:after="130"/>
      </w:pPr>
      <w:r>
        <w:t xml:space="preserve">En créant une fiche de bénéficiaire avec l'adresse électronique d'une personne déjà inscrite à l'épicerie, vous avez pu enregistrer la fiche et passer des commandes pour elle — mais pas lui donner accès au catalogue. Le refus n'apparaissait qu'au dernier moment, sans explication utile.</w:t>
      </w:r>
    </w:p>
    <w:p>
      <w:pPr>
        <w:spacing w:after="130"/>
      </w:pPr>
      <w:r>
        <w:t xml:space="preserve">Deux choses étaient en cause : un défaut d'information, corrigé ; et une règle de fonctionnement, qu'il fallait trancher.</w:t>
      </w:r>
    </w:p>
    <w:p>
      <w:pPr>
        <w:pStyle w:val="Heading1"/>
        <w:spacing w:after="150" w:before="340"/>
      </w:pPr>
      <w:r>
        <w:rPr>
          <w:b/>
          <w:bCs/>
          <w:color w:val="2E7D32"/>
          <w:sz w:val="26"/>
          <w:szCs w:val="26"/>
        </w:rPr>
        <w:t xml:space="preserve">Le défaut, corrigé</w:t>
      </w:r>
    </w:p>
    <w:p>
      <w:pPr>
        <w:spacing w:after="130"/>
      </w:pPr>
      <w:r>
        <w:t xml:space="preserve">Vous êtes désormais averti dès la saisie de la fiche que l'adresse correspond à un compte existant. La fiche reste enregistrable, mais le bouton permettant de donner accès au catalogue est inactif, et la raison est indiquée.</w:t>
      </w:r>
    </w:p>
    <w:p>
      <w:pPr>
        <w:spacing w:after="130"/>
      </w:pPr>
      <w:r>
        <w:t xml:space="preserve">Une mention figure également sur la fiche, pour que l'information reste visible par la suite et n'oblige pas à s'en souvenir.</w:t>
      </w:r>
    </w:p>
    <w:p>
      <w:pPr>
        <w:pStyle w:val="Heading1"/>
        <w:spacing w:after="150" w:before="340"/>
      </w:pPr>
      <w:r>
        <w:rPr>
          <w:b/>
          <w:bCs/>
          <w:color w:val="2E7D32"/>
          <w:sz w:val="26"/>
          <w:szCs w:val="26"/>
        </w:rPr>
        <w:t xml:space="preserve">La règle, et pourquoi la maintenir</w:t>
      </w:r>
    </w:p>
    <w:p>
      <w:pPr>
        <w:spacing w:after="130"/>
      </w:pPr>
      <w:r>
        <w:t xml:space="preserve">Une personne inscrite à l'épicerie dispose déjà d'un compte, d'un mot de passe, de droits et de quotas mensuels. Lui accorder en plus une enveloppe du centre social ferait cohabiter deux mécanismes sur le même compte, avec des questions immédiates et sans réponse évidente :</w:t>
      </w:r>
    </w:p>
    <w:p>
      <w:pPr>
        <w:pStyle w:val="ListParagraph"/>
        <w:numPr>
          <w:ilvl w:val="0"/>
          <w:numId w:val="2"/>
        </w:numPr>
        <w:spacing w:after="70"/>
      </w:pPr>
      <w:r>
        <w:t xml:space="preserve">Pendant les trente jours d'un chèque, peut-elle encore faire ses courses habituelles à ses frais, ou tout est-il pris en charge ?</w:t>
      </w:r>
    </w:p>
    <w:p>
      <w:pPr>
        <w:pStyle w:val="ListParagraph"/>
        <w:numPr>
          <w:ilvl w:val="0"/>
          <w:numId w:val="2"/>
        </w:numPr>
        <w:spacing w:after="70"/>
      </w:pPr>
      <w:r>
        <w:t xml:space="preserve">À la validation d'un panier, qui paie — elle ou le centre social ? Et qui en décide ?</w:t>
      </w:r>
    </w:p>
    <w:p>
      <w:pPr>
        <w:pStyle w:val="ListParagraph"/>
        <w:numPr>
          <w:ilvl w:val="0"/>
          <w:numId w:val="2"/>
        </w:numPr>
        <w:spacing w:after="70"/>
      </w:pPr>
      <w:r>
        <w:t xml:space="preserve">Ces commandes s'imputent-elles sur ses quotas mensuels, ou s'y ajoutent-elles ?</w:t>
      </w:r>
    </w:p>
    <w:p>
      <w:pPr>
        <w:spacing w:after="130"/>
      </w:pPr>
      <w:r>
        <w:t xml:space="preserve">Répondre à ces questions supposerait un troisième parcours de commande, distinct des deux existants, avec ses écrans, ses contrôles et ses risques d'erreur — pour une situation qui restera rare.</w:t>
      </w:r>
    </w:p>
    <w:p>
      <w:pPr>
        <w:pStyle w:val="Heading1"/>
        <w:spacing w:after="150" w:before="340"/>
      </w:pPr>
      <w:r>
        <w:rPr>
          <w:b/>
          <w:bCs/>
          <w:color w:val="2E7D32"/>
          <w:sz w:val="26"/>
          <w:szCs w:val="26"/>
        </w:rPr>
        <w:t xml:space="preserve">Ce qui reste possible malgré tout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600"/>
        <w:gridCol w:w="4800"/>
      </w:tblGrid>
      <w:tr>
        <w:trPr>
          <w:tblHeader/>
        </w:trPr>
        <w:tc>
          <w:tcPr>
            <w:tcW w:type="dxa" w:w="4600"/>
            <w:shd w:fill="2E7D32" w:val="clear"/>
            <w:tcMar>
              <w:top w:type="dxa" w:w="100"/>
              <w:left w:type="dxa" w:w="120"/>
              <w:bottom w:type="dxa" w:w="100"/>
              <w:right w:type="dxa" w:w="120"/>
            </w:tcMar>
          </w:tcPr>
          <w:p>
            <w:r>
              <w:rPr>
                <w:b/>
                <w:bCs/>
                <w:color w:val="FFFFFF"/>
                <w:sz w:val="20"/>
                <w:szCs w:val="20"/>
              </w:rPr>
              <w:t xml:space="preserve">Cette personne peut-elle…</w:t>
            </w:r>
          </w:p>
        </w:tc>
        <w:tc>
          <w:tcPr>
            <w:tcW w:type="dxa" w:w="4800"/>
            <w:shd w:fill="2E7D32" w:val="clear"/>
            <w:tcMar>
              <w:top w:type="dxa" w:w="100"/>
              <w:left w:type="dxa" w:w="120"/>
              <w:bottom w:type="dxa" w:w="100"/>
              <w:right w:type="dxa" w:w="120"/>
            </w:tcMar>
          </w:tcPr>
          <w:p>
            <w:r>
              <w:rPr>
                <w:b/>
                <w:bCs/>
                <w:color w:val="FFFFFF"/>
                <w:sz w:val="20"/>
                <w:szCs w:val="20"/>
              </w:rPr>
              <w:t xml:space="preserve"/>
            </w:r>
          </w:p>
        </w:tc>
      </w:tr>
      <w:tr>
        <w:tc>
          <w:tcPr>
            <w:tcW w:type="dxa" w:w="4600"/>
            <w:tcMar>
              <w:top w:type="dxa" w:w="100"/>
              <w:left w:type="dxa" w:w="120"/>
              <w:bottom w:type="dxa" w:w="100"/>
              <w:right w:type="dxa" w:w="120"/>
            </w:tcMar>
          </w:tcPr>
          <w:p>
            <w:r>
              <w:rPr>
                <w:b/>
                <w:bCs/>
                <w:sz w:val="20"/>
                <w:szCs w:val="20"/>
              </w:rPr>
              <w:t xml:space="preserve">Commander elle-même à l'épicerie</w:t>
            </w:r>
          </w:p>
        </w:tc>
        <w:tc>
          <w:tcPr>
            <w:tcW w:type="dxa" w:w="4800"/>
            <w:tcMar>
              <w:top w:type="dxa" w:w="100"/>
              <w:left w:type="dxa" w:w="120"/>
              <w:bottom w:type="dxa" w:w="100"/>
              <w:right w:type="dxa" w:w="120"/>
            </w:tcMar>
          </w:tcPr>
          <w:p>
            <w:r>
              <w:rPr>
                <w:b w:val="false"/>
                <w:bCs w:val="false"/>
                <w:sz w:val="20"/>
                <w:szCs w:val="20"/>
              </w:rPr>
              <w:t xml:space="preserve">Oui, avec son compte et son mot de passe habituels, comme elle le fait déjà.</w:t>
            </w:r>
          </w:p>
        </w:tc>
      </w:tr>
      <w:tr>
        <w:tc>
          <w:tcPr>
            <w:tcW w:type="dxa" w:w="4600"/>
            <w:shd w:fill="F2F2F2" w:val="clear"/>
            <w:tcMar>
              <w:top w:type="dxa" w:w="100"/>
              <w:left w:type="dxa" w:w="120"/>
              <w:bottom w:type="dxa" w:w="100"/>
              <w:right w:type="dxa" w:w="120"/>
            </w:tcMar>
          </w:tcPr>
          <w:p>
            <w:r>
              <w:rPr>
                <w:b/>
                <w:bCs/>
                <w:sz w:val="20"/>
                <w:szCs w:val="20"/>
              </w:rPr>
              <w:t xml:space="preserve">Recevoir un colis urgent du centre social</w:t>
            </w:r>
          </w:p>
        </w:tc>
        <w:tc>
          <w:tcPr>
            <w:tcW w:type="dxa" w:w="4800"/>
            <w:shd w:fill="F2F2F2" w:val="clear"/>
            <w:tcMar>
              <w:top w:type="dxa" w:w="100"/>
              <w:left w:type="dxa" w:w="120"/>
              <w:bottom w:type="dxa" w:w="100"/>
              <w:right w:type="dxa" w:w="120"/>
            </w:tcMar>
          </w:tcPr>
          <w:p>
            <w:r>
              <w:rPr>
                <w:b w:val="false"/>
                <w:bCs w:val="false"/>
                <w:sz w:val="20"/>
                <w:szCs w:val="20"/>
              </w:rPr>
              <w:t xml:space="preserve">Oui. Le centre social compose le panier et la commande est prise en charge par sa structure.</w:t>
            </w:r>
          </w:p>
        </w:tc>
      </w:tr>
      <w:tr>
        <w:tc>
          <w:tcPr>
            <w:tcW w:type="dxa" w:w="4600"/>
            <w:tcMar>
              <w:top w:type="dxa" w:w="100"/>
              <w:left w:type="dxa" w:w="120"/>
              <w:bottom w:type="dxa" w:w="100"/>
              <w:right w:type="dxa" w:w="120"/>
            </w:tcMar>
          </w:tcPr>
          <w:p>
            <w:r>
              <w:rPr>
                <w:b/>
                <w:bCs/>
                <w:sz w:val="20"/>
                <w:szCs w:val="20"/>
              </w:rPr>
              <w:t xml:space="preserve">Recevoir un accès pour composer un colis payé par le centre social</w:t>
            </w:r>
          </w:p>
        </w:tc>
        <w:tc>
          <w:tcPr>
            <w:tcW w:type="dxa" w:w="4800"/>
            <w:tcMar>
              <w:top w:type="dxa" w:w="100"/>
              <w:left w:type="dxa" w:w="120"/>
              <w:bottom w:type="dxa" w:w="100"/>
              <w:right w:type="dxa" w:w="120"/>
            </w:tcMar>
          </w:tcPr>
          <w:p>
            <w:r>
              <w:rPr>
                <w:b w:val="false"/>
                <w:bCs w:val="false"/>
                <w:sz w:val="20"/>
                <w:szCs w:val="20"/>
              </w:rPr>
              <w:t xml:space="preserve">Non. C'est le seul point fermé.</w:t>
            </w:r>
          </w:p>
        </w:tc>
      </w:tr>
    </w:tbl>
    <w:p>
      <w:pPr>
        <w:spacing w:after="130"/>
      </w:pPr>
      <w:r>
        <w:t xml:space="preserve"/>
      </w:r>
    </w:p>
    <w:p>
      <w:pPr>
        <w:spacing w:after="130"/>
      </w:pPr>
      <w:r>
        <w:t xml:space="preserve">Autrement dit, personne n'est privé d'aide. Une personne inscrite à l'épicerie qui traverse une difficulté peut être dépannée par le centre social exactement comme les autres : c'est la première étape du dispositif, celle qui fonctionne depuis août. Seule la délégation lui est fermée — et elle en a le moins besoin, puisqu'elle sait déjà commander seule.</w:t>
      </w:r>
    </w:p>
    <w:p>
      <w:pPr>
        <w:pStyle w:val="Heading1"/>
        <w:spacing w:after="150" w:before="340"/>
      </w:pPr>
      <w:r>
        <w:rPr>
          <w:b/>
          <w:bCs/>
          <w:color w:val="2E7D32"/>
          <w:sz w:val="26"/>
          <w:szCs w:val="26"/>
        </w:rPr>
        <w:t xml:space="preserve">En résumé</w:t>
      </w:r>
    </w:p>
    <w:p>
      <w:pPr>
        <w:spacing w:after="130"/>
      </w:pPr>
      <w:r>
        <w:t xml:space="preserve">Le développement qu'appellerait la levée de cette règle serait disproportionné au regard du service rendu. La personne concernée sait commander, et le centre social peut la dépanner. Nous préférons donc un dispositif clair, dont chacun comprend les règles, à un dispositif complet mais dont personne ne saurait plus dire qui paie quoi.</w:t>
      </w:r>
    </w:p>
    <w:p>
      <w:pPr>
        <w:spacing w:after="130"/>
      </w:pPr>
      <w:r>
        <w:t xml:space="preserve">Cette position peut être révisée si l'usage montre que le cas est plus fréquent que prévu, ou s'il pose une difficulté concrète sur le terrain. Rien de ce qui a été construit n'empêche d'y revenir.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2026-09-01T13:29:40.277Z</dcterms:created>
  <dcterms:modified xsi:type="dcterms:W3CDTF">2026-09-01T13:29:40.278Z</dcterms:modified>
</cp:coreProperties>
</file>

<file path=docProps/custom.xml><?xml version="1.0" encoding="utf-8"?>
<Properties xmlns="http://schemas.openxmlformats.org/officeDocument/2006/custom-properties" xmlns:vt="http://schemas.openxmlformats.org/officeDocument/2006/docPropsVTypes"/>
</file>