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"/>
        <w:gridCol w:w="1518"/>
        <w:gridCol w:w="2625"/>
        <w:gridCol w:w="1985"/>
        <w:gridCol w:w="1842"/>
        <w:gridCol w:w="993"/>
        <w:tblGridChange w:id="0">
          <w:tblGrid>
            <w:gridCol w:w="530"/>
            <w:gridCol w:w="1518"/>
            <w:gridCol w:w="2625"/>
            <w:gridCol w:w="1985"/>
            <w:gridCol w:w="1842"/>
            <w:gridCol w:w="993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  <w:shd w:fill="ea9999" w:val="clear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Задание 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Описание на проекта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2"/>
            <w:shd w:fill="f4cccc" w:val="clear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Дисциплина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Проектиране на човеко-машинен интерфейс 2025-2026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6"/>
            <w:shd w:fill="ea999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shd w:fill="6fa8dc" w:val="clear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Участници в проекта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A">
            <w:pPr>
              <w:ind w:right="743"/>
              <w:rPr>
                <w:rFonts w:ascii="Roboto" w:cs="Roboto" w:eastAsia="Roboto" w:hAnsi="Roboto"/>
              </w:rPr>
            </w:pPr>
            <w:sdt>
              <w:sdtPr>
                <w:id w:val="-2031562905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gridSpan w:val="2"/>
            <w:shd w:fill="f4cccc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и фамилия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</w:rPr>
            </w:pPr>
            <w:sdt>
              <w:sdtPr>
                <w:id w:val="-2146026581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Факултетен №</w:t>
                </w:r>
              </w:sdtContent>
            </w:sdt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Специалност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Курс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Илиан Запрянов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8MI0600405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Калоя Марков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4MI0600392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Йоан Байчев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0MI0600328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Тугай Кафа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4MI0600275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* СИ =</w:t>
      </w:r>
      <w:r w:rsidDel="00000000" w:rsidR="00000000" w:rsidRPr="00000000">
        <w:rPr>
          <w:rFonts w:ascii="Roboto" w:cs="Roboto" w:eastAsia="Roboto" w:hAnsi="Roboto"/>
          <w:color w:val="b45f0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Софтуерно инженерство</w:t>
      </w:r>
    </w:p>
    <w:tbl>
      <w:tblPr>
        <w:tblStyle w:val="Table2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6237"/>
        <w:tblGridChange w:id="0">
          <w:tblGrid>
            <w:gridCol w:w="3256"/>
            <w:gridCol w:w="6237"/>
          </w:tblGrid>
        </w:tblGridChange>
      </w:tblGrid>
      <w:tr>
        <w:trPr>
          <w:cantSplit w:val="0"/>
          <w:trHeight w:val="656.95312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</w:rPr>
            </w:pPr>
            <w:bookmarkStart w:colFirst="0" w:colLast="0" w:name="_heading=h.wq31g87xpb25" w:id="0"/>
            <w:bookmarkEnd w:id="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на група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HCI_2026_group_8MI0600405_4MI0600392__0MI0600328_4MI0600275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230"/>
        <w:tblGridChange w:id="0">
          <w:tblGrid>
            <w:gridCol w:w="2263"/>
            <w:gridCol w:w="723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на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(AICO) Система за следене на екологичния отпечатък от AI</w:t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2264694"/>
        <w:tag w:val="goog_rdk_4"/>
      </w:sdtPr>
      <w:sdtContent>
        <w:tbl>
          <w:tblPr>
            <w:tblStyle w:val="Table4"/>
            <w:tblW w:w="9493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93"/>
            <w:tblGridChange w:id="0">
              <w:tblGrid>
                <w:gridCol w:w="9493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3F">
                <w:pPr>
                  <w:numPr>
                    <w:ilvl w:val="0"/>
                    <w:numId w:val="5"/>
                  </w:numPr>
                  <w:spacing w:after="200" w:line="276" w:lineRule="auto"/>
                  <w:ind w:left="360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Кратко описание на системата (Brief description of the system)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0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sdt>
                  <w:sdtPr>
                    <w:id w:val="1078539412"/>
                    <w:tag w:val="goog_rdk_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d0d0d"/>
                        <w:rtl w:val="0"/>
                      </w:rPr>
                      <w:t xml:space="preserve">Бързото навлизане на системи за изкуствен интелект в ежедневието (чатботове, генеративни модели, системи за препоръки, автоматизация в бизнеса) увеличава натоварването върху изчислителната инфраструктура: сървъри, GPU/TPU ускорители, мрежи и центрове за данни. Това натоварване изисква електроенергия, а в зависимост от енергийния микс (въглища, газ, ВЕИ и др.) води до различни количества емисии на парникови газове (CO₂e). 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Отделно, центровете за данни използват вода за охлаждане (директно чрез охладителни системи и/или индиректно чрез водата, нужна за производство на електроенергия), което добавя „воден отпечатък“ към AI натоварванията. </w:t>
                </w:r>
              </w:p>
              <w:p w:rsidR="00000000" w:rsidDel="00000000" w:rsidP="00000000" w:rsidRDefault="00000000" w:rsidRPr="00000000" w14:paraId="00000042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Много екипи и организации, които разработват или използват AI, нямат бърз, разбираем и сравним начин да оценят как дадена AI задача влияе върху околната среда. Съществуват методики и инструменти за оценка на енергия/емисии, но за потребителя често е трудно да избере правилните параметри и да интерпретира резултатите в реални термини (въздействие върху въздух/вода). </w:t>
                </w:r>
              </w:p>
              <w:p w:rsidR="00000000" w:rsidDel="00000000" w:rsidP="00000000" w:rsidRDefault="00000000" w:rsidRPr="00000000" w14:paraId="00000043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Проектът </w:t>
                </w: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d0d0d"/>
                    <w:rtl w:val="0"/>
                  </w:rPr>
                  <w:t xml:space="preserve">“AICO“</w:t>
                </w: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 представлява интерактивна система, която позволява на потребителя да въведе параметри за конкретно AI натоварване чрез форма и да получи оценка за екологичното въздействие: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1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приблизително потребление на електроенергия (kWh);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1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  <w:rPr/>
                </w:pPr>
                <w:sdt>
                  <w:sdtPr>
                    <w:id w:val="365003777"/>
                    <w:tag w:val="goog_rdk_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d0d0d"/>
                        <w:rtl w:val="0"/>
                      </w:rPr>
                      <w:t xml:space="preserve">приблизителни емисии CO₂e, свързани с използваната електроенергия</w:t>
                    </w:r>
                  </w:sdtContent>
                </w:sdt>
              </w:p>
              <w:p w:rsidR="00000000" w:rsidDel="00000000" w:rsidP="00000000" w:rsidRDefault="00000000" w:rsidRPr="00000000" w14:paraId="00000047">
                <w:pPr>
                  <w:numPr>
                    <w:ilvl w:val="0"/>
                    <w:numId w:val="1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ind w:left="900" w:hanging="360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приблизителен воден отпечатък (литри), свързан основно с охлаждане/електроенергия (когато е наличен параметър/коефициент за вода-ефективност). </w:t>
                </w:r>
              </w:p>
              <w:p w:rsidR="00000000" w:rsidDel="00000000" w:rsidP="00000000" w:rsidRDefault="00000000" w:rsidRPr="00000000" w14:paraId="00000048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Системата е замислена така, че да е полезна както за бърза „еднократна“ оценка (пример: „тези 2 часа inference колко натоварват природата?“), така и за проследяване във времето и сравнение на сценарии (пример: „ако преместя задачата в регион с по-чист ток“ или „ако сменя хардуера“).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72492900"/>
        <w:tag w:val="goog_rdk_5"/>
      </w:sdtPr>
      <w:sdtContent>
        <w:tbl>
          <w:tblPr>
            <w:tblStyle w:val="Table5"/>
            <w:tblW w:w="9493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93"/>
            <w:tblGridChange w:id="0">
              <w:tblGrid>
                <w:gridCol w:w="9493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4B">
                <w:pPr>
                  <w:numPr>
                    <w:ilvl w:val="0"/>
                    <w:numId w:val="5"/>
                  </w:numPr>
                  <w:spacing w:after="200" w:line="276" w:lineRule="auto"/>
                  <w:ind w:left="360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Бизнес нужди (Business Needs)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ind w:left="0" w:firstLine="0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Основната бизнес нужда е прозрачност и контрол: екипите да могат да измерват/оценяват екологичния отпечатък на AI задачите и да вземат по-информирани решения (избор на регион, хардуер, режим на работа, оптимизации). Географската локация и инфраструктурата на центъра за данни влияят силно върху емисиите; при едни и същи модели/натоварвания разликите могат да са многократни. 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Свойства на системата (System Features)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следва да поддържа: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Екран „Калкулатор/Форма“ за въвеждане на параметри (тип задача, време, хардуер, локация, ефективност на центъра за данни).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sdt>
              <w:sdtPr>
                <w:id w:val="48892150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d0d0d"/>
                    <w:rtl w:val="0"/>
                  </w:rPr>
                  <w:t xml:space="preserve">Автоматично изчисление на енергия (kWh), CO₂e и воден отпечатък на базата на стандартни/публични методики и параметри като:</w:t>
                </w:r>
              </w:sdtContent>
            </w:sdt>
          </w:p>
          <w:p w:rsidR="00000000" w:rsidDel="00000000" w:rsidP="00000000" w:rsidRDefault="00000000" w:rsidRPr="00000000" w14:paraId="0000005B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afterAutospacing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емисионен фактор на електроенергията по локация (location-based) и/или по договор (market-based), когато се поддържа; 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afterAutospacing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коефициент за ефективност на центъра за данни (PUE), който отчита „надбавката“ за охлаждане, UPS, осветление и др.; 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afterAutospacing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коефициент за вода‑ефективност (WUE), който свързва вода и IT енергия (литри/kWh).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sdt>
              <w:sdtPr>
                <w:id w:val="996254396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d0d0d"/>
                    <w:rtl w:val="0"/>
                  </w:rPr>
                  <w:t xml:space="preserve">Визуализация на резултата в ясна форма: числа + кратко тълкуване (напр. „въздействие върху въздуха (CO₂e)“ и „върху водата (литри)“), плюс показване кои входни фактори влияят най-много. </w:t>
                </w:r>
              </w:sdtContent>
            </w:sdt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Сравнение на сценарии (напр. „преди/след оптимизация“, „регион А срещу регион Б“, „хардуер 1 срещу хардуер 2“).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История и отчети: запазване на оценки, филтриране по период/проект, експорт (PDF/CSV) за вътрешна отчетност.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Надеждност и прозрачност на оценката: системата ясно да обозначава, че резултатите са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d0d0d"/>
                <w:rtl w:val="0"/>
              </w:rPr>
              <w:t xml:space="preserve">оценка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 (estimate), тъй като без пълни измервания и детайлни данни точната обратна оценка е трудна. </w:t>
            </w:r>
          </w:p>
          <w:p w:rsidR="00000000" w:rsidDel="00000000" w:rsidP="00000000" w:rsidRDefault="00000000" w:rsidRPr="00000000" w14:paraId="0000006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</w:rPr>
            </w:pPr>
            <w:sdt>
              <w:sdtPr>
                <w:id w:val="1075611947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d0d0d"/>
                    <w:rtl w:val="0"/>
                  </w:rPr>
                  <w:t xml:space="preserve">Контекстно, подобни оценки се използват и в практиката чрез инструменти, които свързват хардуерното потребление с въглеродната интензивност на региона (примерни общодостъпни подходи има в CodeCarbon и ML CO₂ калкулатори), което подкрепя реализуемостта на идеята.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08286469"/>
        <w:tag w:val="goog_rdk_10"/>
      </w:sdtPr>
      <w:sdtContent>
        <w:tbl>
          <w:tblPr>
            <w:tblStyle w:val="Table7"/>
            <w:tblW w:w="9493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93"/>
            <w:tblGridChange w:id="0">
              <w:tblGrid>
                <w:gridCol w:w="9493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65">
                <w:pPr>
                  <w:numPr>
                    <w:ilvl w:val="0"/>
                    <w:numId w:val="5"/>
                  </w:numPr>
                  <w:spacing w:after="200" w:line="276" w:lineRule="auto"/>
                  <w:ind w:left="360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Потребители, роли и нива на достъп (Users, roles and access levels)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6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Системата поддържа влизане на различни типове потребители. Нерегистрираният потребител по подразбиране е „гост“, който има минимални права (само бърза оценка).</w:t>
                </w:r>
              </w:p>
              <w:p w:rsidR="00000000" w:rsidDel="00000000" w:rsidP="00000000" w:rsidRDefault="00000000" w:rsidRPr="00000000" w14:paraId="00000067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Основните типове потребители и права са: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2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AI разработчик  – въвежда информация за training процеси и следи техния екологичен отпечатък.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2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Изследовател / анализатор – анализира енергийното потребление и сравнява различни AI модели.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2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Организация / компания – следи общото потребление на ресурси от AI инфраструктурата.</w:t>
                </w:r>
              </w:p>
              <w:p w:rsidR="00000000" w:rsidDel="00000000" w:rsidP="00000000" w:rsidRDefault="00000000" w:rsidRPr="00000000" w14:paraId="0000006B">
                <w:pPr>
                  <w:numPr>
                    <w:ilvl w:val="0"/>
                    <w:numId w:val="2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ind w:left="900" w:hanging="360"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Администратор – управлява потребителите и следи правилната работа на системата.</w:t>
                </w:r>
              </w:p>
              <w:p w:rsidR="00000000" w:rsidDel="00000000" w:rsidP="00000000" w:rsidRDefault="00000000" w:rsidRPr="00000000" w14:paraId="0000006C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Външни „системни актьори“ (интеграции), които могат да участват в част от сценариите:</w:t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0"/>
                    <w:numId w:val="3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</w:pPr>
                <w:sdt>
                  <w:sdtPr>
                    <w:id w:val="-1926971379"/>
                    <w:tag w:val="goog_rdk_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d0d0d"/>
                        <w:rtl w:val="0"/>
                      </w:rPr>
                      <w:t xml:space="preserve">Система за емисионни фактори / енергиен микс – източник на фактори за CO₂e/kWh по държава/регион (ако се поддържа автоматично обновяване). </w:t>
                    </w:r>
                  </w:sdtContent>
                </w:sdt>
              </w:p>
              <w:p w:rsidR="00000000" w:rsidDel="00000000" w:rsidP="00000000" w:rsidRDefault="00000000" w:rsidRPr="00000000" w14:paraId="0000006E">
                <w:pPr>
                  <w:numPr>
                    <w:ilvl w:val="0"/>
                    <w:numId w:val="3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ind w:left="900" w:hanging="360"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Система за мониторинг на инфраструктура (по избор) – ако организацията има измервания за реална консумация, може да ги подава към системата за по-точни оценки (това намалява несигурността). 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8794220"/>
        <w:tag w:val="goog_rdk_13"/>
      </w:sdtPr>
      <w:sdtContent>
        <w:tbl>
          <w:tblPr>
            <w:tblStyle w:val="Table8"/>
            <w:tblW w:w="9493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93"/>
            <w:tblGridChange w:id="0">
              <w:tblGrid>
                <w:gridCol w:w="9493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D">
                <w:pPr>
                  <w:numPr>
                    <w:ilvl w:val="0"/>
                    <w:numId w:val="5"/>
                  </w:numPr>
                  <w:spacing w:after="200" w:line="276" w:lineRule="auto"/>
                  <w:ind w:left="360"/>
                  <w:rPr>
                    <w:rFonts w:ascii="Roboto" w:cs="Roboto" w:eastAsia="Roboto" w:hAnsi="Roboto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rtl w:val="0"/>
                  </w:rPr>
                  <w:t xml:space="preserve">Бизнес предимства (Business benefits)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Ползите за потребителите (ML инженери, изследователи, продуктови екипи) са:</w:t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4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  <w:rPr/>
                </w:pPr>
                <w:sdt>
                  <w:sdtPr>
                    <w:id w:val="-141435849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d0d0d"/>
                        <w:rtl w:val="0"/>
                      </w:rPr>
                      <w:t xml:space="preserve">По-ясно разбиране колко „струва“ екологично една AI задача (най-вече чрез енергия и CO₂e, а при данни – и вода). </w:t>
                    </w:r>
                  </w:sdtContent>
                </w:sdt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4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Възможност да сравняват варианти и да избират по-екологични решения (регион с по-ниска въглеродна интензивност, по-ефективна инфраструктура, по-ефективен модел), което е реален лост според практиката в изследванията. 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4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ind w:left="900" w:hanging="360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По-добра комуникация вътре в екипа: резултатите са представени с човеко-разбираеми етикети (въздействие върху въздуха/водата), а не само „сървърни“ метрики. </w:t>
                </w:r>
              </w:p>
              <w:p w:rsidR="00000000" w:rsidDel="00000000" w:rsidP="00000000" w:rsidRDefault="00000000" w:rsidRPr="00000000" w14:paraId="00000082">
                <w:p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rPr>
                    <w:rFonts w:ascii="Roboto" w:cs="Roboto" w:eastAsia="Roboto" w:hAnsi="Roboto"/>
                    <w:color w:val="0d0d0d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Ползите за организациите (собственици/ръководители) са: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7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По-добра вътрешна отчетност за въздействието на дигиталните услуги, с възможност за двоен подход за изчисление, когато е нужно. </w:t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7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0" w:afterAutospacing="0" w:line="390" w:lineRule="auto"/>
                  <w:ind w:left="900" w:hanging="360"/>
                  <w:rPr/>
                </w:pPr>
                <w:sdt>
                  <w:sdtPr>
                    <w:id w:val="-525250126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color w:val="0d0d0d"/>
                        <w:rtl w:val="0"/>
                      </w:rPr>
                      <w:t xml:space="preserve">Подкрепа за политики по устойчивост и оптимизация на разходи: енергията и инфраструктурната ефективност са директно свързани и с финансовия разход, и с CO₂e. </w:t>
                    </w:r>
                  </w:sdtContent>
                </w:sdt>
              </w:p>
              <w:p w:rsidR="00000000" w:rsidDel="00000000" w:rsidP="00000000" w:rsidRDefault="00000000" w:rsidRPr="00000000" w14:paraId="00000085">
                <w:pPr>
                  <w:numPr>
                    <w:ilvl w:val="0"/>
                    <w:numId w:val="7"/>
                  </w:numPr>
                  <w:pBdr>
                    <w:top w:color="0d0d0d" w:space="0" w:sz="0" w:val="none"/>
                    <w:left w:color="0d0d0d" w:space="0" w:sz="0" w:val="none"/>
                    <w:bottom w:color="0d0d0d" w:space="0" w:sz="0" w:val="none"/>
                    <w:right w:color="0d0d0d" w:space="0" w:sz="0" w:val="none"/>
                    <w:between w:color="0d0d0d" w:space="0" w:sz="0" w:val="none"/>
                  </w:pBdr>
                  <w:shd w:fill="ffffff" w:val="clear"/>
                  <w:spacing w:after="120" w:line="390" w:lineRule="auto"/>
                  <w:ind w:left="900" w:hanging="360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d0d0d"/>
                    <w:rtl w:val="0"/>
                  </w:rPr>
                  <w:t xml:space="preserve">Намаляване на риска от „сляпо“ мащабиране: публични анализи подчертават, че енергийните нужди на центровете за данни са значими на глобално ниво и растат, включително заради AI натоварванията.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3720"/>
        <w:gridCol w:w="3675"/>
        <w:tblGridChange w:id="0">
          <w:tblGrid>
            <w:gridCol w:w="2925"/>
            <w:gridCol w:w="3720"/>
            <w:gridCol w:w="367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a9999" w:val="clear"/>
            <w:vAlign w:val="cente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200" w:before="24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Кратко описание на потребителските случаи (Use cases)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Име на потребителския случай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Кратко описание</w:t>
              <w:br w:type="textWrapping"/>
              <w:t xml:space="preserve">(Brief Descriptions)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Кратко описание на актьорите</w:t>
              <w:br w:type="textWrapping"/>
              <w:t xml:space="preserve">(Actor Brief Descriptions)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8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Регистрация на потребител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създава профил чрез въвеждане на лични данни и имейл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widowControl w:val="0"/>
              <w:spacing w:after="6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 разработчик / 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B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Добавяне на AI training задача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въвежда информация за training процес – хардуер, време на обучение и dataset.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6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 разработчик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E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Изчисляване на въглероден отпечатък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Roboto" w:cs="Roboto" w:eastAsia="Roboto" w:hAnsi="Roboto"/>
              </w:rPr>
            </w:pPr>
            <w:sdt>
              <w:sdtPr>
                <w:id w:val="103138811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Системата анализира въведените данни и изчислява CO₂ емисиите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1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Преглед на training задачиа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разглежда списък с всички training задачи..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Разработчик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4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Филтриране и търсене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филтрира задачите по модел, дата или хардуер.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7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Сравнение на AI модели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сравнява различни модели по енергийна ефективност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A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Визуализация на данни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показва графики и статистики за емисиите.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D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Генериране на отчет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генерира отчет за екологичния отпечатък..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Организация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B0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Анализ на енергийна ефективност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анализира ефективността на използваните ресурси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B3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Управление на потребители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Администраторът управлява акаунтите и ролите.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western" w:customStyle="1">
    <w:name w:val="western"/>
    <w:basedOn w:val="a"/>
    <w:rsid w:val="006316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3">
    <w:name w:val="List Paragraph"/>
    <w:basedOn w:val="a"/>
    <w:uiPriority w:val="34"/>
    <w:qFormat w:val="1"/>
    <w:rsid w:val="008B062E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D62CD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5" w:customStyle="1">
    <w:name w:val="Изнесен текст Знак"/>
    <w:basedOn w:val="a0"/>
    <w:link w:val="a4"/>
    <w:uiPriority w:val="99"/>
    <w:semiHidden w:val="1"/>
    <w:rsid w:val="00D62CD4"/>
    <w:rPr>
      <w:rFonts w:ascii="Tahoma" w:cs="Tahoma" w:hAnsi="Tahoma"/>
      <w:sz w:val="16"/>
      <w:szCs w:val="16"/>
    </w:rPr>
  </w:style>
  <w:style w:type="character" w:styleId="10" w:customStyle="1">
    <w:name w:val="Заглавие 1 Знак"/>
    <w:basedOn w:val="a0"/>
    <w:link w:val="1"/>
    <w:rsid w:val="003F0FAB"/>
    <w:rPr>
      <w:rFonts w:ascii="Arial" w:cs="Arial" w:eastAsia="Times New Roman" w:hAnsi="Arial"/>
      <w:b w:val="1"/>
      <w:sz w:val="24"/>
      <w:szCs w:val="20"/>
      <w:lang w:eastAsia="zh-CN"/>
    </w:rPr>
  </w:style>
  <w:style w:type="character" w:styleId="20" w:customStyle="1">
    <w:name w:val="Заглавие 2 Знак"/>
    <w:basedOn w:val="a0"/>
    <w:link w:val="2"/>
    <w:rsid w:val="003F0FAB"/>
    <w:rPr>
      <w:rFonts w:ascii="Arial" w:cs="Arial" w:eastAsia="Times New Roman" w:hAnsi="Arial"/>
      <w:b w:val="1"/>
      <w:sz w:val="20"/>
      <w:szCs w:val="20"/>
      <w:lang w:eastAsia="zh-CN"/>
    </w:rPr>
  </w:style>
  <w:style w:type="paragraph" w:styleId="Heading" w:customStyle="1">
    <w:name w:val="Heading"/>
    <w:basedOn w:val="a"/>
    <w:next w:val="a6"/>
    <w:rsid w:val="003F0FAB"/>
    <w:pPr>
      <w:suppressAutoHyphens w:val="1"/>
      <w:spacing w:after="60" w:before="240" w:line="240" w:lineRule="auto"/>
      <w:jc w:val="center"/>
    </w:pPr>
    <w:rPr>
      <w:rFonts w:ascii="Arial" w:cs="Arial" w:eastAsia="Times New Roman" w:hAnsi="Arial"/>
      <w:b w:val="1"/>
      <w:bCs w:val="1"/>
      <w:kern w:val="1"/>
      <w:sz w:val="32"/>
      <w:szCs w:val="32"/>
      <w:lang w:eastAsia="zh-CN"/>
    </w:rPr>
  </w:style>
  <w:style w:type="paragraph" w:styleId="a6">
    <w:name w:val="Body Text"/>
    <w:basedOn w:val="a"/>
    <w:link w:val="a7"/>
    <w:rsid w:val="003F0FAB"/>
    <w:pPr>
      <w:keepLines w:val="1"/>
      <w:widowControl w:val="0"/>
      <w:suppressAutoHyphens w:val="1"/>
      <w:spacing w:after="120" w:line="240" w:lineRule="atLeast"/>
      <w:ind w:left="720"/>
    </w:pPr>
    <w:rPr>
      <w:rFonts w:ascii="Times New Roman" w:cs="Times New Roman" w:eastAsia="Times New Roman" w:hAnsi="Times New Roman"/>
      <w:sz w:val="20"/>
      <w:szCs w:val="20"/>
      <w:lang w:eastAsia="zh-CN"/>
    </w:rPr>
  </w:style>
  <w:style w:type="character" w:styleId="a7" w:customStyle="1">
    <w:name w:val="Основен текст Знак"/>
    <w:basedOn w:val="a0"/>
    <w:link w:val="a6"/>
    <w:rsid w:val="003F0FAB"/>
    <w:rPr>
      <w:rFonts w:ascii="Times New Roman" w:cs="Times New Roman" w:eastAsia="Times New Roman" w:hAnsi="Times New Roman"/>
      <w:sz w:val="20"/>
      <w:szCs w:val="20"/>
      <w:lang w:eastAsia="zh-CN"/>
    </w:rPr>
  </w:style>
  <w:style w:type="table" w:styleId="a8">
    <w:name w:val="Table Grid"/>
    <w:basedOn w:val="a1"/>
    <w:uiPriority w:val="39"/>
    <w:rsid w:val="00A37855"/>
    <w:pPr>
      <w:spacing w:after="0" w:line="240" w:lineRule="auto"/>
    </w:pPr>
    <w:rPr>
      <w:lang w:val="bg-BG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O2U6LGQq8icJyLOpNZZpZiXHg==">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2015-03-07T13:40:00Z</dcterms:created>
  <dc:creator>admin</dc:creator>
</cp:coreProperties>
</file>