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0"/>
        <w:gridCol w:w="1518"/>
        <w:gridCol w:w="2625"/>
        <w:gridCol w:w="1985"/>
        <w:gridCol w:w="1842"/>
        <w:gridCol w:w="993"/>
        <w:tblGridChange w:id="0">
          <w:tblGrid>
            <w:gridCol w:w="530"/>
            <w:gridCol w:w="1518"/>
            <w:gridCol w:w="2625"/>
            <w:gridCol w:w="1985"/>
            <w:gridCol w:w="1842"/>
            <w:gridCol w:w="993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2"/>
            <w:shd w:fill="ea9999" w:val="clear"/>
          </w:tcPr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Задание 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Описание на проекта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gridSpan w:val="2"/>
            <w:shd w:fill="f4cccc" w:val="clear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Дисциплина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Проектиране на човеко-машинен интерфейс 2025-2026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6"/>
            <w:shd w:fill="ea999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shd w:fill="6fa8dc" w:val="clear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Участници в проекта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A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№</w:t>
            </w:r>
          </w:p>
        </w:tc>
        <w:tc>
          <w:tcPr>
            <w:gridSpan w:val="2"/>
            <w:shd w:fill="f4cccc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и фамилия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Факултетен №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Специалност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Курс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Илиан Запрянов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8MI0600405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Калоя Марков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4MI0600392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Йоан Байчев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0MI0600328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ind w:right="743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Тугай Кафа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4MI0600275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СИ*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III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* СИ =</w:t>
      </w:r>
      <w:r w:rsidDel="00000000" w:rsidR="00000000" w:rsidRPr="00000000">
        <w:rPr>
          <w:rFonts w:ascii="Roboto" w:cs="Roboto" w:eastAsia="Roboto" w:hAnsi="Roboto"/>
          <w:color w:val="b45f0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Софтуерно инженерство</w:t>
      </w:r>
    </w:p>
    <w:tbl>
      <w:tblPr>
        <w:tblStyle w:val="Table2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6237"/>
        <w:tblGridChange w:id="0">
          <w:tblGrid>
            <w:gridCol w:w="3256"/>
            <w:gridCol w:w="6237"/>
          </w:tblGrid>
        </w:tblGridChange>
      </w:tblGrid>
      <w:tr>
        <w:trPr>
          <w:cantSplit w:val="0"/>
          <w:trHeight w:val="656.953125" w:hRule="atLeast"/>
          <w:tblHeader w:val="0"/>
        </w:trPr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</w:rPr>
            </w:pPr>
            <w:bookmarkStart w:colFirst="0" w:colLast="0" w:name="_wq31g87xpb25" w:id="0"/>
            <w:bookmarkEnd w:id="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на група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HCI_2026_group_8MI0600405_4MI0600392__0MI0600328_4MI0600275</w:t>
            </w:r>
          </w:p>
        </w:tc>
      </w:tr>
    </w:tbl>
    <w:p w:rsidR="00000000" w:rsidDel="00000000" w:rsidP="00000000" w:rsidRDefault="00000000" w:rsidRPr="00000000" w14:paraId="0000003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230"/>
        <w:tblGridChange w:id="0">
          <w:tblGrid>
            <w:gridCol w:w="2263"/>
            <w:gridCol w:w="723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shd w:fill="ea9999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Име на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(AICO) Система за следене на екологичния отпечатък от AI</w:t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Кратко описание на системата (Brief description of the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Бързото навлизане на системи за изкуствен интелект в ежедневието (чатботове, генеративни модели, системи за препоръки, автоматизация в бизнеса) увеличава натоварването върху изчислителната инфраструктура: сървъри, GPU/TPU ускорители, мрежи и центрове за данни. Това натоварване изисква електроенергия, а в зависимост от енергийния микс (въглища, газ, ВЕИ и др.) води до различни количества емисии на парникови газове (CO₂e). </w:t>
            </w:r>
          </w:p>
          <w:p w:rsidR="00000000" w:rsidDel="00000000" w:rsidP="00000000" w:rsidRDefault="00000000" w:rsidRPr="00000000" w14:paraId="00000041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Отделно, центровете за данни използват вода за охлаждане (директно чрез охладителни системи и/или индиректно чрез водата, нужна за производство на електроенергия), което добавя „воден отпечатък“ към AI натоварванията. </w:t>
            </w:r>
          </w:p>
          <w:p w:rsidR="00000000" w:rsidDel="00000000" w:rsidP="00000000" w:rsidRDefault="00000000" w:rsidRPr="00000000" w14:paraId="00000042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Много екипи и организации, които разработват или използват AI, нямат бърз, разбираем и сравним начин да оценят как дадена AI задача влияе върху околната среда. Съществуват методики и инструменти за оценка на енергия/емисии, но за потребителя често е трудно да избере правилните параметри и да интерпретира резултатите в реални термини (въздействие върху въздух/вода). </w:t>
            </w:r>
          </w:p>
          <w:p w:rsidR="00000000" w:rsidDel="00000000" w:rsidP="00000000" w:rsidRDefault="00000000" w:rsidRPr="00000000" w14:paraId="00000043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Проектът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rtl w:val="0"/>
              </w:rPr>
              <w:t xml:space="preserve">“AICO“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 представлява интерактивна система, която позволява на потребителя да въведе параметри за конкретно AI натоварване чрез форма и да получи оценка за екологичното въздействие: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приблизително потребление на електроенергия (kWh);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приблизителни емисии CO₂e, свързани с използваната електроенергия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приблизителен воден отпечатък (литри), свързан основно с охлаждане/електроенергия (когато е наличен параметър/коефициент за вода-ефективност). </w:t>
            </w:r>
          </w:p>
          <w:p w:rsidR="00000000" w:rsidDel="00000000" w:rsidP="00000000" w:rsidRDefault="00000000" w:rsidRPr="00000000" w14:paraId="00000048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Системата е замислена така, че да е полезна както за бърза „еднократна“ оценка (пример: „тези 2 часа inference колко натоварват природата?“), така и за проследяване във времето и сравнение на сценарии (пример: „ако преместя задачата в регион с по-чист ток“ или „ако сменя хардуера“).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Бизнес нужди (Business Needs)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0" w:firstLine="0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Основната бизнес нужда е прозрачност и контрол: екипите да могат да измерват/оценяват екологичния отпечатък на AI задачите и да вземат по-информирани решения (избор на регион, хардуер, режим на работа, оптимизации). Географската локация и инфраструктурата на центъра за данни влияят силно върху емисиите; при едни и същи модели/натоварвания разликите могат да са многократни. </w:t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Свойства на системата (System Features)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Системата следва да поддържа: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Екран „Калкулатор/Форма“ за въвеждане на параметри (тип задача, време, хардуер, локация, ефективност на центъра за данни).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Автоматично изчисление на енергия (kWh), CO₂e и воден отпечатък на базата на стандартни/публични методики и параметри като:</w:t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afterAutospacing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емисионен фактор на електроенергията по локация (location-based) и/или по договор (market-based), когато се поддържа; 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afterAutospacing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коефициент за ефективност на центъра за данни (PUE), който отчита „надбавката“ за охлаждане, UPS, осветление и др.; 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pacing w:after="0" w:afterAutospacing="0" w:line="390" w:lineRule="auto"/>
              <w:ind w:left="18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коефициент за вода‑ефективност (WUE), който свързва вода и IT енергия (литри/kWh).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Визуализация на резултата в ясна форма: числа + кратко тълкуване (напр. „въздействие върху въздуха (CO₂e)“ и „върху водата (литри)“), плюс показване кои входни фактори влияят най-много. 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Сравнение на сценарии (напр. „преди/след оптимизация“, „регион А срещу регион Б“, „хардуер 1 срещу хардуер 2“).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История и отчети: запазване на оценки, филтриране по период/проект, експорт (PDF/CSV) за вътрешна отчетност.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Надеждност и прозрачност на оценката: системата ясно да обозначава, че резултатите са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d0d0d"/>
                <w:rtl w:val="0"/>
              </w:rPr>
              <w:t xml:space="preserve">оценка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 (estimate), тъй като без пълни измервания и детайлни данни точната обратна оценка е трудна. </w:t>
            </w:r>
          </w:p>
          <w:p w:rsidR="00000000" w:rsidDel="00000000" w:rsidP="00000000" w:rsidRDefault="00000000" w:rsidRPr="00000000" w14:paraId="00000062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Контекстно, подобни оценки се използват и в практиката чрез инструменти, които свързват хардуерното потребление с въглеродната интензивност на региона (примерни общодостъпни подходи има в CodeCarbon и ML CO₂ калкулатори), което подкрепя реализуемостта на идеята.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Потребители, роли и нива на достъп (Users, roles and access levels)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Системата поддържа влизане на различни типове потребители. Нерегистрираният потребител по подразбиране е „гост“, който има минимални права (само бърза оценка).</w:t>
            </w:r>
          </w:p>
          <w:p w:rsidR="00000000" w:rsidDel="00000000" w:rsidP="00000000" w:rsidRDefault="00000000" w:rsidRPr="00000000" w14:paraId="00000067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Основните типове потребители и права са: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AI разработчик  – въвежда информация за training процеси и следи техния екологичен отпечатък.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Изследовател / анализатор – анализира енергийното потребление и сравнява различни AI модели.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Организация / компания – следи общото потребление на ресурси от AI инфраструктурата.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Администратор – управлява потребителите и следи правилната работа на системата.</w:t>
            </w:r>
          </w:p>
          <w:p w:rsidR="00000000" w:rsidDel="00000000" w:rsidP="00000000" w:rsidRDefault="00000000" w:rsidRPr="00000000" w14:paraId="0000006C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Външни „системни актьори“ (интеграции), които могат да участват в част от сценариите: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Система за емисионни фактори / енергиен микс – източник на фактори за CO₂e/kWh по държава/регион (ако се поддържа автоматично обновяване). 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Система за мониторинг на инфраструктура (по избор) – ако организацията има измервания за реална консумация, може да ги подава към системата за по-точни оценки (това намалява несигурността). </w:t>
            </w:r>
          </w:p>
        </w:tc>
      </w:tr>
    </w:tbl>
    <w:p w:rsidR="00000000" w:rsidDel="00000000" w:rsidP="00000000" w:rsidRDefault="00000000" w:rsidRPr="00000000" w14:paraId="0000006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Бизнес предимства (Business benefits)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Ползите за потребителите (ML инженери, изследователи, продуктови екипи) са: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По-ясно разбиране колко „струва“ екологично една AI задача (най-вече чрез енергия и CO₂e, а при данни – и вода).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Възможност да сравняват варианти и да избират по-екологични решения (регион с по-ниска въглеродна интензивност, по-ефективна инфраструктура, по-ефективен модел), което е реален лост според практиката в изследванията. 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По-добра комуникация вътре в екипа: резултатите са представени с човеко-разбираеми етикети (въздействие върху въздуха/водата), а не само „сървърни“ метрики. </w:t>
            </w:r>
          </w:p>
          <w:p w:rsidR="00000000" w:rsidDel="00000000" w:rsidP="00000000" w:rsidRDefault="00000000" w:rsidRPr="00000000" w14:paraId="00000082">
            <w:p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rPr>
                <w:rFonts w:ascii="Roboto" w:cs="Roboto" w:eastAsia="Roboto" w:hAnsi="Roboto"/>
                <w:color w:val="0d0d0d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Ползите за организациите (собственици/ръководители) са: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По-добра вътрешна отчетност за въздействието на дигиталните услуги, с възможност за двоен подход за изчисление, когато е нужно.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0" w:afterAutospacing="0" w:line="390" w:lineRule="auto"/>
              <w:ind w:left="90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d0d0d"/>
                <w:rtl w:val="0"/>
              </w:rPr>
              <w:t xml:space="preserve">Подкрепа за политики по устойчивост и оптимизация на разходи: енергията и инфраструктурната ефективност са директно свързани и с финансовия разход, и с CO₂e.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7"/>
              </w:numPr>
              <w:pBdr>
                <w:top w:color="0d0d0d" w:space="0" w:sz="0" w:val="none"/>
                <w:left w:color="0d0d0d" w:space="0" w:sz="0" w:val="none"/>
                <w:bottom w:color="0d0d0d" w:space="0" w:sz="0" w:val="none"/>
                <w:right w:color="0d0d0d" w:space="0" w:sz="0" w:val="none"/>
                <w:between w:color="0d0d0d" w:space="0" w:sz="0" w:val="none"/>
              </w:pBdr>
              <w:shd w:fill="ffffff" w:val="clear"/>
              <w:spacing w:after="120" w:line="390" w:lineRule="auto"/>
              <w:ind w:left="90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rtl w:val="0"/>
              </w:rPr>
              <w:t xml:space="preserve">Намаляване на риска от „сляпо“ мащабиране: публични анализи подчертават, че енергийните нужди на центровете за данни са значими на глобално ниво и растат, включително заради AI натоварванията.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3720"/>
        <w:gridCol w:w="3675"/>
        <w:tblGridChange w:id="0">
          <w:tblGrid>
            <w:gridCol w:w="2925"/>
            <w:gridCol w:w="3720"/>
            <w:gridCol w:w="367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ea9999" w:val="clear"/>
            <w:vAlign w:val="center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spacing w:after="200" w:before="240" w:line="276" w:lineRule="auto"/>
              <w:ind w:left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Кратко описание на потребителските случаи (Use cases)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Име на потребителския случай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Кратко описание</w:t>
              <w:br w:type="textWrapping"/>
              <w:t xml:space="preserve">(Brief Descriptions)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Кратко описание на актьорите</w:t>
              <w:br w:type="textWrapping"/>
              <w:t xml:space="preserve">(Actor Brief Descriptions)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8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Регистрация на потребител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създава профил чрез въвеждане на лични данни и имейл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widowControl w:val="0"/>
              <w:spacing w:after="6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AI разработчик / 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B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Добавяне на AI training задача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въвежда информация за training процес – хардуер, време на обучение и dataset.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after="60" w:before="12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AI разработчик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9E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Изчисляване на въглероден отпечатък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Системата анализира въведените данни и изчислява CO₂ емисиите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1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Преглед на training задачиа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разглежда списък с всички training задачи..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Разработчик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4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Филтриране и търсене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филтрира задачите по модел, дата или хардуер.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7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Сравнение на AI модели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сравнява различни модели по енергийна ефективност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A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Визуализация на данни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показва графики и статистики за емисиите.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AD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Генериране на отчет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Потребителят генерира отчет за екологичния отпечатък..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Организация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B0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Анализ на енергийна ефективност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Системата анализира ефективността на използваните ресурси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Изследовател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B3">
            <w:pPr>
              <w:numPr>
                <w:ilvl w:val="1"/>
                <w:numId w:val="5"/>
              </w:numPr>
              <w:spacing w:after="200" w:line="276" w:lineRule="auto"/>
              <w:ind w:left="360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Управление на потребители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Администраторът управлява акаунтите и ролите.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Администратор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>
        <w:rFonts w:ascii="Arial" w:cs="Arial" w:eastAsia="Arial" w:hAnsi="Arial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