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8440B" w14:textId="5C0898D4" w:rsidR="0068002C" w:rsidRDefault="00000000">
      <w:pPr>
        <w:spacing w:after="160"/>
      </w:pPr>
      <w:r>
        <w:rPr>
          <w:b/>
          <w:bCs/>
          <w:color w:val="1F4E5F"/>
          <w:sz w:val="32"/>
          <w:szCs w:val="32"/>
        </w:rPr>
        <w:t xml:space="preserve">Response Transcript — Sample </w:t>
      </w:r>
      <w:r w:rsidR="00BC5F21">
        <w:rPr>
          <w:b/>
          <w:bCs/>
          <w:color w:val="1F4E5F"/>
          <w:sz w:val="32"/>
          <w:szCs w:val="32"/>
        </w:rPr>
        <w:t>1</w:t>
      </w:r>
    </w:p>
    <w:p w14:paraId="3EB75D32" w14:textId="77777777" w:rsidR="0068002C" w:rsidRDefault="0068002C">
      <w:pPr>
        <w:pBdr>
          <w:bottom w:val="single" w:sz="8" w:space="4" w:color="1F4E5F"/>
        </w:pBdr>
        <w:spacing w:after="240"/>
      </w:pPr>
    </w:p>
    <w:p w14:paraId="1B7F231B" w14:textId="77777777" w:rsidR="0068002C" w:rsidRDefault="00000000">
      <w:pPr>
        <w:spacing w:after="120"/>
      </w:pPr>
      <w:r>
        <w:rPr>
          <w:b/>
          <w:bCs/>
          <w:color w:val="1F4E5F"/>
        </w:rPr>
        <w:t>User Query</w:t>
      </w:r>
    </w:p>
    <w:p w14:paraId="77727169" w14:textId="77777777" w:rsidR="0068002C" w:rsidRDefault="00000000">
      <w:pPr>
        <w:pBdr>
          <w:left w:val="single" w:sz="12" w:space="8" w:color="1F4E5F"/>
        </w:pBdr>
        <w:spacing w:after="280"/>
        <w:ind w:left="360"/>
      </w:pPr>
      <w:r>
        <w:rPr>
          <w:i/>
          <w:iCs/>
        </w:rPr>
        <w:t>Give me a list of EU cases by Apple</w:t>
      </w:r>
    </w:p>
    <w:p w14:paraId="7C75C898" w14:textId="77777777" w:rsidR="0068002C" w:rsidRDefault="00000000">
      <w:pPr>
        <w:spacing w:after="120"/>
      </w:pPr>
      <w:r>
        <w:rPr>
          <w:b/>
          <w:bCs/>
          <w:color w:val="1F4E5F"/>
        </w:rPr>
        <w:t>System Response</w:t>
      </w:r>
    </w:p>
    <w:p w14:paraId="4D9D6E5F" w14:textId="77777777" w:rsidR="0068002C" w:rsidRDefault="00000000">
      <w:pPr>
        <w:spacing w:before="320" w:after="60"/>
      </w:pPr>
      <w:r>
        <w:rPr>
          <w:b/>
          <w:bCs/>
          <w:color w:val="808080"/>
          <w:spacing w:val="20"/>
          <w:sz w:val="18"/>
          <w:szCs w:val="18"/>
        </w:rPr>
        <w:t>ANTITRUST</w:t>
      </w:r>
    </w:p>
    <w:p w14:paraId="2BA015CB" w14:textId="77777777" w:rsidR="0068002C" w:rsidRDefault="00000000">
      <w:pPr>
        <w:spacing w:before="200" w:after="160"/>
      </w:pPr>
      <w:r>
        <w:rPr>
          <w:b/>
          <w:bCs/>
          <w:color w:val="1F4E5F"/>
        </w:rPr>
        <w:t>Apple – App Store Practices (music streaming) (Case AT.40437)</w:t>
      </w:r>
    </w:p>
    <w:p w14:paraId="3770DA13" w14:textId="77777777" w:rsidR="0068002C" w:rsidRDefault="00000000">
      <w:pPr>
        <w:spacing w:before="240" w:after="120"/>
      </w:pPr>
      <w:r>
        <w:rPr>
          <w:b/>
          <w:bCs/>
          <w:i/>
          <w:iCs/>
          <w:color w:val="1F4E5F"/>
        </w:rPr>
        <w:t>Case Background</w:t>
      </w:r>
    </w:p>
    <w:p w14:paraId="7F6ACFC2" w14:textId="77777777" w:rsidR="0068002C" w:rsidRDefault="00000000">
      <w:pPr>
        <w:spacing w:after="160"/>
      </w:pPr>
      <w:r>
        <w:t xml:space="preserve">The allegation made in this case concerns harm to consumers due to unfair trading conditions imposed by Apple on developers of music streaming apps, which prevent these developers from informing iOS users about their options and effectively exercising informed choice. </w:t>
      </w:r>
      <w:hyperlink r:id="rId7" w:history="1">
        <w:r>
          <w:rPr>
            <w:rStyle w:val="Hyperlink"/>
          </w:rPr>
          <w:t>[1]</w:t>
        </w:r>
      </w:hyperlink>
    </w:p>
    <w:p w14:paraId="3FB142E8" w14:textId="77777777" w:rsidR="0068002C" w:rsidRDefault="00000000">
      <w:pPr>
        <w:spacing w:after="160"/>
      </w:pPr>
      <w:r>
        <w:t xml:space="preserve">The companies involved in this case are Apple Inc. and Apple Distribution International Limited. </w:t>
      </w:r>
      <w:hyperlink r:id="rId8" w:history="1">
        <w:r>
          <w:rPr>
            <w:rStyle w:val="Hyperlink"/>
          </w:rPr>
          <w:t>[1]</w:t>
        </w:r>
      </w:hyperlink>
    </w:p>
    <w:p w14:paraId="0E609AD2" w14:textId="77777777" w:rsidR="0068002C" w:rsidRDefault="00000000">
      <w:pPr>
        <w:spacing w:after="160"/>
      </w:pPr>
      <w:r>
        <w:t xml:space="preserve">The case was initiated with the Statement of Objections in 2021. </w:t>
      </w:r>
      <w:hyperlink r:id="rId9" w:history="1">
        <w:r>
          <w:rPr>
            <w:rStyle w:val="Hyperlink"/>
          </w:rPr>
          <w:t>[1]</w:t>
        </w:r>
      </w:hyperlink>
    </w:p>
    <w:p w14:paraId="2B202A48" w14:textId="77777777" w:rsidR="0068002C" w:rsidRDefault="00000000">
      <w:pPr>
        <w:spacing w:after="160"/>
      </w:pPr>
      <w:r>
        <w:t xml:space="preserve">The violation involves a single and continuous infringement of competition rules, specifically Article 102 of the Treaty and Article 54 of the EEA Agreement. This infringement was conducted through practices that included horizontal price-fixing, market-sharing, and output-limitation agreements, which collectively restricted competition and harmed consumers by limiting their choices and access to information regarding music streaming services. </w:t>
      </w:r>
      <w:hyperlink r:id="rId10" w:history="1">
        <w:r>
          <w:rPr>
            <w:rStyle w:val="Hyperlink"/>
          </w:rPr>
          <w:t>[1]</w:t>
        </w:r>
      </w:hyperlink>
    </w:p>
    <w:p w14:paraId="0C02C448" w14:textId="77777777" w:rsidR="0068002C" w:rsidRDefault="00000000">
      <w:pPr>
        <w:spacing w:before="240" w:after="120"/>
      </w:pPr>
      <w:r>
        <w:rPr>
          <w:b/>
          <w:bCs/>
          <w:i/>
          <w:iCs/>
          <w:color w:val="1F4E5F"/>
        </w:rPr>
        <w:t>Case Progression</w:t>
      </w:r>
    </w:p>
    <w:p w14:paraId="6130B381" w14:textId="77777777" w:rsidR="0068002C" w:rsidRDefault="00000000">
      <w:pPr>
        <w:pStyle w:val="ListParagraph"/>
        <w:numPr>
          <w:ilvl w:val="0"/>
          <w:numId w:val="1"/>
        </w:numPr>
        <w:spacing w:after="120"/>
      </w:pPr>
      <w:r>
        <w:rPr>
          <w:b/>
          <w:bCs/>
        </w:rPr>
        <w:t xml:space="preserve">Case Initiation: </w:t>
      </w:r>
      <w:r>
        <w:t xml:space="preserve">The case identifier is AT.40437, initiated by the European Commission regarding Apple's App Store practices related to music streaming. This stage involved the Commission receiving a complaint from Spotify, which alleged anti-competitive behavior by Apple </w:t>
      </w:r>
      <w:hyperlink r:id="rId11" w:history="1">
        <w:r>
          <w:rPr>
            <w:rStyle w:val="Hyperlink"/>
          </w:rPr>
          <w:t>[1]</w:t>
        </w:r>
      </w:hyperlink>
      <w:r>
        <w:t>.</w:t>
      </w:r>
    </w:p>
    <w:p w14:paraId="2463424B" w14:textId="77777777" w:rsidR="0068002C" w:rsidRDefault="00000000">
      <w:pPr>
        <w:pStyle w:val="ListParagraph"/>
        <w:numPr>
          <w:ilvl w:val="0"/>
          <w:numId w:val="1"/>
        </w:numPr>
        <w:spacing w:after="120"/>
      </w:pPr>
      <w:r>
        <w:rPr>
          <w:b/>
          <w:bCs/>
        </w:rPr>
        <w:t xml:space="preserve">Preliminary Investigation: </w:t>
      </w:r>
      <w:r>
        <w:t xml:space="preserve">The Commission conducted a preliminary investigation to assess the validity of the complaint. This included gathering evidence on Apple's market practices and its impact on competition within the EEA, particularly focusing on the Anti-Steering Provisions that Apple enforced </w:t>
      </w:r>
      <w:hyperlink r:id="rId12" w:history="1">
        <w:r>
          <w:rPr>
            <w:rStyle w:val="Hyperlink"/>
          </w:rPr>
          <w:t>[1]</w:t>
        </w:r>
      </w:hyperlink>
      <w:r>
        <w:t>.</w:t>
      </w:r>
    </w:p>
    <w:p w14:paraId="0EF2F657" w14:textId="77777777" w:rsidR="0068002C" w:rsidRDefault="00000000">
      <w:pPr>
        <w:pStyle w:val="ListParagraph"/>
        <w:numPr>
          <w:ilvl w:val="0"/>
          <w:numId w:val="1"/>
        </w:numPr>
        <w:spacing w:after="120"/>
      </w:pPr>
      <w:r>
        <w:rPr>
          <w:b/>
          <w:bCs/>
        </w:rPr>
        <w:t xml:space="preserve">Statement of Objections issued: </w:t>
      </w:r>
      <w:r>
        <w:t xml:space="preserve">A Statement of Objections was issued, detailing the findings of the investigation and outlining the alleged infringements of Article 102 of the Treaty on the Functioning of the European Union. This document highlighted Apple's dominant position in the market and the ongoing nature of the infringement </w:t>
      </w:r>
      <w:hyperlink r:id="rId13" w:history="1">
        <w:r>
          <w:rPr>
            <w:rStyle w:val="Hyperlink"/>
          </w:rPr>
          <w:t>[1]</w:t>
        </w:r>
      </w:hyperlink>
      <w:r>
        <w:t>.</w:t>
      </w:r>
    </w:p>
    <w:p w14:paraId="19E118D6" w14:textId="77777777" w:rsidR="0068002C" w:rsidRDefault="00000000">
      <w:pPr>
        <w:pStyle w:val="ListParagraph"/>
        <w:numPr>
          <w:ilvl w:val="0"/>
          <w:numId w:val="1"/>
        </w:numPr>
        <w:spacing w:after="120"/>
      </w:pPr>
      <w:r>
        <w:rPr>
          <w:b/>
          <w:bCs/>
        </w:rPr>
        <w:t xml:space="preserve">Defense Phase: </w:t>
      </w:r>
      <w:r>
        <w:t xml:space="preserve">During this phase, Apple submitted written responses to the Statement of Objections and participated in an oral hearing. The Commission assessed Apple's arguments regarding procedural shortcomings and the sufficiency of the evidence presented </w:t>
      </w:r>
      <w:hyperlink r:id="rId14" w:history="1">
        <w:r>
          <w:rPr>
            <w:rStyle w:val="Hyperlink"/>
          </w:rPr>
          <w:t>[1]</w:t>
        </w:r>
      </w:hyperlink>
      <w:r>
        <w:t>.</w:t>
      </w:r>
    </w:p>
    <w:p w14:paraId="6B828A2E" w14:textId="77777777" w:rsidR="0068002C" w:rsidRDefault="00000000">
      <w:pPr>
        <w:pStyle w:val="ListParagraph"/>
        <w:numPr>
          <w:ilvl w:val="0"/>
          <w:numId w:val="1"/>
        </w:numPr>
        <w:spacing w:after="120"/>
      </w:pPr>
      <w:r>
        <w:rPr>
          <w:b/>
          <w:bCs/>
        </w:rPr>
        <w:t xml:space="preserve">Commission Decision: </w:t>
      </w:r>
      <w:r>
        <w:t xml:space="preserve">The Commission adopted a decision concluding that Apple had indeed infringed competition laws and imposed a fine of EUR 34,154,000. The decision also noted that the infringement was ongoing at the time of adoption, as Apple had not removed the Anti-Steering Provisions </w:t>
      </w:r>
      <w:hyperlink r:id="rId15" w:history="1">
        <w:r>
          <w:rPr>
            <w:rStyle w:val="Hyperlink"/>
          </w:rPr>
          <w:t>[1]</w:t>
        </w:r>
      </w:hyperlink>
      <w:r>
        <w:t>.</w:t>
      </w:r>
    </w:p>
    <w:p w14:paraId="09FBE8A5" w14:textId="77777777" w:rsidR="0068002C" w:rsidRDefault="00000000">
      <w:pPr>
        <w:pStyle w:val="ListParagraph"/>
        <w:numPr>
          <w:ilvl w:val="0"/>
          <w:numId w:val="1"/>
        </w:numPr>
        <w:spacing w:after="120"/>
      </w:pPr>
      <w:r>
        <w:lastRenderedPageBreak/>
        <w:t>The document does not cover any subsequent appeal or later stages of the process.</w:t>
      </w:r>
    </w:p>
    <w:p w14:paraId="2018C501" w14:textId="77777777" w:rsidR="0068002C" w:rsidRDefault="00000000">
      <w:pPr>
        <w:spacing w:before="240" w:after="120"/>
      </w:pPr>
      <w:r>
        <w:rPr>
          <w:b/>
          <w:bCs/>
          <w:i/>
          <w:iCs/>
          <w:color w:val="1F4E5F"/>
        </w:rPr>
        <w:t>Market Definition</w:t>
      </w:r>
    </w:p>
    <w:p w14:paraId="714A80A4" w14:textId="77777777" w:rsidR="0068002C" w:rsidRDefault="00000000">
      <w:pPr>
        <w:spacing w:after="160"/>
      </w:pPr>
      <w:r>
        <w:t xml:space="preserve">The market considered in this case is the provision of music streaming services, which is distinct from physical distribution of music and music downloading services. This distinction is based on both demand-side and supply-side perspectives. </w:t>
      </w:r>
      <w:hyperlink r:id="rId16" w:history="1">
        <w:r>
          <w:rPr>
            <w:rStyle w:val="Hyperlink"/>
          </w:rPr>
          <w:t>[1]</w:t>
        </w:r>
      </w:hyperlink>
    </w:p>
    <w:p w14:paraId="52360625" w14:textId="77777777" w:rsidR="0068002C" w:rsidRDefault="00000000">
      <w:pPr>
        <w:spacing w:after="160"/>
      </w:pPr>
      <w:r>
        <w:t xml:space="preserve">The Commission defined the relevant market as EEA-wide, acknowledging some variations in prices and music tastes across the EEA, but maintaining that these differences do not alter the overall market definition. </w:t>
      </w:r>
      <w:hyperlink r:id="rId17" w:history="1">
        <w:r>
          <w:rPr>
            <w:rStyle w:val="Hyperlink"/>
          </w:rPr>
          <w:t>[1]</w:t>
        </w:r>
      </w:hyperlink>
    </w:p>
    <w:p w14:paraId="7D9688F0" w14:textId="77777777" w:rsidR="0068002C" w:rsidRDefault="00000000">
      <w:pPr>
        <w:spacing w:after="160"/>
      </w:pPr>
      <w:r>
        <w:t xml:space="preserve">The market investigation involved examining the unfairness of the Anti-Steering Provisions specifically in relation to users of music streaming services, thereby excluding physical sales and music downloading services from the analysis. </w:t>
      </w:r>
      <w:hyperlink r:id="rId18" w:history="1">
        <w:r>
          <w:rPr>
            <w:rStyle w:val="Hyperlink"/>
          </w:rPr>
          <w:t>[1]</w:t>
        </w:r>
      </w:hyperlink>
    </w:p>
    <w:p w14:paraId="131054AE" w14:textId="77777777" w:rsidR="0068002C" w:rsidRDefault="00000000">
      <w:pPr>
        <w:spacing w:after="160"/>
      </w:pPr>
      <w:r>
        <w:t xml:space="preserve">The assessment of dominance in the market was based on the economic strength of the undertaking, which allows it to behave independently of competitors and consumers, as outlined in Article 102 of the Treaty. </w:t>
      </w:r>
      <w:hyperlink r:id="rId19" w:history="1">
        <w:r>
          <w:rPr>
            <w:rStyle w:val="Hyperlink"/>
          </w:rPr>
          <w:t>[1]</w:t>
        </w:r>
      </w:hyperlink>
    </w:p>
    <w:p w14:paraId="748D437E" w14:textId="77777777" w:rsidR="0068002C" w:rsidRDefault="00000000">
      <w:pPr>
        <w:spacing w:after="160"/>
      </w:pPr>
      <w:r>
        <w:t xml:space="preserve">The Commission considered various factors to determine dominance, including market share, barriers to entry, and the existence of countervailing buyer power, with a market share of 50% or above typically indicating dominance. </w:t>
      </w:r>
      <w:hyperlink r:id="rId20" w:history="1">
        <w:r>
          <w:rPr>
            <w:rStyle w:val="Hyperlink"/>
          </w:rPr>
          <w:t>[1]</w:t>
        </w:r>
      </w:hyperlink>
    </w:p>
    <w:p w14:paraId="6A632006" w14:textId="77777777" w:rsidR="0068002C" w:rsidRDefault="00000000">
      <w:pPr>
        <w:spacing w:after="160"/>
      </w:pPr>
      <w:r>
        <w:t xml:space="preserve">The investigation also took into account the implications of offering services free of charge and the presence of technical or economic constraints that could hinder users from switching providers. </w:t>
      </w:r>
      <w:hyperlink r:id="rId21" w:history="1">
        <w:r>
          <w:rPr>
            <w:rStyle w:val="Hyperlink"/>
          </w:rPr>
          <w:t>[1]</w:t>
        </w:r>
      </w:hyperlink>
    </w:p>
    <w:p w14:paraId="77D06BB4" w14:textId="77777777" w:rsidR="0068002C" w:rsidRDefault="00000000">
      <w:pPr>
        <w:spacing w:after="160"/>
      </w:pPr>
      <w:r>
        <w:t xml:space="preserve">The Commission's approach included analyzing the conduct of the dominant undertaking and its potential impact on competition and consumers, without requiring a comparison with the conduct of non-dominant competitors. </w:t>
      </w:r>
      <w:hyperlink r:id="rId22" w:history="1">
        <w:r>
          <w:rPr>
            <w:rStyle w:val="Hyperlink"/>
          </w:rPr>
          <w:t>[1]</w:t>
        </w:r>
      </w:hyperlink>
    </w:p>
    <w:p w14:paraId="11C0DD51" w14:textId="77777777" w:rsidR="0068002C" w:rsidRDefault="00000000">
      <w:pPr>
        <w:spacing w:before="240" w:after="120"/>
      </w:pPr>
      <w:r>
        <w:rPr>
          <w:b/>
          <w:bCs/>
          <w:i/>
          <w:iCs/>
          <w:color w:val="1F4E5F"/>
        </w:rPr>
        <w:t>Theories of Harm</w:t>
      </w:r>
    </w:p>
    <w:p w14:paraId="2EF728E5" w14:textId="77777777" w:rsidR="0068002C" w:rsidRDefault="00000000">
      <w:pPr>
        <w:pStyle w:val="ListParagraph"/>
        <w:numPr>
          <w:ilvl w:val="0"/>
          <w:numId w:val="1"/>
        </w:numPr>
        <w:spacing w:after="120"/>
      </w:pPr>
      <w:r>
        <w:rPr>
          <w:b/>
          <w:bCs/>
        </w:rPr>
        <w:t xml:space="preserve">Imposition of Unfair Trading Conditions: </w:t>
      </w:r>
      <w:r>
        <w:t xml:space="preserve">This theory of harm suggests that a dominant undertaking imposes trading conditions that are unfair to its trading partners or consumers. In this case, it is argued that Apple imposes Anti-Steering Provisions that prevent music streaming app developers from informing iOS users about alternative options, thereby harming consumers' ability to make informed choices. The reasoning is based on the notion that such conditions are detrimental to both developers and consumers, affecting parameters like price and choice. This is discussed in detail </w:t>
      </w:r>
      <w:hyperlink r:id="rId23" w:history="1">
        <w:r>
          <w:rPr>
            <w:rStyle w:val="Hyperlink"/>
          </w:rPr>
          <w:t>[1]</w:t>
        </w:r>
      </w:hyperlink>
      <w:r>
        <w:t>.</w:t>
      </w:r>
    </w:p>
    <w:p w14:paraId="5AE8A312" w14:textId="77777777" w:rsidR="0068002C" w:rsidRDefault="00000000">
      <w:pPr>
        <w:pStyle w:val="ListParagraph"/>
        <w:numPr>
          <w:ilvl w:val="0"/>
          <w:numId w:val="1"/>
        </w:numPr>
        <w:spacing w:after="120"/>
      </w:pPr>
      <w:r>
        <w:rPr>
          <w:b/>
          <w:bCs/>
        </w:rPr>
        <w:t xml:space="preserve">Exploitative Abuse: </w:t>
      </w:r>
      <w:r>
        <w:t xml:space="preserve">This theory posits that a dominant position can lead to exploitative practices that harm consumers directly. The Commission contends that Apple's conduct, which includes imposing unfair trading conditions, can be classified as exploitative abuse under Article 102(a) of the Treaty. The reasoning here is that the dominant position allows Apple to impose conditions that are not necessary for achieving legitimate objectives, thus causing direct harm to consumers. This is elaborated on in sections discussing the special responsibility of dominant undertakings, particularly </w:t>
      </w:r>
      <w:hyperlink r:id="rId24" w:history="1">
        <w:r>
          <w:rPr>
            <w:rStyle w:val="Hyperlink"/>
          </w:rPr>
          <w:t>[1]</w:t>
        </w:r>
      </w:hyperlink>
      <w:r>
        <w:t>.</w:t>
      </w:r>
    </w:p>
    <w:p w14:paraId="29C4C720" w14:textId="77777777" w:rsidR="0068002C" w:rsidRDefault="00000000">
      <w:pPr>
        <w:pStyle w:val="ListParagraph"/>
        <w:numPr>
          <w:ilvl w:val="0"/>
          <w:numId w:val="1"/>
        </w:numPr>
        <w:spacing w:after="120"/>
      </w:pPr>
      <w:r>
        <w:rPr>
          <w:b/>
          <w:bCs/>
        </w:rPr>
        <w:t xml:space="preserve">Failure to Discharge Burden of Proof: </w:t>
      </w:r>
      <w:r>
        <w:t xml:space="preserve">Apple argues that the Commission has not adequately proven its case, claiming reliance on incomplete and outdated information. This theory of harm focuses on the procedural aspect of the investigation, where Apple asserts that the Commission's findings are based on insufficient evidence, such as outdated data from Spotify's 2018 experiments. The Commission counters this by stating that it has taken appropriate investigatory steps and gathered sufficient evidence to support its conclusions. This argument is presented </w:t>
      </w:r>
      <w:hyperlink r:id="rId25" w:history="1">
        <w:r>
          <w:rPr>
            <w:rStyle w:val="Hyperlink"/>
          </w:rPr>
          <w:t>[1]</w:t>
        </w:r>
      </w:hyperlink>
      <w:r>
        <w:t>.</w:t>
      </w:r>
    </w:p>
    <w:p w14:paraId="7D17EB71" w14:textId="77777777" w:rsidR="0068002C" w:rsidRDefault="00000000">
      <w:pPr>
        <w:spacing w:before="240" w:after="120"/>
      </w:pPr>
      <w:r>
        <w:rPr>
          <w:b/>
          <w:bCs/>
          <w:i/>
          <w:iCs/>
          <w:color w:val="1F4E5F"/>
        </w:rPr>
        <w:t>Legal &amp; Economic Tests</w:t>
      </w:r>
    </w:p>
    <w:p w14:paraId="19B03F92" w14:textId="77777777" w:rsidR="0068002C" w:rsidRDefault="00000000">
      <w:pPr>
        <w:pStyle w:val="ListParagraph"/>
        <w:numPr>
          <w:ilvl w:val="0"/>
          <w:numId w:val="1"/>
        </w:numPr>
        <w:spacing w:after="120"/>
      </w:pPr>
      <w:r>
        <w:rPr>
          <w:b/>
          <w:bCs/>
        </w:rPr>
        <w:lastRenderedPageBreak/>
        <w:t xml:space="preserve">Dominance Assessment: </w:t>
      </w:r>
      <w:r>
        <w:t xml:space="preserve">The legal test for determining dominance involves evaluating whether an undertaking holds a position of economic strength that allows it to act independently of competitors, customers, and consumers. This assessment considers factors such as market share, barriers to entry, and the ability to influence market conditions. In this case, the Commission analyzed Apple's market share in the music streaming services sector and its ability to impose conditions on developers, concluding that Apple holds a dominant position </w:t>
      </w:r>
      <w:hyperlink r:id="rId26" w:history="1">
        <w:r>
          <w:rPr>
            <w:rStyle w:val="Hyperlink"/>
          </w:rPr>
          <w:t>[1]</w:t>
        </w:r>
      </w:hyperlink>
      <w:r>
        <w:t>.</w:t>
      </w:r>
    </w:p>
    <w:p w14:paraId="19837EB6" w14:textId="77777777" w:rsidR="0068002C" w:rsidRDefault="00000000">
      <w:pPr>
        <w:pStyle w:val="ListParagraph"/>
        <w:numPr>
          <w:ilvl w:val="0"/>
          <w:numId w:val="1"/>
        </w:numPr>
        <w:spacing w:after="120"/>
      </w:pPr>
      <w:r>
        <w:rPr>
          <w:b/>
          <w:bCs/>
        </w:rPr>
        <w:t xml:space="preserve">Abuse of Dominance: </w:t>
      </w:r>
      <w:r>
        <w:t xml:space="preserve">The economic test for abuse of dominance examines whether the conduct of a dominant undertaking harms competition or consumers. This includes evaluating practices that may exploit consumers or hinder competition, regardless of whether they reinforce the dominant position. The Commission investigated Apple's Anti- Steering Provisions and their impact on competition in the music streaming market, determining that these practices constituted an abuse of dominance </w:t>
      </w:r>
      <w:hyperlink r:id="rId27" w:history="1">
        <w:r>
          <w:rPr>
            <w:rStyle w:val="Hyperlink"/>
          </w:rPr>
          <w:t>[1]</w:t>
        </w:r>
      </w:hyperlink>
      <w:r>
        <w:t>.</w:t>
      </w:r>
    </w:p>
    <w:p w14:paraId="64A0C835" w14:textId="77777777" w:rsidR="0068002C" w:rsidRDefault="00000000">
      <w:pPr>
        <w:pStyle w:val="ListParagraph"/>
        <w:numPr>
          <w:ilvl w:val="0"/>
          <w:numId w:val="1"/>
        </w:numPr>
        <w:spacing w:after="120"/>
      </w:pPr>
      <w:r>
        <w:rPr>
          <w:b/>
          <w:bCs/>
        </w:rPr>
        <w:t xml:space="preserve">Single and Continuous Infringement: </w:t>
      </w:r>
      <w:r>
        <w:t xml:space="preserve">This legal test assesses whether a series of actions by an undertaking can be treated as a single infringement due to their interconnected nature and common objective. The Commission found that Apple's various practices related to the App Store and its treatment of developers formed a single and continuous infringement of competition rules, as they collectively contributed to the overall anti-competitive behavior </w:t>
      </w:r>
      <w:hyperlink r:id="rId28" w:history="1">
        <w:r>
          <w:rPr>
            <w:rStyle w:val="Hyperlink"/>
          </w:rPr>
          <w:t>[1]</w:t>
        </w:r>
      </w:hyperlink>
      <w:r>
        <w:t>.</w:t>
      </w:r>
    </w:p>
    <w:p w14:paraId="072D8D06" w14:textId="77777777" w:rsidR="0068002C" w:rsidRDefault="00000000">
      <w:pPr>
        <w:spacing w:before="240" w:after="120"/>
      </w:pPr>
      <w:r>
        <w:rPr>
          <w:b/>
          <w:bCs/>
          <w:i/>
          <w:iCs/>
          <w:color w:val="1F4E5F"/>
        </w:rPr>
        <w:t>Remedies</w:t>
      </w:r>
    </w:p>
    <w:p w14:paraId="7987C4A4" w14:textId="77777777" w:rsidR="0068002C" w:rsidRDefault="00000000">
      <w:pPr>
        <w:pStyle w:val="ListParagraph"/>
        <w:numPr>
          <w:ilvl w:val="0"/>
          <w:numId w:val="1"/>
        </w:numPr>
        <w:spacing w:after="120"/>
      </w:pPr>
      <w:r>
        <w:rPr>
          <w:b/>
          <w:bCs/>
        </w:rPr>
        <w:t xml:space="preserve">Removal of Anti-Steering Provisions: </w:t>
      </w:r>
      <w:r>
        <w:t xml:space="preserve">Apple is required to eliminate the Anti-Steering Provisions from the terms and conditions governing the use of its App Store by music streaming service providers. This remedy aims to allow these providers to freely communicate with iOS users about subscription options and enable users to make informed choices. The reasoning behind this is that the existing provisions hinder competition and limit consumer choice, which is deemed abusive under competition law. </w:t>
      </w:r>
      <w:hyperlink r:id="rId29" w:history="1">
        <w:r>
          <w:rPr>
            <w:rStyle w:val="Hyperlink"/>
          </w:rPr>
          <w:t>[1]</w:t>
        </w:r>
      </w:hyperlink>
    </w:p>
    <w:p w14:paraId="688FC0E3" w14:textId="77777777" w:rsidR="0068002C" w:rsidRDefault="00000000">
      <w:pPr>
        <w:pStyle w:val="ListParagraph"/>
        <w:numPr>
          <w:ilvl w:val="0"/>
          <w:numId w:val="1"/>
        </w:numPr>
        <w:spacing w:after="120"/>
      </w:pPr>
      <w:r>
        <w:rPr>
          <w:b/>
          <w:bCs/>
        </w:rPr>
        <w:t xml:space="preserve">Prohibition of Equivalent Practices: </w:t>
      </w:r>
      <w:r>
        <w:t xml:space="preserve">Apple must refrain from adopting any practices or measures that would have the same or equivalent effect as the Anti-Steering Provisions. This includes not making the acceptance of music streaming apps conditional upon adherence to any limitations that would undermine the effectiveness of the remedies. The rationale is to ensure that the removal of the Anti-Steering Provisions is not circumvented by other restrictive practices. </w:t>
      </w:r>
      <w:hyperlink r:id="rId30" w:history="1">
        <w:r>
          <w:rPr>
            <w:rStyle w:val="Hyperlink"/>
          </w:rPr>
          <w:t>[1]</w:t>
        </w:r>
      </w:hyperlink>
    </w:p>
    <w:p w14:paraId="6DE7A14C" w14:textId="77777777" w:rsidR="0068002C" w:rsidRDefault="00000000">
      <w:pPr>
        <w:pStyle w:val="ListParagraph"/>
        <w:numPr>
          <w:ilvl w:val="0"/>
          <w:numId w:val="1"/>
        </w:numPr>
        <w:spacing w:after="120"/>
      </w:pPr>
      <w:r>
        <w:rPr>
          <w:b/>
          <w:bCs/>
        </w:rPr>
        <w:t xml:space="preserve">Monitoring and Compliance: </w:t>
      </w:r>
      <w:r>
        <w:t xml:space="preserve">The Commission is entitled to monitor Apple's implementation of the ordered remedies and can use investigative powers to ensure compliance. This remedy is crucial for enforcing the decision and ensuring that Apple adheres to the requirements without undue delay. The reasoning is that ongoing oversight is necessary to prevent any potential non-compliance or attempts to undermine the remedies. </w:t>
      </w:r>
      <w:hyperlink r:id="rId31" w:history="1">
        <w:r>
          <w:rPr>
            <w:rStyle w:val="Hyperlink"/>
          </w:rPr>
          <w:t>[1]</w:t>
        </w:r>
      </w:hyperlink>
    </w:p>
    <w:p w14:paraId="6A23E2D5" w14:textId="77777777" w:rsidR="0068002C" w:rsidRDefault="00000000">
      <w:pPr>
        <w:spacing w:before="240" w:after="120"/>
      </w:pPr>
      <w:r>
        <w:rPr>
          <w:b/>
          <w:bCs/>
          <w:i/>
          <w:iCs/>
          <w:color w:val="1F4E5F"/>
        </w:rPr>
        <w:t>Conclusion</w:t>
      </w:r>
    </w:p>
    <w:p w14:paraId="7DC1F9E4" w14:textId="77777777" w:rsidR="0068002C" w:rsidRDefault="00000000">
      <w:pPr>
        <w:pStyle w:val="ListParagraph"/>
        <w:numPr>
          <w:ilvl w:val="0"/>
          <w:numId w:val="1"/>
        </w:numPr>
        <w:spacing w:after="120"/>
      </w:pPr>
      <w:r>
        <w:t xml:space="preserve">The Commission concluded that Apple engaged in abusive conduct by imposing unfair trading conditions on developers of music streaming apps, which negatively affected consumers by preventing them from being adequately informed about their options and exercising informed choices </w:t>
      </w:r>
      <w:hyperlink r:id="rId32" w:history="1">
        <w:r>
          <w:rPr>
            <w:rStyle w:val="Hyperlink"/>
          </w:rPr>
          <w:t>[1]</w:t>
        </w:r>
      </w:hyperlink>
      <w:r>
        <w:t>.</w:t>
      </w:r>
    </w:p>
    <w:p w14:paraId="159C8AFA" w14:textId="77777777" w:rsidR="0068002C" w:rsidRDefault="00000000">
      <w:pPr>
        <w:pStyle w:val="ListParagraph"/>
        <w:numPr>
          <w:ilvl w:val="0"/>
          <w:numId w:val="1"/>
        </w:numPr>
        <w:spacing w:after="120"/>
      </w:pPr>
      <w:r>
        <w:t xml:space="preserve">Apple was ordered to comply with the remedies outlined in the Decision without undue delay, which included the removal of Anti-Steering Provisions that hindered developers from informing users about subscription options </w:t>
      </w:r>
      <w:hyperlink r:id="rId33" w:history="1">
        <w:r>
          <w:rPr>
            <w:rStyle w:val="Hyperlink"/>
          </w:rPr>
          <w:t>[1]</w:t>
        </w:r>
      </w:hyperlink>
      <w:r>
        <w:t>.</w:t>
      </w:r>
    </w:p>
    <w:p w14:paraId="318C6912" w14:textId="77777777" w:rsidR="0068002C" w:rsidRDefault="00000000">
      <w:pPr>
        <w:pStyle w:val="ListParagraph"/>
        <w:numPr>
          <w:ilvl w:val="0"/>
          <w:numId w:val="1"/>
        </w:numPr>
        <w:spacing w:after="120"/>
      </w:pPr>
      <w:r>
        <w:t xml:space="preserve">The Commission established that if Apple failed to implement the required measures within 30 days of notification, it would incur periodic penalty payments of up to 5% of its average daily turnover from the preceding business year for each day of non-compliance </w:t>
      </w:r>
      <w:hyperlink r:id="rId34" w:history="1">
        <w:r>
          <w:rPr>
            <w:rStyle w:val="Hyperlink"/>
          </w:rPr>
          <w:t>[1]</w:t>
        </w:r>
      </w:hyperlink>
      <w:r>
        <w:t>.</w:t>
      </w:r>
    </w:p>
    <w:p w14:paraId="72A79F9E" w14:textId="77777777" w:rsidR="0068002C" w:rsidRDefault="00000000">
      <w:pPr>
        <w:pStyle w:val="ListParagraph"/>
        <w:numPr>
          <w:ilvl w:val="0"/>
          <w:numId w:val="1"/>
        </w:numPr>
        <w:spacing w:after="120"/>
      </w:pPr>
      <w:r>
        <w:t xml:space="preserve">A fine of EUR 34,154,000 was imposed on Apple for the single and continuous infringement, taking into account the gravity and duration of the infringement, as well as aggravating factors such as the submission of incorrect information during the investigation </w:t>
      </w:r>
      <w:hyperlink r:id="rId35" w:history="1">
        <w:r>
          <w:rPr>
            <w:rStyle w:val="Hyperlink"/>
          </w:rPr>
          <w:t>[1]</w:t>
        </w:r>
      </w:hyperlink>
      <w:r>
        <w:t>.</w:t>
      </w:r>
    </w:p>
    <w:p w14:paraId="23A36690" w14:textId="77777777" w:rsidR="0068002C" w:rsidRDefault="00000000">
      <w:pPr>
        <w:pStyle w:val="ListParagraph"/>
        <w:numPr>
          <w:ilvl w:val="0"/>
          <w:numId w:val="1"/>
        </w:numPr>
        <w:spacing w:after="120"/>
      </w:pPr>
      <w:r>
        <w:t xml:space="preserve">The Commission determined that the duration of the infringement was approximately 8.68 years for the EEA (excluding the UK) and 5.50 years for the UK, which contributed to the calculation of the fine </w:t>
      </w:r>
      <w:hyperlink r:id="rId36" w:history="1">
        <w:r>
          <w:rPr>
            <w:rStyle w:val="Hyperlink"/>
          </w:rPr>
          <w:t>[1]</w:t>
        </w:r>
      </w:hyperlink>
      <w:r>
        <w:t>.</w:t>
      </w:r>
    </w:p>
    <w:p w14:paraId="4EA26705" w14:textId="77777777" w:rsidR="0068002C" w:rsidRDefault="00000000">
      <w:pPr>
        <w:pStyle w:val="ListParagraph"/>
        <w:numPr>
          <w:ilvl w:val="0"/>
          <w:numId w:val="1"/>
        </w:numPr>
        <w:spacing w:after="120"/>
      </w:pPr>
      <w:r>
        <w:t xml:space="preserve">The Commission emphasized that the fines were set at a level sufficient to ensure deterrence, reflecting the seriousness of the infringement and the need to prevent similar conduct in the future </w:t>
      </w:r>
      <w:hyperlink r:id="rId37" w:history="1">
        <w:r>
          <w:rPr>
            <w:rStyle w:val="Hyperlink"/>
          </w:rPr>
          <w:t>[1]</w:t>
        </w:r>
      </w:hyperlink>
      <w:r>
        <w:t>.</w:t>
      </w:r>
    </w:p>
    <w:p w14:paraId="47571A4F" w14:textId="77777777" w:rsidR="0068002C" w:rsidRDefault="00000000">
      <w:pPr>
        <w:spacing w:before="200" w:after="160"/>
      </w:pPr>
      <w:r>
        <w:rPr>
          <w:b/>
          <w:bCs/>
          <w:color w:val="1F4E5F"/>
        </w:rPr>
        <w:t>Apple Inc. and Apple Distribution International Limited - Case AT.40452</w:t>
      </w:r>
    </w:p>
    <w:p w14:paraId="73992D53" w14:textId="77777777" w:rsidR="0068002C" w:rsidRDefault="00000000">
      <w:pPr>
        <w:spacing w:before="240" w:after="120"/>
      </w:pPr>
      <w:r>
        <w:rPr>
          <w:b/>
          <w:bCs/>
          <w:i/>
          <w:iCs/>
          <w:color w:val="1F4E5F"/>
        </w:rPr>
        <w:t>Case Background</w:t>
      </w:r>
    </w:p>
    <w:p w14:paraId="566CC72E" w14:textId="77777777" w:rsidR="0068002C" w:rsidRDefault="00000000">
      <w:pPr>
        <w:spacing w:after="160"/>
      </w:pPr>
      <w:r>
        <w:t xml:space="preserve">The allegation made in this case involves decisions related to the NFC Entitlement Program and the treatment of Developer Applicants under this program. </w:t>
      </w:r>
      <w:hyperlink r:id="rId38" w:history="1">
        <w:r>
          <w:rPr>
            <w:rStyle w:val="Hyperlink"/>
          </w:rPr>
          <w:t>[2]</w:t>
        </w:r>
      </w:hyperlink>
    </w:p>
    <w:p w14:paraId="26221DA2" w14:textId="77777777" w:rsidR="0068002C" w:rsidRDefault="00000000">
      <w:pPr>
        <w:spacing w:after="160"/>
      </w:pPr>
      <w:r>
        <w:t xml:space="preserve">The company against which the allegations are made is Apple. </w:t>
      </w:r>
      <w:hyperlink r:id="rId39" w:history="1">
        <w:r>
          <w:rPr>
            <w:rStyle w:val="Hyperlink"/>
          </w:rPr>
          <w:t>[2]</w:t>
        </w:r>
      </w:hyperlink>
    </w:p>
    <w:p w14:paraId="05D7953D" w14:textId="77777777" w:rsidR="0068002C" w:rsidRDefault="00000000">
      <w:pPr>
        <w:spacing w:after="160"/>
      </w:pPr>
      <w:r>
        <w:t xml:space="preserve">The year of case initiation is not explicitly stated in the provided information. (No specific page reference) The violation pertains to the failure to authorize Developer Applicants under the NFC Entitlement Program, including decisions to revoke, restrict, or deny access to the program. This was conducted through a process that may have involved security concerns and a lack of timely decisions on requests, which directly impacted developers' access to the program. </w:t>
      </w:r>
      <w:hyperlink r:id="rId40" w:history="1">
        <w:r>
          <w:rPr>
            <w:rStyle w:val="Hyperlink"/>
          </w:rPr>
          <w:t>[2]</w:t>
        </w:r>
      </w:hyperlink>
    </w:p>
    <w:p w14:paraId="3A850047" w14:textId="77777777" w:rsidR="0068002C" w:rsidRDefault="00000000">
      <w:pPr>
        <w:spacing w:before="240" w:after="120"/>
      </w:pPr>
      <w:r>
        <w:rPr>
          <w:b/>
          <w:bCs/>
          <w:i/>
          <w:iCs/>
          <w:color w:val="1F4E5F"/>
        </w:rPr>
        <w:t>Case Progression</w:t>
      </w:r>
    </w:p>
    <w:p w14:paraId="1B6889B3" w14:textId="77777777" w:rsidR="0068002C" w:rsidRDefault="00000000">
      <w:pPr>
        <w:pStyle w:val="ListParagraph"/>
        <w:numPr>
          <w:ilvl w:val="0"/>
          <w:numId w:val="1"/>
        </w:numPr>
        <w:spacing w:after="120"/>
      </w:pPr>
      <w:r>
        <w:rPr>
          <w:b/>
          <w:bCs/>
        </w:rPr>
        <w:t xml:space="preserve">Case Initiation: </w:t>
      </w:r>
      <w:r>
        <w:t xml:space="preserve">The case identifier is AT.40452. This case involves the NFC Entitlement Program Dispute Resolution Procedure, which allows developers to appeal decisions made by Apple regarding access to the NFC Controller </w:t>
      </w:r>
      <w:hyperlink r:id="rId41" w:history="1">
        <w:r>
          <w:rPr>
            <w:rStyle w:val="Hyperlink"/>
          </w:rPr>
          <w:t>[2]</w:t>
        </w:r>
      </w:hyperlink>
      <w:r>
        <w:t>.</w:t>
      </w:r>
    </w:p>
    <w:p w14:paraId="14774CB4" w14:textId="77777777" w:rsidR="0068002C" w:rsidRDefault="00000000">
      <w:pPr>
        <w:pStyle w:val="ListParagraph"/>
        <w:numPr>
          <w:ilvl w:val="0"/>
          <w:numId w:val="1"/>
        </w:numPr>
        <w:spacing w:after="120"/>
      </w:pPr>
      <w:r>
        <w:rPr>
          <w:b/>
          <w:bCs/>
        </w:rPr>
        <w:t xml:space="preserve">Preliminary Investigation: </w:t>
      </w:r>
      <w:r>
        <w:t xml:space="preserve">The document does not provide specific details about the preliminary investigation phase, such as whether evidence was found or if commitments were accepted. Therefore, this stage is not covered in the document. Statement of Objections issued: There is no mention of a Statement of Objections being issued in the document, indicating that this stage has not occurred or is not detailed here. Defense Phase: The document outlines the process for appeals, including the submission of a Notice of Appeal by the Requesting Party and the subsequent appointment of a Panel to review the appeal </w:t>
      </w:r>
      <w:hyperlink r:id="rId42" w:history="1">
        <w:r>
          <w:rPr>
            <w:rStyle w:val="Hyperlink"/>
          </w:rPr>
          <w:t>[2]</w:t>
        </w:r>
      </w:hyperlink>
      <w:r>
        <w:t>.</w:t>
      </w:r>
    </w:p>
    <w:p w14:paraId="3FC66377" w14:textId="77777777" w:rsidR="0068002C" w:rsidRDefault="00000000">
      <w:pPr>
        <w:pStyle w:val="ListParagraph"/>
        <w:numPr>
          <w:ilvl w:val="0"/>
          <w:numId w:val="1"/>
        </w:numPr>
        <w:spacing w:after="120"/>
      </w:pPr>
      <w:r>
        <w:rPr>
          <w:b/>
          <w:bCs/>
        </w:rPr>
        <w:t xml:space="preserve">Commission Decision: </w:t>
      </w:r>
      <w:r>
        <w:t>The document does not detail a Commission Decision, so this stage is not covered. General Court: The document does not address any proceedings in the General Court, indicating that this stage has not occurred or is not included in the information provided. Overall, the document primarily focuses on the appeal process rather than the earlier stages of the EU competition law case progression.</w:t>
      </w:r>
    </w:p>
    <w:p w14:paraId="38E2B069" w14:textId="77777777" w:rsidR="0068002C" w:rsidRDefault="00000000">
      <w:pPr>
        <w:spacing w:before="240" w:after="120"/>
      </w:pPr>
      <w:r>
        <w:rPr>
          <w:b/>
          <w:bCs/>
          <w:i/>
          <w:iCs/>
          <w:color w:val="1F4E5F"/>
        </w:rPr>
        <w:t>Market Definition</w:t>
      </w:r>
    </w:p>
    <w:p w14:paraId="6B96805D" w14:textId="77777777" w:rsidR="0068002C" w:rsidRDefault="00000000">
      <w:pPr>
        <w:spacing w:after="160"/>
      </w:pPr>
      <w:r>
        <w:t xml:space="preserve">The market considered in this case involves the development and distribution of HCE Payment Applications that utilize Host Card Emulation technology for payment transactions on mobile devices. </w:t>
      </w:r>
      <w:hyperlink r:id="rId43" w:history="1">
        <w:r>
          <w:rPr>
            <w:rStyle w:val="Hyperlink"/>
          </w:rPr>
          <w:t>[2]</w:t>
        </w:r>
      </w:hyperlink>
    </w:p>
    <w:p w14:paraId="07C74FEC" w14:textId="77777777" w:rsidR="0068002C" w:rsidRDefault="00000000">
      <w:pPr>
        <w:spacing w:after="160"/>
      </w:pPr>
      <w:r>
        <w:t xml:space="preserve">The process to define the market included assessing the eligibility criteria for HCE Developers and the functionalities of HCE Payment Applications in relation to NFC technology. </w:t>
      </w:r>
      <w:hyperlink r:id="rId44" w:history="1">
        <w:r>
          <w:rPr>
            <w:rStyle w:val="Hyperlink"/>
          </w:rPr>
          <w:t>[2]</w:t>
        </w:r>
      </w:hyperlink>
    </w:p>
    <w:p w14:paraId="0451C603" w14:textId="77777777" w:rsidR="0068002C" w:rsidRDefault="00000000">
      <w:pPr>
        <w:spacing w:after="160"/>
      </w:pPr>
      <w:r>
        <w:t xml:space="preserve">Techniques used in defining the market included analyzing the technological capabilities of NFC and HCE, as well as the competitive landscape for mobile payment solutions. </w:t>
      </w:r>
      <w:hyperlink r:id="rId45" w:history="1">
        <w:r>
          <w:rPr>
            <w:rStyle w:val="Hyperlink"/>
          </w:rPr>
          <w:t>[2]</w:t>
        </w:r>
      </w:hyperlink>
    </w:p>
    <w:p w14:paraId="50261A2F" w14:textId="77777777" w:rsidR="0068002C" w:rsidRDefault="00000000">
      <w:pPr>
        <w:spacing w:after="160"/>
      </w:pPr>
      <w:r>
        <w:t xml:space="preserve">The commitments made by Apple to provide access to the NFC Controller and relevant APIs were part of the process to ensure a competitive environment for HCE Developers. </w:t>
      </w:r>
      <w:hyperlink r:id="rId46" w:history="1">
        <w:r>
          <w:rPr>
            <w:rStyle w:val="Hyperlink"/>
          </w:rPr>
          <w:t>[2]</w:t>
        </w:r>
      </w:hyperlink>
    </w:p>
    <w:p w14:paraId="60C766A6" w14:textId="77777777" w:rsidR="0068002C" w:rsidRDefault="00000000">
      <w:pPr>
        <w:spacing w:after="160"/>
      </w:pPr>
      <w:r>
        <w:t xml:space="preserve">Monitoring and reporting obligations were established to oversee compliance with the commitments, which included regular assessments of the number of entitlement requests and their outcomes. </w:t>
      </w:r>
      <w:hyperlink r:id="rId47" w:history="1">
        <w:r>
          <w:rPr>
            <w:rStyle w:val="Hyperlink"/>
          </w:rPr>
          <w:t>[2]</w:t>
        </w:r>
      </w:hyperlink>
    </w:p>
    <w:p w14:paraId="5CB9C585" w14:textId="77777777" w:rsidR="0068002C" w:rsidRDefault="00000000">
      <w:pPr>
        <w:spacing w:after="160"/>
      </w:pPr>
      <w:r>
        <w:t xml:space="preserve">The establishment of an Appeal Board with independent adjudicators was a technique used to ensure fair resolution of disputes related to the eligibility criteria and access to the NFC Entitlement Program. </w:t>
      </w:r>
      <w:hyperlink r:id="rId48" w:history="1">
        <w:r>
          <w:rPr>
            <w:rStyle w:val="Hyperlink"/>
          </w:rPr>
          <w:t>[2]</w:t>
        </w:r>
      </w:hyperlink>
    </w:p>
    <w:p w14:paraId="5DDB69A3" w14:textId="77777777" w:rsidR="0068002C" w:rsidRDefault="00000000">
      <w:pPr>
        <w:spacing w:after="160"/>
      </w:pPr>
      <w:r>
        <w:t xml:space="preserve">The procedural rules for appeals and the role of the Monitoring Trustee were designed to facilitate transparency and accountability in the market for HCE Payment Applications. </w:t>
      </w:r>
      <w:hyperlink r:id="rId49" w:history="1">
        <w:r>
          <w:rPr>
            <w:rStyle w:val="Hyperlink"/>
          </w:rPr>
          <w:t>[2]</w:t>
        </w:r>
      </w:hyperlink>
    </w:p>
    <w:p w14:paraId="457088C0" w14:textId="77777777" w:rsidR="0068002C" w:rsidRDefault="00000000">
      <w:pPr>
        <w:spacing w:before="240" w:after="120"/>
      </w:pPr>
      <w:r>
        <w:rPr>
          <w:b/>
          <w:bCs/>
          <w:i/>
          <w:iCs/>
          <w:color w:val="1F4E5F"/>
        </w:rPr>
        <w:t>Theories of Harm</w:t>
      </w:r>
    </w:p>
    <w:p w14:paraId="093B153B" w14:textId="77777777" w:rsidR="0068002C" w:rsidRDefault="00000000">
      <w:pPr>
        <w:pStyle w:val="ListParagraph"/>
        <w:numPr>
          <w:ilvl w:val="0"/>
          <w:numId w:val="1"/>
        </w:numPr>
        <w:spacing w:after="120"/>
      </w:pPr>
      <w:r>
        <w:t>The provided context does not explicitly outline any theories of harm related to the case. It primarily focuses on procedural aspects of the appeal process, the composition and responsibilities of the Appeal Board, and commitments made by Apple regarding HCE Developers and the NFC Entitlement Program. Therefore, no specific theories of harm can be identified or explained based on the available information. For further details or specific theories of harm, additional context or documents would be necessary.</w:t>
      </w:r>
    </w:p>
    <w:p w14:paraId="3AAA25FE" w14:textId="77777777" w:rsidR="0068002C" w:rsidRDefault="00000000">
      <w:pPr>
        <w:spacing w:before="240" w:after="120"/>
      </w:pPr>
      <w:r>
        <w:rPr>
          <w:b/>
          <w:bCs/>
          <w:i/>
          <w:iCs/>
          <w:color w:val="1F4E5F"/>
        </w:rPr>
        <w:t>Legal &amp; Economic Tests</w:t>
      </w:r>
    </w:p>
    <w:p w14:paraId="2C804589" w14:textId="77777777" w:rsidR="0068002C" w:rsidRDefault="00000000">
      <w:pPr>
        <w:pStyle w:val="ListParagraph"/>
        <w:numPr>
          <w:ilvl w:val="0"/>
          <w:numId w:val="1"/>
        </w:numPr>
        <w:spacing w:after="120"/>
      </w:pPr>
      <w:r>
        <w:rPr>
          <w:b/>
          <w:bCs/>
        </w:rPr>
        <w:t xml:space="preserve">Eligibility Criteria Test: </w:t>
      </w:r>
      <w:r>
        <w:t xml:space="preserve">This test assesses whether a Developer Applicant meets the specific eligibility criteria outlined in the Commitments. It involves evaluating the application against predefined standards to determine if the applicant qualifies for access to the NFC Entitlement Program. The process includes submitting a Dispute Notice if an application is rejected, which must detail the grounds for the claim. This is outlined </w:t>
      </w:r>
      <w:hyperlink r:id="rId50" w:history="1">
        <w:r>
          <w:rPr>
            <w:rStyle w:val="Hyperlink"/>
          </w:rPr>
          <w:t>[2]</w:t>
        </w:r>
      </w:hyperlink>
      <w:r>
        <w:t>.</w:t>
      </w:r>
    </w:p>
    <w:p w14:paraId="4FF85E74" w14:textId="77777777" w:rsidR="0068002C" w:rsidRDefault="00000000">
      <w:pPr>
        <w:pStyle w:val="ListParagraph"/>
        <w:numPr>
          <w:ilvl w:val="0"/>
          <w:numId w:val="1"/>
        </w:numPr>
        <w:spacing w:after="120"/>
      </w:pPr>
      <w:r>
        <w:rPr>
          <w:b/>
          <w:bCs/>
        </w:rPr>
        <w:t xml:space="preserve">Admissibility and Jurisdiction Test: </w:t>
      </w:r>
      <w:r>
        <w:t xml:space="preserve">This test determines whether a Notice of Appeal is complete and falls within the jurisdiction of the Appeal Panel. The Panel reviews the Notice of Appeal within 10 business days of its constitution and can dismiss appeals that are incomplete, manifestly unfounded, or outside its jurisdiction. This ensures that only valid appeals are considered. The relevant information can be found </w:t>
      </w:r>
      <w:hyperlink r:id="rId51" w:history="1">
        <w:r>
          <w:rPr>
            <w:rStyle w:val="Hyperlink"/>
          </w:rPr>
          <w:t>[2]</w:t>
        </w:r>
      </w:hyperlink>
      <w:r>
        <w:t>.</w:t>
      </w:r>
    </w:p>
    <w:p w14:paraId="064C5F23" w14:textId="77777777" w:rsidR="0068002C" w:rsidRDefault="00000000">
      <w:pPr>
        <w:pStyle w:val="ListParagraph"/>
        <w:numPr>
          <w:ilvl w:val="0"/>
          <w:numId w:val="1"/>
        </w:numPr>
        <w:spacing w:after="120"/>
      </w:pPr>
      <w:r>
        <w:rPr>
          <w:b/>
          <w:bCs/>
        </w:rPr>
        <w:t xml:space="preserve">Compliance Monitoring Test: </w:t>
      </w:r>
      <w:r>
        <w:t xml:space="preserve">This involves the Monitoring Trustee overseeing Apple's adherence to the Commitments. The Trustee is responsible for submitting regular reports to the Commission, detailing entitlement requests, compliance issues, and any material non- compliance. This process ensures transparency and accountability in Apple's implementation of the Commitments. Details regarding this monitoring process are provided </w:t>
      </w:r>
      <w:hyperlink r:id="rId52" w:history="1">
        <w:r>
          <w:rPr>
            <w:rStyle w:val="Hyperlink"/>
          </w:rPr>
          <w:t>[2]</w:t>
        </w:r>
      </w:hyperlink>
      <w:r>
        <w:t>.</w:t>
      </w:r>
    </w:p>
    <w:p w14:paraId="3AEA70C5" w14:textId="77777777" w:rsidR="0068002C" w:rsidRDefault="00000000">
      <w:pPr>
        <w:spacing w:before="240" w:after="120"/>
      </w:pPr>
      <w:r>
        <w:rPr>
          <w:b/>
          <w:bCs/>
          <w:i/>
          <w:iCs/>
          <w:color w:val="1F4E5F"/>
        </w:rPr>
        <w:t>Remedies</w:t>
      </w:r>
    </w:p>
    <w:p w14:paraId="4EF5121A" w14:textId="77777777" w:rsidR="0068002C" w:rsidRDefault="00000000">
      <w:pPr>
        <w:pStyle w:val="ListParagraph"/>
        <w:numPr>
          <w:ilvl w:val="0"/>
          <w:numId w:val="1"/>
        </w:numPr>
        <w:spacing w:after="120"/>
      </w:pPr>
      <w:r>
        <w:rPr>
          <w:b/>
          <w:bCs/>
        </w:rPr>
        <w:t xml:space="preserve">Establishment of an Appeal Board: </w:t>
      </w:r>
      <w:r>
        <w:t xml:space="preserve">Apple is required to establish an Appeal Board composed of seven to nine independent adjudicators with relevant experience and expertise. This board is tasked with adjudicating disputes related to the NFC Entitlement Program Dispute Resolution Procedure. The independence of the members is emphasized, as they cannot be Apple employees and must not have conflicts of interest. This remedy aims to ensure impartiality in the decision-making process regarding developer disputes. </w:t>
      </w:r>
      <w:hyperlink r:id="rId53" w:history="1">
        <w:r>
          <w:rPr>
            <w:rStyle w:val="Hyperlink"/>
          </w:rPr>
          <w:t>[2]</w:t>
        </w:r>
      </w:hyperlink>
    </w:p>
    <w:p w14:paraId="2AC455CD" w14:textId="77777777" w:rsidR="0068002C" w:rsidRDefault="00000000">
      <w:pPr>
        <w:pStyle w:val="ListParagraph"/>
        <w:numPr>
          <w:ilvl w:val="0"/>
          <w:numId w:val="1"/>
        </w:numPr>
        <w:spacing w:after="120"/>
      </w:pPr>
      <w:r>
        <w:rPr>
          <w:b/>
          <w:bCs/>
        </w:rPr>
        <w:t xml:space="preserve">Monitoring Trustee Appointment: </w:t>
      </w:r>
      <w:r>
        <w:t xml:space="preserve">A Monitoring Trustee is to be appointed to oversee compliance with the commitments made by Apple. This trustee will monitor the performance of the NFC Technical Solution and ensure that Apple adheres to the obligations set forth in the commitments. The Monitoring Trustee must not have conflicts of interest and will report regularly to the Commission on compliance, including the number of entitlement requests and the outcomes. This remedy is intended to provide oversight and accountability in Apple's operations concerning the NFC Entitlement Program. </w:t>
      </w:r>
      <w:hyperlink r:id="rId54" w:history="1">
        <w:r>
          <w:rPr>
            <w:rStyle w:val="Hyperlink"/>
          </w:rPr>
          <w:t>[2]</w:t>
        </w:r>
      </w:hyperlink>
    </w:p>
    <w:p w14:paraId="491C5198" w14:textId="77777777" w:rsidR="0068002C" w:rsidRDefault="00000000">
      <w:pPr>
        <w:pStyle w:val="ListParagraph"/>
        <w:numPr>
          <w:ilvl w:val="0"/>
          <w:numId w:val="1"/>
        </w:numPr>
        <w:spacing w:after="120"/>
      </w:pPr>
      <w:r>
        <w:rPr>
          <w:b/>
          <w:bCs/>
        </w:rPr>
        <w:t xml:space="preserve">Confidentiality Safeguards: </w:t>
      </w:r>
      <w:r>
        <w:t xml:space="preserve">The Monitoring Trustee is required to maintain strict confidentiality regarding any sensitive information obtained during their oversight duties. This includes implementing safeguards to protect confidential information and ensuring that it is only used for the purpose of fulfilling their obligations. This remedy is crucial for protecting proprietary information while allowing the Monitoring Trustee to effectively monitor compliance. </w:t>
      </w:r>
      <w:hyperlink r:id="rId55" w:history="1">
        <w:r>
          <w:rPr>
            <w:rStyle w:val="Hyperlink"/>
          </w:rPr>
          <w:t>[2]</w:t>
        </w:r>
      </w:hyperlink>
    </w:p>
    <w:p w14:paraId="5E730FEE" w14:textId="77777777" w:rsidR="0068002C" w:rsidRDefault="00000000">
      <w:pPr>
        <w:spacing w:before="240" w:after="120"/>
      </w:pPr>
      <w:r>
        <w:rPr>
          <w:b/>
          <w:bCs/>
          <w:i/>
          <w:iCs/>
          <w:color w:val="1F4E5F"/>
        </w:rPr>
        <w:t>Conclusion</w:t>
      </w:r>
    </w:p>
    <w:p w14:paraId="7F3703E2" w14:textId="77777777" w:rsidR="0068002C" w:rsidRDefault="00000000">
      <w:pPr>
        <w:pStyle w:val="ListParagraph"/>
        <w:numPr>
          <w:ilvl w:val="0"/>
          <w:numId w:val="1"/>
        </w:numPr>
        <w:spacing w:after="120"/>
      </w:pPr>
      <w:r>
        <w:t xml:space="preserve">The case involves the NFC Entitlement Program Dispute Resolution Procedure, which allows developers to appeal decisions related to access to the NFC Entitlement Program, including denials and restrictions </w:t>
      </w:r>
      <w:hyperlink r:id="rId56" w:history="1">
        <w:r>
          <w:rPr>
            <w:rStyle w:val="Hyperlink"/>
          </w:rPr>
          <w:t>[2]</w:t>
        </w:r>
      </w:hyperlink>
      <w:r>
        <w:t>.</w:t>
      </w:r>
    </w:p>
    <w:p w14:paraId="7C9D00EA" w14:textId="77777777" w:rsidR="0068002C" w:rsidRDefault="00000000">
      <w:pPr>
        <w:pStyle w:val="ListParagraph"/>
        <w:numPr>
          <w:ilvl w:val="0"/>
          <w:numId w:val="1"/>
        </w:numPr>
        <w:spacing w:after="120"/>
      </w:pPr>
      <w:r>
        <w:t xml:space="preserve">The Appeal Board is established to adjudicate disputes, composed of independent members with relevant expertise, ensuring that decisions are made fairly and without influence from Apple </w:t>
      </w:r>
      <w:hyperlink r:id="rId57" w:history="1">
        <w:r>
          <w:rPr>
            <w:rStyle w:val="Hyperlink"/>
          </w:rPr>
          <w:t>[2]</w:t>
        </w:r>
      </w:hyperlink>
      <w:r>
        <w:t>.</w:t>
      </w:r>
    </w:p>
    <w:p w14:paraId="2E390F1D" w14:textId="77777777" w:rsidR="0068002C" w:rsidRDefault="00000000">
      <w:pPr>
        <w:pStyle w:val="ListParagraph"/>
        <w:numPr>
          <w:ilvl w:val="0"/>
          <w:numId w:val="1"/>
        </w:numPr>
        <w:spacing w:after="120"/>
      </w:pPr>
      <w:r>
        <w:t xml:space="preserve">The process includes a Notice of Appeal that must be submitted within 20 business days after a consultation period, followed by a review by a Panel appointed by the Chairperson </w:t>
      </w:r>
      <w:hyperlink r:id="rId58" w:history="1">
        <w:r>
          <w:rPr>
            <w:rStyle w:val="Hyperlink"/>
          </w:rPr>
          <w:t>[2]</w:t>
        </w:r>
      </w:hyperlink>
      <w:r>
        <w:t>.</w:t>
      </w:r>
    </w:p>
    <w:p w14:paraId="5E0599FC" w14:textId="77777777" w:rsidR="0068002C" w:rsidRDefault="00000000">
      <w:pPr>
        <w:pStyle w:val="ListParagraph"/>
        <w:numPr>
          <w:ilvl w:val="0"/>
          <w:numId w:val="1"/>
        </w:numPr>
        <w:spacing w:after="120"/>
      </w:pPr>
      <w:r>
        <w:t xml:space="preserve">The Panel's decisions on the admissibility of appeals are final and binding, and they must issue a Reasoned Decision within 15 business days after a hearing or the latest document submission </w:t>
      </w:r>
      <w:hyperlink r:id="rId59" w:history="1">
        <w:r>
          <w:rPr>
            <w:rStyle w:val="Hyperlink"/>
          </w:rPr>
          <w:t>[2]</w:t>
        </w:r>
      </w:hyperlink>
      <w:r>
        <w:t>.</w:t>
      </w:r>
    </w:p>
    <w:p w14:paraId="17F13935" w14:textId="77777777" w:rsidR="0068002C" w:rsidRDefault="00000000">
      <w:pPr>
        <w:pStyle w:val="ListParagraph"/>
        <w:numPr>
          <w:ilvl w:val="0"/>
          <w:numId w:val="1"/>
        </w:numPr>
        <w:spacing w:after="120"/>
      </w:pPr>
      <w:r>
        <w:t xml:space="preserve">The Monitoring Trustee plays a critical role in overseeing compliance and reporting to the Commission, including details on entitlement requests and any material issues of non- compliance </w:t>
      </w:r>
      <w:hyperlink r:id="rId60" w:history="1">
        <w:r>
          <w:rPr>
            <w:rStyle w:val="Hyperlink"/>
          </w:rPr>
          <w:t>[2]</w:t>
        </w:r>
      </w:hyperlink>
      <w:r>
        <w:t>.</w:t>
      </w:r>
    </w:p>
    <w:p w14:paraId="1C2C65DF" w14:textId="77777777" w:rsidR="0068002C" w:rsidRDefault="00000000">
      <w:pPr>
        <w:pStyle w:val="ListParagraph"/>
        <w:numPr>
          <w:ilvl w:val="0"/>
          <w:numId w:val="1"/>
        </w:numPr>
        <w:spacing w:after="120"/>
      </w:pPr>
      <w:r>
        <w:t xml:space="preserve">There are no specific fines mentioned in the provided context; however, the costs related to the Appeal are borne by Apple, and Appeal Board Members are entitled to reasonable remuneration for their work </w:t>
      </w:r>
      <w:hyperlink r:id="rId61" w:history="1">
        <w:r>
          <w:rPr>
            <w:rStyle w:val="Hyperlink"/>
          </w:rPr>
          <w:t>[2]</w:t>
        </w:r>
      </w:hyperlink>
      <w:r>
        <w:t>.</w:t>
      </w:r>
    </w:p>
    <w:p w14:paraId="6E4CD7A7" w14:textId="77777777" w:rsidR="0068002C" w:rsidRDefault="00000000">
      <w:pPr>
        <w:pStyle w:val="ListParagraph"/>
        <w:numPr>
          <w:ilvl w:val="0"/>
          <w:numId w:val="1"/>
        </w:numPr>
        <w:spacing w:after="120"/>
      </w:pPr>
      <w:r>
        <w:t xml:space="preserve">The Reasoned Decision can either reject the request or order Apple to take measures to grant or reinstate access to the NFC Entitlement Program, emphasizing the binding nature of the Panel's conclusions </w:t>
      </w:r>
      <w:hyperlink r:id="rId62" w:history="1">
        <w:r>
          <w:rPr>
            <w:rStyle w:val="Hyperlink"/>
          </w:rPr>
          <w:t>[2]</w:t>
        </w:r>
      </w:hyperlink>
      <w:r>
        <w:t>.</w:t>
      </w:r>
    </w:p>
    <w:p w14:paraId="14FA11FD" w14:textId="77777777" w:rsidR="0068002C" w:rsidRDefault="00000000">
      <w:pPr>
        <w:spacing w:before="200" w:after="160"/>
      </w:pPr>
      <w:r>
        <w:rPr>
          <w:b/>
          <w:bCs/>
          <w:color w:val="1F4E5F"/>
        </w:rPr>
        <w:t>Case AT.39985 Motorola v. Apple</w:t>
      </w:r>
    </w:p>
    <w:p w14:paraId="5890D52D" w14:textId="77777777" w:rsidR="0068002C" w:rsidRDefault="00000000">
      <w:pPr>
        <w:spacing w:before="240" w:after="120"/>
      </w:pPr>
      <w:r>
        <w:rPr>
          <w:b/>
          <w:bCs/>
          <w:i/>
          <w:iCs/>
          <w:color w:val="1F4E5F"/>
        </w:rPr>
        <w:t>Case Background</w:t>
      </w:r>
    </w:p>
    <w:p w14:paraId="474EF703" w14:textId="77777777" w:rsidR="0068002C" w:rsidRDefault="00000000">
      <w:pPr>
        <w:spacing w:after="160"/>
      </w:pPr>
      <w:r>
        <w:t xml:space="preserve">The allegation made in this case involves abusive conduct by Motorola, specifically related to its enforcement of patent rights. </w:t>
      </w:r>
      <w:hyperlink r:id="rId63" w:history="1">
        <w:r>
          <w:rPr>
            <w:rStyle w:val="Hyperlink"/>
          </w:rPr>
          <w:t>[3]</w:t>
        </w:r>
      </w:hyperlink>
    </w:p>
    <w:p w14:paraId="3B671BDC" w14:textId="77777777" w:rsidR="0068002C" w:rsidRDefault="00000000">
      <w:pPr>
        <w:spacing w:after="160"/>
      </w:pPr>
      <w:r>
        <w:t xml:space="preserve">The complaint was primarily directed against Motorola, with mentions of Google's involvement in the conduct. </w:t>
      </w:r>
      <w:hyperlink r:id="rId64" w:history="1">
        <w:r>
          <w:rPr>
            <w:rStyle w:val="Hyperlink"/>
          </w:rPr>
          <w:t>[3]</w:t>
        </w:r>
      </w:hyperlink>
    </w:p>
    <w:p w14:paraId="7DA4A4BB" w14:textId="77777777" w:rsidR="0068002C" w:rsidRDefault="00000000">
      <w:pPr>
        <w:spacing w:after="160"/>
      </w:pPr>
      <w:r>
        <w:t xml:space="preserve">The case was initiated on 2 April 2012. </w:t>
      </w:r>
      <w:hyperlink r:id="rId65" w:history="1">
        <w:r>
          <w:rPr>
            <w:rStyle w:val="Hyperlink"/>
          </w:rPr>
          <w:t>[3]</w:t>
        </w:r>
      </w:hyperlink>
    </w:p>
    <w:p w14:paraId="305083A9" w14:textId="77777777" w:rsidR="0068002C" w:rsidRDefault="00000000">
      <w:pPr>
        <w:spacing w:after="160"/>
      </w:pPr>
      <w:r>
        <w:t xml:space="preserve">The violation pertains to Article 102 TFEU and Article 54 of the EEA Agreement, which prohibit abusive practices by dominant undertakings that can harm competition and consumers. Motorola's conduct included actions that were deemed abusive, such as seeking injunctions related to its patent rights in a manner that could restrict competition. </w:t>
      </w:r>
      <w:hyperlink r:id="rId66" w:history="1">
        <w:r>
          <w:rPr>
            <w:rStyle w:val="Hyperlink"/>
          </w:rPr>
          <w:t>[3]</w:t>
        </w:r>
      </w:hyperlink>
    </w:p>
    <w:p w14:paraId="1BD7A943" w14:textId="77777777" w:rsidR="0068002C" w:rsidRDefault="00000000">
      <w:pPr>
        <w:spacing w:after="160"/>
      </w:pPr>
      <w:r>
        <w:t xml:space="preserve">The Commission's investigation revealed that Motorola's actions had adverse effects on the market, which were not justified and could be classified as abuses of its dominant position. </w:t>
      </w:r>
      <w:hyperlink r:id="rId67" w:history="1">
        <w:r>
          <w:rPr>
            <w:rStyle w:val="Hyperlink"/>
          </w:rPr>
          <w:t>[3]</w:t>
        </w:r>
      </w:hyperlink>
    </w:p>
    <w:p w14:paraId="3B853207" w14:textId="77777777" w:rsidR="0068002C" w:rsidRDefault="00000000">
      <w:pPr>
        <w:spacing w:before="240" w:after="120"/>
      </w:pPr>
      <w:r>
        <w:rPr>
          <w:b/>
          <w:bCs/>
          <w:i/>
          <w:iCs/>
          <w:color w:val="1F4E5F"/>
        </w:rPr>
        <w:t>Case Progression</w:t>
      </w:r>
    </w:p>
    <w:p w14:paraId="7FDD0357" w14:textId="77777777" w:rsidR="0068002C" w:rsidRDefault="00000000">
      <w:pPr>
        <w:pStyle w:val="ListParagraph"/>
        <w:numPr>
          <w:ilvl w:val="0"/>
          <w:numId w:val="1"/>
        </w:numPr>
        <w:spacing w:after="120"/>
      </w:pPr>
      <w:r>
        <w:rPr>
          <w:b/>
          <w:bCs/>
        </w:rPr>
        <w:t xml:space="preserve">Case Initiation: </w:t>
      </w:r>
      <w:r>
        <w:t xml:space="preserve">The case identifier is AT.39985, which marks the beginning of the investigation into potential anti-competitive behavior by Motorola. Preliminary Investigation: The Commission conducted a thorough examination of Motorola's conduct, particularly focusing on the implications of its actions regarding Standard Essential Patents (SEPs) and the potential anti-competitive effects. Evidence was gathered regarding the enforcement of injunctions and the impact on competition, as noted </w:t>
      </w:r>
      <w:hyperlink r:id="rId68" w:history="1">
        <w:r>
          <w:rPr>
            <w:rStyle w:val="Hyperlink"/>
          </w:rPr>
          <w:t>[3]</w:t>
        </w:r>
      </w:hyperlink>
      <w:r>
        <w:t>.</w:t>
      </w:r>
    </w:p>
    <w:p w14:paraId="5CD627C6" w14:textId="77777777" w:rsidR="0068002C" w:rsidRDefault="00000000">
      <w:pPr>
        <w:pStyle w:val="ListParagraph"/>
        <w:numPr>
          <w:ilvl w:val="0"/>
          <w:numId w:val="1"/>
        </w:numPr>
        <w:spacing w:after="120"/>
      </w:pPr>
      <w:r>
        <w:rPr>
          <w:b/>
          <w:bCs/>
        </w:rPr>
        <w:t xml:space="preserve">Statement of Objections issued: </w:t>
      </w:r>
      <w:r>
        <w:t xml:space="preserve">Following the preliminary investigation, a Statement of Objections was issued, detailing the findings of potential infringements of Article 102 TFEU. This included an analysis of Motorola's conduct and its implications for competition, as referenced </w:t>
      </w:r>
      <w:hyperlink r:id="rId69" w:history="1">
        <w:r>
          <w:rPr>
            <w:rStyle w:val="Hyperlink"/>
          </w:rPr>
          <w:t>[3]</w:t>
        </w:r>
      </w:hyperlink>
      <w:r>
        <w:t>.</w:t>
      </w:r>
    </w:p>
    <w:p w14:paraId="1EC0CAD9" w14:textId="77777777" w:rsidR="0068002C" w:rsidRDefault="00000000">
      <w:pPr>
        <w:pStyle w:val="ListParagraph"/>
        <w:numPr>
          <w:ilvl w:val="0"/>
          <w:numId w:val="1"/>
        </w:numPr>
        <w:spacing w:after="120"/>
      </w:pPr>
      <w:r>
        <w:rPr>
          <w:b/>
          <w:bCs/>
        </w:rPr>
        <w:t xml:space="preserve">Defense Phase: </w:t>
      </w:r>
      <w:r>
        <w:t xml:space="preserve">Motorola was given the opportunity to respond in writing and present its defense during an oral hearing. The arguments revolved around the legality of seeking injunctions and whether such actions constituted an abuse of a dominant position, as discussed </w:t>
      </w:r>
      <w:hyperlink r:id="rId70" w:history="1">
        <w:r>
          <w:rPr>
            <w:rStyle w:val="Hyperlink"/>
          </w:rPr>
          <w:t>[3]</w:t>
        </w:r>
      </w:hyperlink>
      <w:r>
        <w:t>.</w:t>
      </w:r>
    </w:p>
    <w:p w14:paraId="65329A3B" w14:textId="77777777" w:rsidR="0068002C" w:rsidRDefault="00000000">
      <w:pPr>
        <w:pStyle w:val="ListParagraph"/>
        <w:numPr>
          <w:ilvl w:val="0"/>
          <w:numId w:val="1"/>
        </w:numPr>
        <w:spacing w:after="120"/>
      </w:pPr>
      <w:r>
        <w:rPr>
          <w:b/>
          <w:bCs/>
        </w:rPr>
        <w:t xml:space="preserve">Commission Decision: </w:t>
      </w:r>
      <w:r>
        <w:t xml:space="preserve">The Commission ultimately decided not to impose a fine on Motorola, citing the lack of established Union decisional practice regarding the enforcement of injunctions by SEP holders. This decision was influenced by the context of ongoing disputes and the need for clarity in the legal framework, as outlined </w:t>
      </w:r>
      <w:hyperlink r:id="rId71" w:history="1">
        <w:r>
          <w:rPr>
            <w:rStyle w:val="Hyperlink"/>
          </w:rPr>
          <w:t>[3]</w:t>
        </w:r>
      </w:hyperlink>
      <w:r>
        <w:t>.</w:t>
      </w:r>
    </w:p>
    <w:p w14:paraId="6153BA80" w14:textId="77777777" w:rsidR="0068002C" w:rsidRDefault="00000000">
      <w:pPr>
        <w:pStyle w:val="ListParagraph"/>
        <w:numPr>
          <w:ilvl w:val="0"/>
          <w:numId w:val="1"/>
        </w:numPr>
        <w:spacing w:after="120"/>
      </w:pPr>
      <w:r>
        <w:t>The document does not cover any subsequent appeal or later stages in the process.</w:t>
      </w:r>
    </w:p>
    <w:p w14:paraId="64269E02" w14:textId="77777777" w:rsidR="0068002C" w:rsidRDefault="00000000">
      <w:pPr>
        <w:spacing w:before="240" w:after="120"/>
      </w:pPr>
      <w:r>
        <w:rPr>
          <w:b/>
          <w:bCs/>
          <w:i/>
          <w:iCs/>
          <w:color w:val="1F4E5F"/>
        </w:rPr>
        <w:t>Market Definition</w:t>
      </w:r>
    </w:p>
    <w:p w14:paraId="3888A6F1" w14:textId="77777777" w:rsidR="0068002C" w:rsidRDefault="00000000">
      <w:pPr>
        <w:spacing w:after="160"/>
      </w:pPr>
      <w:r>
        <w:t xml:space="preserve">The relevant product market includes all products or services that consumers consider substitutable based on their characteristics, prices, and intended use. This definition is crucial for assessing competition. </w:t>
      </w:r>
      <w:hyperlink r:id="rId72" w:history="1">
        <w:r>
          <w:rPr>
            <w:rStyle w:val="Hyperlink"/>
          </w:rPr>
          <w:t>[3]</w:t>
        </w:r>
      </w:hyperlink>
    </w:p>
    <w:p w14:paraId="6D793AD3" w14:textId="77777777" w:rsidR="0068002C" w:rsidRDefault="00000000">
      <w:pPr>
        <w:spacing w:after="160"/>
      </w:pPr>
      <w:r>
        <w:t xml:space="preserve">The determination of the relevant market involves examining not only the objective characteristics of products and services but also the competitive conditions and the structure of supply and demand in the market. </w:t>
      </w:r>
      <w:hyperlink r:id="rId73" w:history="1">
        <w:r>
          <w:rPr>
            <w:rStyle w:val="Hyperlink"/>
          </w:rPr>
          <w:t>[3]</w:t>
        </w:r>
      </w:hyperlink>
    </w:p>
    <w:p w14:paraId="5ED2913C" w14:textId="77777777" w:rsidR="0068002C" w:rsidRDefault="00000000">
      <w:pPr>
        <w:spacing w:after="160"/>
      </w:pPr>
      <w:r>
        <w:t xml:space="preserve">The relevant input market identified in this case is the market for licensing technology as specified in the GPRS standard technical specifications. </w:t>
      </w:r>
      <w:hyperlink r:id="rId74" w:history="1">
        <w:r>
          <w:rPr>
            <w:rStyle w:val="Hyperlink"/>
          </w:rPr>
          <w:t>[3]</w:t>
        </w:r>
      </w:hyperlink>
    </w:p>
    <w:p w14:paraId="4F1A89E1" w14:textId="77777777" w:rsidR="0068002C" w:rsidRDefault="00000000">
      <w:pPr>
        <w:spacing w:after="160"/>
      </w:pPr>
      <w:r>
        <w:t xml:space="preserve">The relevant output market consists of downstream products that incorporate GPRS standard-compliant technology, such as chipsets and mobile devices. </w:t>
      </w:r>
      <w:hyperlink r:id="rId75" w:history="1">
        <w:r>
          <w:rPr>
            <w:rStyle w:val="Hyperlink"/>
          </w:rPr>
          <w:t>[3]</w:t>
        </w:r>
      </w:hyperlink>
    </w:p>
    <w:p w14:paraId="482869D5" w14:textId="77777777" w:rsidR="0068002C" w:rsidRDefault="00000000">
      <w:pPr>
        <w:spacing w:after="160"/>
      </w:pPr>
      <w:r>
        <w:t xml:space="preserve">The process of defining the market also considers demand substitution as a significant factor, which serves as an immediate and effective disciplinary force on suppliers. </w:t>
      </w:r>
      <w:hyperlink r:id="rId76" w:history="1">
        <w:r>
          <w:rPr>
            <w:rStyle w:val="Hyperlink"/>
          </w:rPr>
          <w:t>[3]</w:t>
        </w:r>
      </w:hyperlink>
    </w:p>
    <w:p w14:paraId="5170FC33" w14:textId="77777777" w:rsidR="0068002C" w:rsidRDefault="00000000">
      <w:pPr>
        <w:spacing w:after="160"/>
      </w:pPr>
      <w:r>
        <w:t xml:space="preserve">The Commission's guidelines differentiate between input markets (technology licensing) and output markets (products incorporating that technology), which aids in understanding the competitive landscape. </w:t>
      </w:r>
      <w:hyperlink r:id="rId77" w:history="1">
        <w:r>
          <w:rPr>
            <w:rStyle w:val="Hyperlink"/>
          </w:rPr>
          <w:t>[3]</w:t>
        </w:r>
      </w:hyperlink>
    </w:p>
    <w:p w14:paraId="768818F9" w14:textId="77777777" w:rsidR="0068002C" w:rsidRDefault="00000000">
      <w:pPr>
        <w:spacing w:after="160"/>
      </w:pPr>
      <w:r>
        <w:t xml:space="preserve">The analysis of the market definition is essential for evaluating whether the undertaking can prevent effective competition and act independently of competitors and customers. </w:t>
      </w:r>
      <w:hyperlink r:id="rId78" w:history="1">
        <w:r>
          <w:rPr>
            <w:rStyle w:val="Hyperlink"/>
          </w:rPr>
          <w:t>[3]</w:t>
        </w:r>
      </w:hyperlink>
    </w:p>
    <w:p w14:paraId="5E33109A" w14:textId="77777777" w:rsidR="0068002C" w:rsidRDefault="00000000">
      <w:pPr>
        <w:spacing w:before="240" w:after="120"/>
      </w:pPr>
      <w:r>
        <w:rPr>
          <w:b/>
          <w:bCs/>
          <w:i/>
          <w:iCs/>
          <w:color w:val="1F4E5F"/>
        </w:rPr>
        <w:t>Theories of Harm</w:t>
      </w:r>
    </w:p>
    <w:p w14:paraId="6810BF6E" w14:textId="77777777" w:rsidR="0068002C" w:rsidRDefault="00000000">
      <w:pPr>
        <w:pStyle w:val="ListParagraph"/>
        <w:numPr>
          <w:ilvl w:val="0"/>
          <w:numId w:val="1"/>
        </w:numPr>
        <w:spacing w:after="120"/>
      </w:pPr>
      <w:r>
        <w:rPr>
          <w:b/>
          <w:bCs/>
        </w:rPr>
        <w:t xml:space="preserve">Abuse of Dominant Position: </w:t>
      </w:r>
      <w:r>
        <w:t xml:space="preserve">This theory posits that a dominant undertaking may engage in conduct that, while not inherently abusive, can be deemed so under specific circumstances. The case discusses how an undertaking in a dominant position may be restricted from actions that would be acceptable for non-dominant firms. The reasoning is supported by references to Article 102 TFEU, which outlines that abusive practices can harm consumers directly or indirectly through their impact on competition </w:t>
      </w:r>
      <w:hyperlink r:id="rId79" w:history="1">
        <w:r>
          <w:rPr>
            <w:rStyle w:val="Hyperlink"/>
          </w:rPr>
          <w:t>[3]</w:t>
        </w:r>
      </w:hyperlink>
      <w:r>
        <w:t>.</w:t>
      </w:r>
    </w:p>
    <w:p w14:paraId="658CD6D8" w14:textId="77777777" w:rsidR="0068002C" w:rsidRDefault="00000000">
      <w:pPr>
        <w:pStyle w:val="ListParagraph"/>
        <w:numPr>
          <w:ilvl w:val="0"/>
          <w:numId w:val="1"/>
        </w:numPr>
        <w:spacing w:after="120"/>
      </w:pPr>
      <w:r>
        <w:rPr>
          <w:b/>
          <w:bCs/>
        </w:rPr>
        <w:t xml:space="preserve">Seeking and Enforcement of Injunctions: </w:t>
      </w:r>
      <w:r>
        <w:t xml:space="preserve">The case examines whether Motorola's actions in seeking an injunction against Apple could constitute an abuse of a dominant position. Motorola argues that such actions are legitimate if they aim to enforce legal rights. However, the Commission contends that even lawful actions can be abusive if they are intended to eliminate competition or harass a competitor. This theory is supported by the requirement of two cumulative criteria that must be strictly applied, as established in previous case law </w:t>
      </w:r>
      <w:hyperlink r:id="rId80" w:history="1">
        <w:r>
          <w:rPr>
            <w:rStyle w:val="Hyperlink"/>
          </w:rPr>
          <w:t>[3]</w:t>
        </w:r>
      </w:hyperlink>
      <w:r>
        <w:t>.</w:t>
      </w:r>
    </w:p>
    <w:p w14:paraId="671B0E48" w14:textId="77777777" w:rsidR="0068002C" w:rsidRDefault="00000000">
      <w:pPr>
        <w:pStyle w:val="ListParagraph"/>
        <w:numPr>
          <w:ilvl w:val="0"/>
          <w:numId w:val="1"/>
        </w:numPr>
        <w:spacing w:after="120"/>
      </w:pPr>
      <w:r>
        <w:rPr>
          <w:b/>
          <w:bCs/>
        </w:rPr>
        <w:t xml:space="preserve">Ongoing Anti-Competitive Effects: </w:t>
      </w:r>
      <w:r>
        <w:t xml:space="preserve">This theory addresses the persistence of anti- competitive effects resulting from Motorola's conduct, even after the abusive behavior has ceased. The Commission highlights that the Settlement Agreement's provisions may still influence the FRAND royalty rates and damages owed to Motorola, indicating that the effects of the conduct continue to impact competition in the market. This reasoning underscores the need for remedies to prevent recurrence and mitigate ongoing anti-competitive effects </w:t>
      </w:r>
      <w:hyperlink r:id="rId81" w:history="1">
        <w:r>
          <w:rPr>
            <w:rStyle w:val="Hyperlink"/>
          </w:rPr>
          <w:t>[3]</w:t>
        </w:r>
      </w:hyperlink>
      <w:r>
        <w:t>.</w:t>
      </w:r>
    </w:p>
    <w:p w14:paraId="13FFDCFD" w14:textId="77777777" w:rsidR="0068002C" w:rsidRDefault="00000000">
      <w:pPr>
        <w:spacing w:before="240" w:after="120"/>
      </w:pPr>
      <w:r>
        <w:rPr>
          <w:b/>
          <w:bCs/>
          <w:i/>
          <w:iCs/>
          <w:color w:val="1F4E5F"/>
        </w:rPr>
        <w:t>Legal &amp; Economic Tests</w:t>
      </w:r>
    </w:p>
    <w:p w14:paraId="59CDA0EA" w14:textId="77777777" w:rsidR="0068002C" w:rsidRDefault="00000000">
      <w:pPr>
        <w:pStyle w:val="ListParagraph"/>
        <w:numPr>
          <w:ilvl w:val="0"/>
          <w:numId w:val="1"/>
        </w:numPr>
        <w:spacing w:after="120"/>
      </w:pPr>
      <w:r>
        <w:rPr>
          <w:b/>
          <w:bCs/>
        </w:rPr>
        <w:t xml:space="preserve">Legal Test for Abuse of Dominance: </w:t>
      </w:r>
      <w:r>
        <w:t xml:space="preserve">The case examines whether Motorola's actions in seeking and enforcing an injunction against Apple constituted an abuse of a dominant position under Article 102 TFEU. This involves assessing if Motorola's conduct can be deemed abusive based on two cumulative criteria: (i) whether the actions can be reasonably seen as an attempt to establish Motorola's rights rather than merely harassing Apple, and (ii) whether the actions were part of a plan to eliminate competition. This legal framework ensures that the right to access courts is balanced against the need to prevent anti- competitive behavior. </w:t>
      </w:r>
      <w:hyperlink r:id="rId82" w:history="1">
        <w:r>
          <w:rPr>
            <w:rStyle w:val="Hyperlink"/>
          </w:rPr>
          <w:t>[3]</w:t>
        </w:r>
      </w:hyperlink>
    </w:p>
    <w:p w14:paraId="40A30407" w14:textId="77777777" w:rsidR="0068002C" w:rsidRDefault="00000000">
      <w:pPr>
        <w:pStyle w:val="ListParagraph"/>
        <w:numPr>
          <w:ilvl w:val="0"/>
          <w:numId w:val="1"/>
        </w:numPr>
        <w:spacing w:after="120"/>
      </w:pPr>
      <w:r>
        <w:rPr>
          <w:b/>
          <w:bCs/>
        </w:rPr>
        <w:t xml:space="preserve">Assessment of Compliance with Competition Law: </w:t>
      </w:r>
      <w:r>
        <w:t xml:space="preserve">The Commission evaluates whether Motorola's conduct, despite being lawful under other legal frameworks, constitutes an abuse under competition law. This involves determining if the actions taken by a dominant firm, which might be acceptable for non-dominant firms, could impair competition in the market. The assessment considers the specific circumstances of the case and the potential impact on competition and consumers. </w:t>
      </w:r>
      <w:hyperlink r:id="rId83" w:history="1">
        <w:r>
          <w:rPr>
            <w:rStyle w:val="Hyperlink"/>
          </w:rPr>
          <w:t>[3]</w:t>
        </w:r>
      </w:hyperlink>
    </w:p>
    <w:p w14:paraId="48DE6446" w14:textId="77777777" w:rsidR="0068002C" w:rsidRDefault="00000000">
      <w:pPr>
        <w:pStyle w:val="ListParagraph"/>
        <w:numPr>
          <w:ilvl w:val="0"/>
          <w:numId w:val="1"/>
        </w:numPr>
        <w:spacing w:after="120"/>
      </w:pPr>
      <w:r>
        <w:rPr>
          <w:b/>
          <w:bCs/>
        </w:rPr>
        <w:t xml:space="preserve">Proportionality and Effectiveness of Remedies: </w:t>
      </w:r>
      <w:r>
        <w:t xml:space="preserve">The Commission's decision-making process includes ensuring that any remedies imposed are proportionate to the infringement established and effective in restoring compliance with competition rules. This means that the remedies must directly address the abusive conduct identified and aim to re-establish fair competition in the market. The Commission has the authority to require dominant undertakings to refrain from actions that could perpetuate the identified abuse. </w:t>
      </w:r>
      <w:hyperlink r:id="rId84" w:history="1">
        <w:r>
          <w:rPr>
            <w:rStyle w:val="Hyperlink"/>
          </w:rPr>
          <w:t>[3]</w:t>
        </w:r>
      </w:hyperlink>
    </w:p>
    <w:p w14:paraId="16B9A235" w14:textId="77777777" w:rsidR="0068002C" w:rsidRDefault="00000000">
      <w:pPr>
        <w:spacing w:before="240" w:after="120"/>
      </w:pPr>
      <w:r>
        <w:rPr>
          <w:b/>
          <w:bCs/>
          <w:i/>
          <w:iCs/>
          <w:color w:val="1F4E5F"/>
        </w:rPr>
        <w:t>Remedies</w:t>
      </w:r>
    </w:p>
    <w:p w14:paraId="6A907762" w14:textId="77777777" w:rsidR="0068002C" w:rsidRDefault="00000000">
      <w:pPr>
        <w:pStyle w:val="ListParagraph"/>
        <w:numPr>
          <w:ilvl w:val="0"/>
          <w:numId w:val="1"/>
        </w:numPr>
        <w:spacing w:after="120"/>
      </w:pPr>
      <w:r>
        <w:rPr>
          <w:b/>
          <w:bCs/>
        </w:rPr>
        <w:t xml:space="preserve">End of Infringement: </w:t>
      </w:r>
      <w:r>
        <w:t xml:space="preserve">The Commission requires Motorola to bring the identified infringement to an end. This remedy is aimed at ensuring compliance with competition law by prohibiting Motorola from continuing any abusive conduct. The reasoning behind this is to restore fair competition and prevent further anti-competitive effects stemming from Motorola's actions. This information is found </w:t>
      </w:r>
      <w:hyperlink r:id="rId85" w:history="1">
        <w:r>
          <w:rPr>
            <w:rStyle w:val="Hyperlink"/>
          </w:rPr>
          <w:t>[3]</w:t>
        </w:r>
      </w:hyperlink>
      <w:r>
        <w:t>.</w:t>
      </w:r>
    </w:p>
    <w:p w14:paraId="4340EA48" w14:textId="77777777" w:rsidR="0068002C" w:rsidRDefault="00000000">
      <w:pPr>
        <w:pStyle w:val="ListParagraph"/>
        <w:numPr>
          <w:ilvl w:val="0"/>
          <w:numId w:val="1"/>
        </w:numPr>
        <w:spacing w:after="120"/>
      </w:pPr>
      <w:r>
        <w:rPr>
          <w:b/>
          <w:bCs/>
        </w:rPr>
        <w:t xml:space="preserve">Refrain from Similar Conduct: </w:t>
      </w:r>
      <w:r>
        <w:t xml:space="preserve">Motorola is mandated to refrain from repeating any acts or conduct that have the same or similar object or effect as the identified infringement. This remedy is intended to prevent the recurrence of abusive practices and ensure that Motorola does not engage in behavior that could harm competition in the future. The specific reasoning is based on the ongoing anti-competitive effects of Motorola's previous conduct, which still persist. This is detailed </w:t>
      </w:r>
      <w:hyperlink r:id="rId86" w:history="1">
        <w:r>
          <w:rPr>
            <w:rStyle w:val="Hyperlink"/>
          </w:rPr>
          <w:t>[3]</w:t>
        </w:r>
      </w:hyperlink>
      <w:r>
        <w:t>.</w:t>
      </w:r>
    </w:p>
    <w:p w14:paraId="2C68936A" w14:textId="77777777" w:rsidR="0068002C" w:rsidRDefault="00000000">
      <w:pPr>
        <w:pStyle w:val="ListParagraph"/>
        <w:numPr>
          <w:ilvl w:val="0"/>
          <w:numId w:val="1"/>
        </w:numPr>
        <w:spacing w:after="120"/>
      </w:pPr>
      <w:r>
        <w:rPr>
          <w:b/>
          <w:bCs/>
        </w:rPr>
        <w:t xml:space="preserve">Elimination of Anti-Competitive Effects: </w:t>
      </w:r>
      <w:r>
        <w:t xml:space="preserve">Motorola is required to eliminate the likely anti- competitive effects resulting from specific provisions of the Settlement Agreement. This remedy is crucial as it addresses the ongoing impact of Motorola's conduct on the market, particularly concerning the FRAND royalty rate and damages owed to Apple. The Commission's interest in this remedy is to ensure that the competitive landscape is restored and that the effects of past abuses are mitigated. This information is also found </w:t>
      </w:r>
      <w:hyperlink r:id="rId87" w:history="1">
        <w:r>
          <w:rPr>
            <w:rStyle w:val="Hyperlink"/>
          </w:rPr>
          <w:t>[3]</w:t>
        </w:r>
      </w:hyperlink>
      <w:r>
        <w:t>.</w:t>
      </w:r>
    </w:p>
    <w:p w14:paraId="42EC1962" w14:textId="77777777" w:rsidR="0068002C" w:rsidRDefault="00000000">
      <w:pPr>
        <w:spacing w:before="240" w:after="120"/>
      </w:pPr>
      <w:r>
        <w:rPr>
          <w:b/>
          <w:bCs/>
          <w:i/>
          <w:iCs/>
          <w:color w:val="1F4E5F"/>
        </w:rPr>
        <w:t>Conclusion</w:t>
      </w:r>
    </w:p>
    <w:p w14:paraId="76969034" w14:textId="77777777" w:rsidR="0068002C" w:rsidRDefault="00000000">
      <w:pPr>
        <w:pStyle w:val="ListParagraph"/>
        <w:numPr>
          <w:ilvl w:val="0"/>
          <w:numId w:val="1"/>
        </w:numPr>
        <w:spacing w:after="120"/>
      </w:pPr>
      <w:r>
        <w:t xml:space="preserve">The Commission found that Motorola's conduct constituted an infringement of Article 102 TFEU and Article 54 of the EEA Agreement, primarily due to the likely anti-competitive effects stemming from its actions, which were still ongoing despite the Settlement Agreement being in force </w:t>
      </w:r>
      <w:hyperlink r:id="rId88" w:history="1">
        <w:r>
          <w:rPr>
            <w:rStyle w:val="Hyperlink"/>
          </w:rPr>
          <w:t>[3]</w:t>
        </w:r>
      </w:hyperlink>
      <w:r>
        <w:t>.</w:t>
      </w:r>
    </w:p>
    <w:p w14:paraId="0926FF4C" w14:textId="77777777" w:rsidR="0068002C" w:rsidRDefault="00000000">
      <w:pPr>
        <w:pStyle w:val="ListParagraph"/>
        <w:numPr>
          <w:ilvl w:val="0"/>
          <w:numId w:val="1"/>
        </w:numPr>
        <w:spacing w:after="120"/>
      </w:pPr>
      <w:r>
        <w:t xml:space="preserve">The Commission determined that it had a legitimate interest in finding an infringement, particularly due to the ongoing disputes over FRAND-encumbered SEPs among industry players, which necessitated a decision to clarify the legal landscape </w:t>
      </w:r>
      <w:hyperlink r:id="rId89" w:history="1">
        <w:r>
          <w:rPr>
            <w:rStyle w:val="Hyperlink"/>
          </w:rPr>
          <w:t>[3]</w:t>
        </w:r>
      </w:hyperlink>
      <w:r>
        <w:t>.</w:t>
      </w:r>
    </w:p>
    <w:p w14:paraId="381CC95F" w14:textId="77777777" w:rsidR="0068002C" w:rsidRDefault="00000000">
      <w:pPr>
        <w:pStyle w:val="ListParagraph"/>
        <w:numPr>
          <w:ilvl w:val="0"/>
          <w:numId w:val="1"/>
        </w:numPr>
        <w:spacing w:after="120"/>
      </w:pPr>
      <w:r>
        <w:t xml:space="preserve">As a remedy, Motorola was required to cease the infringement and refrain from any similar conduct in the future. This included eliminating the anti-competitive effects resulting from specific provisions of the Settlement Agreement </w:t>
      </w:r>
      <w:hyperlink r:id="rId90" w:history="1">
        <w:r>
          <w:rPr>
            <w:rStyle w:val="Hyperlink"/>
          </w:rPr>
          <w:t>[3]</w:t>
        </w:r>
      </w:hyperlink>
      <w:r>
        <w:t>.</w:t>
      </w:r>
    </w:p>
    <w:p w14:paraId="43661548" w14:textId="77777777" w:rsidR="0068002C" w:rsidRDefault="00000000">
      <w:pPr>
        <w:pStyle w:val="ListParagraph"/>
        <w:numPr>
          <w:ilvl w:val="0"/>
          <w:numId w:val="1"/>
        </w:numPr>
        <w:spacing w:after="120"/>
      </w:pPr>
      <w:r>
        <w:t xml:space="preserve">The Commission chose not to impose a fine on Motorola, citing the absence of Union decisional practice regarding the legality of seeking and enforcing injunctions by SEP holders, and the need for a careful assessment of the specific circumstances of the case </w:t>
      </w:r>
      <w:hyperlink r:id="rId91" w:history="1">
        <w:r>
          <w:rPr>
            <w:rStyle w:val="Hyperlink"/>
          </w:rPr>
          <w:t>[3]</w:t>
        </w:r>
      </w:hyperlink>
      <w:r>
        <w:t>.</w:t>
      </w:r>
    </w:p>
    <w:p w14:paraId="3E4B47D8" w14:textId="77777777" w:rsidR="0068002C" w:rsidRDefault="00000000">
      <w:pPr>
        <w:pStyle w:val="ListParagraph"/>
        <w:numPr>
          <w:ilvl w:val="0"/>
          <w:numId w:val="1"/>
        </w:numPr>
        <w:spacing w:after="120"/>
      </w:pPr>
      <w:r>
        <w:t xml:space="preserve">The decision emphasized that while the Commission has the discretion to impose fines for infringements, it opted against doing so in this instance due to the lack of established case law and the nature of Motorola's conduct </w:t>
      </w:r>
      <w:hyperlink r:id="rId92" w:history="1">
        <w:r>
          <w:rPr>
            <w:rStyle w:val="Hyperlink"/>
          </w:rPr>
          <w:t>[3]</w:t>
        </w:r>
      </w:hyperlink>
      <w:r>
        <w:t>.</w:t>
      </w:r>
    </w:p>
    <w:p w14:paraId="690FF764" w14:textId="77777777" w:rsidR="0068002C" w:rsidRDefault="00000000">
      <w:pPr>
        <w:pStyle w:val="ListParagraph"/>
        <w:numPr>
          <w:ilvl w:val="0"/>
          <w:numId w:val="1"/>
        </w:numPr>
        <w:spacing w:after="120"/>
      </w:pPr>
      <w:r>
        <w:t xml:space="preserve">The Commission's approach reflects a broader consideration of the implications for other SEP holders, indicating that imposing liability under Article 102 TFEU should be approached with caution to avoid discouraging legitimate enforcement of intellectual property rights </w:t>
      </w:r>
      <w:hyperlink r:id="rId93" w:history="1">
        <w:r>
          <w:rPr>
            <w:rStyle w:val="Hyperlink"/>
          </w:rPr>
          <w:t>[3]</w:t>
        </w:r>
      </w:hyperlink>
      <w:r>
        <w:t>.</w:t>
      </w:r>
    </w:p>
    <w:p w14:paraId="2492B3F0" w14:textId="77777777" w:rsidR="0068002C" w:rsidRDefault="00000000">
      <w:pPr>
        <w:spacing w:before="200" w:after="160"/>
      </w:pPr>
      <w:r>
        <w:rPr>
          <w:b/>
          <w:bCs/>
          <w:color w:val="1F4E5F"/>
        </w:rPr>
        <w:t>Case AT.39939 - Samsung - Enforcement of UMTS standard essential patents</w:t>
      </w:r>
    </w:p>
    <w:p w14:paraId="2B0DB44A" w14:textId="77777777" w:rsidR="0068002C" w:rsidRDefault="00000000">
      <w:pPr>
        <w:spacing w:before="240" w:after="120"/>
      </w:pPr>
      <w:r>
        <w:rPr>
          <w:b/>
          <w:bCs/>
          <w:i/>
          <w:iCs/>
          <w:color w:val="1F4E5F"/>
        </w:rPr>
        <w:t>Case Background</w:t>
      </w:r>
    </w:p>
    <w:p w14:paraId="47CA33E7" w14:textId="77777777" w:rsidR="0068002C" w:rsidRDefault="00000000">
      <w:pPr>
        <w:spacing w:after="160"/>
      </w:pPr>
      <w:r>
        <w:t xml:space="preserve">The allegation made in this case is that Samsung sought injunctions against Apple based on its UMTS standard essential patents (SEPs) in a manner that raised concerns about compatibility with Article 102 TFEU. </w:t>
      </w:r>
      <w:hyperlink r:id="rId94" w:history="1">
        <w:r>
          <w:rPr>
            <w:rStyle w:val="Hyperlink"/>
          </w:rPr>
          <w:t>[4]</w:t>
        </w:r>
      </w:hyperlink>
    </w:p>
    <w:p w14:paraId="33360786" w14:textId="77777777" w:rsidR="0068002C" w:rsidRDefault="00000000">
      <w:pPr>
        <w:spacing w:after="160"/>
      </w:pPr>
      <w:r>
        <w:t xml:space="preserve">The company against which the allegation was made is Apple. </w:t>
      </w:r>
      <w:hyperlink r:id="rId95" w:history="1">
        <w:r>
          <w:rPr>
            <w:rStyle w:val="Hyperlink"/>
          </w:rPr>
          <w:t>[4]</w:t>
        </w:r>
      </w:hyperlink>
    </w:p>
    <w:p w14:paraId="3ACB7B05" w14:textId="77777777" w:rsidR="0068002C" w:rsidRDefault="00000000">
      <w:pPr>
        <w:spacing w:after="160"/>
      </w:pPr>
      <w:r>
        <w:t xml:space="preserve">The year of case initiation is 2012, as indicated by Samsung's worldwide turnover figure from that year. </w:t>
      </w:r>
      <w:hyperlink r:id="rId96" w:history="1">
        <w:r>
          <w:rPr>
            <w:rStyle w:val="Hyperlink"/>
          </w:rPr>
          <w:t>[4]</w:t>
        </w:r>
      </w:hyperlink>
    </w:p>
    <w:p w14:paraId="2B3B3267" w14:textId="77777777" w:rsidR="0068002C" w:rsidRDefault="00000000">
      <w:pPr>
        <w:spacing w:after="160"/>
      </w:pPr>
      <w:r>
        <w:t xml:space="preserve">The violation involves Samsung's conduct of seeking injunctions without objective justification, particularly when Apple was willing to enter into a licensing agreement for Samsung's UMTS SEPs on FRAND terms. This conduct was deemed potentially abusive due to the exceptional circumstances surrounding the UMTS standard-setting process and Samsung's commitment to license its SEPs on FRAND terms. </w:t>
      </w:r>
      <w:hyperlink r:id="rId97" w:history="1">
        <w:r>
          <w:rPr>
            <w:rStyle w:val="Hyperlink"/>
          </w:rPr>
          <w:t>[4]</w:t>
        </w:r>
      </w:hyperlink>
    </w:p>
    <w:p w14:paraId="19096D1E" w14:textId="77777777" w:rsidR="0068002C" w:rsidRDefault="00000000">
      <w:pPr>
        <w:spacing w:after="160"/>
      </w:pPr>
      <w:r>
        <w:t xml:space="preserve">The Commission's preliminary assessment highlighted that Samsung's actions could lead to anti-competitive effects, as the industry was locked-in to the UMTS standard, which could allow SEP holders to behave in ways that hinder competition. </w:t>
      </w:r>
      <w:hyperlink r:id="rId98" w:history="1">
        <w:r>
          <w:rPr>
            <w:rStyle w:val="Hyperlink"/>
          </w:rPr>
          <w:t>[4]</w:t>
        </w:r>
      </w:hyperlink>
    </w:p>
    <w:p w14:paraId="19ABC741" w14:textId="77777777" w:rsidR="0068002C" w:rsidRDefault="00000000">
      <w:pPr>
        <w:spacing w:before="240" w:after="120"/>
      </w:pPr>
      <w:r>
        <w:rPr>
          <w:b/>
          <w:bCs/>
          <w:i/>
          <w:iCs/>
          <w:color w:val="1F4E5F"/>
        </w:rPr>
        <w:t>Case Progression</w:t>
      </w:r>
    </w:p>
    <w:p w14:paraId="6E07DAA8" w14:textId="77777777" w:rsidR="0068002C" w:rsidRDefault="00000000">
      <w:pPr>
        <w:pStyle w:val="ListParagraph"/>
        <w:numPr>
          <w:ilvl w:val="0"/>
          <w:numId w:val="1"/>
        </w:numPr>
        <w:spacing w:after="120"/>
      </w:pPr>
      <w:r>
        <w:rPr>
          <w:b/>
          <w:bCs/>
        </w:rPr>
        <w:t xml:space="preserve">Case Initiation: </w:t>
      </w:r>
      <w:r>
        <w:t xml:space="preserve">The case was initiated under identifier AT.39939, concerning Samsung's seeking of injunctions against Apple based on its standard essential patents (SEPs) related to UMTS technology </w:t>
      </w:r>
      <w:hyperlink r:id="rId99" w:history="1">
        <w:r>
          <w:rPr>
            <w:rStyle w:val="Hyperlink"/>
          </w:rPr>
          <w:t>[4]</w:t>
        </w:r>
      </w:hyperlink>
      <w:r>
        <w:t>.</w:t>
      </w:r>
    </w:p>
    <w:p w14:paraId="3E5C5B43" w14:textId="77777777" w:rsidR="0068002C" w:rsidRDefault="00000000">
      <w:pPr>
        <w:pStyle w:val="ListParagraph"/>
        <w:numPr>
          <w:ilvl w:val="0"/>
          <w:numId w:val="1"/>
        </w:numPr>
        <w:spacing w:after="120"/>
      </w:pPr>
      <w:r>
        <w:rPr>
          <w:b/>
          <w:bCs/>
        </w:rPr>
        <w:t xml:space="preserve">Preliminary Investigation: </w:t>
      </w:r>
      <w:r>
        <w:t xml:space="preserve">The Commission conducted a preliminary investigation and expressed concerns in a Statement of Objections issued on December 21, 2012, indicating that Samsung's actions might affect competition and trade within the EU </w:t>
      </w:r>
      <w:hyperlink r:id="rId100" w:history="1">
        <w:r>
          <w:rPr>
            <w:rStyle w:val="Hyperlink"/>
          </w:rPr>
          <w:t>[4]</w:t>
        </w:r>
      </w:hyperlink>
      <w:r>
        <w:t>.</w:t>
      </w:r>
    </w:p>
    <w:p w14:paraId="7825F978" w14:textId="77777777" w:rsidR="0068002C" w:rsidRDefault="00000000">
      <w:pPr>
        <w:pStyle w:val="ListParagraph"/>
        <w:numPr>
          <w:ilvl w:val="0"/>
          <w:numId w:val="1"/>
        </w:numPr>
        <w:spacing w:after="120"/>
      </w:pPr>
      <w:r>
        <w:rPr>
          <w:b/>
          <w:bCs/>
        </w:rPr>
        <w:t xml:space="preserve">Statement of Objections issued: </w:t>
      </w:r>
      <w:r>
        <w:t xml:space="preserve">The Statement of Objections outlined the Commission's preliminary conclusions regarding Samsung's conduct, specifically its commitment to license SEPs on fair, reasonable, and non-discriminatory (FRAND) terms during the standard- setting process </w:t>
      </w:r>
      <w:hyperlink r:id="rId101" w:history="1">
        <w:r>
          <w:rPr>
            <w:rStyle w:val="Hyperlink"/>
          </w:rPr>
          <w:t>[4]</w:t>
        </w:r>
      </w:hyperlink>
      <w:r>
        <w:t>.</w:t>
      </w:r>
    </w:p>
    <w:p w14:paraId="63E07284" w14:textId="77777777" w:rsidR="0068002C" w:rsidRDefault="00000000">
      <w:pPr>
        <w:pStyle w:val="ListParagraph"/>
        <w:numPr>
          <w:ilvl w:val="0"/>
          <w:numId w:val="1"/>
        </w:numPr>
        <w:spacing w:after="120"/>
      </w:pPr>
      <w:r>
        <w:rPr>
          <w:b/>
          <w:bCs/>
        </w:rPr>
        <w:t xml:space="preserve">Defense Phase: </w:t>
      </w:r>
      <w:r>
        <w:t xml:space="preserve">Samsung was given the opportunity to respond to the Statement of Objections, which included a written response and an oral hearing. The document does not provide specific details about the content of Samsung's defense or the outcomes of these proceedings </w:t>
      </w:r>
      <w:hyperlink r:id="rId102" w:history="1">
        <w:r>
          <w:rPr>
            <w:rStyle w:val="Hyperlink"/>
          </w:rPr>
          <w:t>[4]</w:t>
        </w:r>
      </w:hyperlink>
      <w:r>
        <w:t>.</w:t>
      </w:r>
    </w:p>
    <w:p w14:paraId="349630F5" w14:textId="77777777" w:rsidR="0068002C" w:rsidRDefault="00000000">
      <w:pPr>
        <w:pStyle w:val="ListParagraph"/>
        <w:numPr>
          <w:ilvl w:val="0"/>
          <w:numId w:val="1"/>
        </w:numPr>
        <w:spacing w:after="120"/>
      </w:pPr>
      <w:r>
        <w:rPr>
          <w:b/>
          <w:bCs/>
        </w:rPr>
        <w:t xml:space="preserve">Commission Decision: </w:t>
      </w:r>
      <w:r>
        <w:t xml:space="preserve">The Commission's decision, which is the subject of this document, concluded that Samsung's Final Commitments adequately addressed the competition concerns raised. The commitments were made binding under Article 9(1) of Regulation (EC) No 1/2003 </w:t>
      </w:r>
      <w:hyperlink r:id="rId103" w:history="1">
        <w:r>
          <w:rPr>
            <w:rStyle w:val="Hyperlink"/>
          </w:rPr>
          <w:t>[4]</w:t>
        </w:r>
      </w:hyperlink>
      <w:r>
        <w:t>.</w:t>
      </w:r>
    </w:p>
    <w:p w14:paraId="00E0FC47" w14:textId="77777777" w:rsidR="0068002C" w:rsidRDefault="00000000">
      <w:pPr>
        <w:pStyle w:val="ListParagraph"/>
        <w:numPr>
          <w:ilvl w:val="0"/>
          <w:numId w:val="1"/>
        </w:numPr>
        <w:spacing w:after="120"/>
      </w:pPr>
      <w:r>
        <w:rPr>
          <w:b/>
          <w:bCs/>
        </w:rPr>
        <w:t xml:space="preserve">Next Steps: </w:t>
      </w:r>
      <w:r>
        <w:t xml:space="preserve">The document does not cover any potential appeal or further stages following the Commission's decision, as it focuses on the commitments and their implications for Samsung and the market </w:t>
      </w:r>
      <w:hyperlink r:id="rId104" w:history="1">
        <w:r>
          <w:rPr>
            <w:rStyle w:val="Hyperlink"/>
          </w:rPr>
          <w:t>[4]</w:t>
        </w:r>
      </w:hyperlink>
      <w:r>
        <w:t>.</w:t>
      </w:r>
    </w:p>
    <w:p w14:paraId="523AD807" w14:textId="77777777" w:rsidR="0068002C" w:rsidRDefault="00000000">
      <w:pPr>
        <w:spacing w:before="240" w:after="120"/>
      </w:pPr>
      <w:r>
        <w:rPr>
          <w:b/>
          <w:bCs/>
          <w:i/>
          <w:iCs/>
          <w:color w:val="1F4E5F"/>
        </w:rPr>
        <w:t>Market Definition</w:t>
      </w:r>
    </w:p>
    <w:p w14:paraId="367E7324" w14:textId="77777777" w:rsidR="0068002C" w:rsidRDefault="00000000">
      <w:pPr>
        <w:spacing w:after="160"/>
      </w:pPr>
      <w:r>
        <w:t xml:space="preserve">The relevant markets were defined in terms of product markets and geographic markets, focusing on the specific technology involved, namely UMTS technology. </w:t>
      </w:r>
      <w:hyperlink r:id="rId105" w:history="1">
        <w:r>
          <w:rPr>
            <w:rStyle w:val="Hyperlink"/>
          </w:rPr>
          <w:t>[4]</w:t>
        </w:r>
      </w:hyperlink>
    </w:p>
    <w:p w14:paraId="2C13EEEA" w14:textId="77777777" w:rsidR="0068002C" w:rsidRDefault="00000000">
      <w:pPr>
        <w:spacing w:after="160"/>
      </w:pPr>
      <w:r>
        <w:t xml:space="preserve">The product markets considered included those related to smartphones and tablets that implement the Mobile Standard, which is based on Samsung's standard essential patents (SEPs). </w:t>
      </w:r>
      <w:hyperlink r:id="rId106" w:history="1">
        <w:r>
          <w:rPr>
            <w:rStyle w:val="Hyperlink"/>
          </w:rPr>
          <w:t>[4]</w:t>
        </w:r>
      </w:hyperlink>
    </w:p>
    <w:p w14:paraId="13C161C0" w14:textId="77777777" w:rsidR="0068002C" w:rsidRDefault="00000000">
      <w:pPr>
        <w:spacing w:after="160"/>
      </w:pPr>
      <w:r>
        <w:t xml:space="preserve">Geographic markets were assessed to determine the scope of competition and trade effects within the European Economic Area (EEA) and between Member States. </w:t>
      </w:r>
      <w:hyperlink r:id="rId107" w:history="1">
        <w:r>
          <w:rPr>
            <w:rStyle w:val="Hyperlink"/>
          </w:rPr>
          <w:t>[4]</w:t>
        </w:r>
      </w:hyperlink>
    </w:p>
    <w:p w14:paraId="7CCFB4F3" w14:textId="77777777" w:rsidR="0068002C" w:rsidRDefault="00000000">
      <w:pPr>
        <w:spacing w:after="160"/>
      </w:pPr>
      <w:r>
        <w:t xml:space="preserve">The assessment of dominance involved evaluating Samsung's market position in relation to its competitors, particularly Apple, in the context of the mobile telecommunications sector. </w:t>
      </w:r>
      <w:hyperlink r:id="rId108" w:history="1">
        <w:r>
          <w:rPr>
            <w:rStyle w:val="Hyperlink"/>
          </w:rPr>
          <w:t>[4]</w:t>
        </w:r>
      </w:hyperlink>
    </w:p>
    <w:p w14:paraId="475DC2F1" w14:textId="77777777" w:rsidR="0068002C" w:rsidRDefault="00000000">
      <w:pPr>
        <w:spacing w:after="160"/>
      </w:pPr>
      <w:r>
        <w:t xml:space="preserve">Techniques used included a preliminary assessment of Samsung's conduct and its implications for competition, as well as a balancing exercise regarding fundamental rights and public interest. </w:t>
      </w:r>
      <w:hyperlink r:id="rId109" w:history="1">
        <w:r>
          <w:rPr>
            <w:rStyle w:val="Hyperlink"/>
          </w:rPr>
          <w:t>[4]</w:t>
        </w:r>
      </w:hyperlink>
    </w:p>
    <w:p w14:paraId="730C6A58" w14:textId="77777777" w:rsidR="0068002C" w:rsidRDefault="00000000">
      <w:pPr>
        <w:spacing w:after="160"/>
      </w:pPr>
      <w:r>
        <w:t xml:space="preserve">The Commission also considered the potential anti-competitive effects of Samsung's practices, particularly in relation to its commitments to license SEPs on fair, reasonable, and non-discriminatory (FRAND) terms. </w:t>
      </w:r>
      <w:hyperlink r:id="rId110" w:history="1">
        <w:r>
          <w:rPr>
            <w:rStyle w:val="Hyperlink"/>
          </w:rPr>
          <w:t>[4]</w:t>
        </w:r>
      </w:hyperlink>
    </w:p>
    <w:p w14:paraId="3E58A728" w14:textId="77777777" w:rsidR="0068002C" w:rsidRDefault="00000000">
      <w:pPr>
        <w:spacing w:after="160"/>
      </w:pPr>
      <w:r>
        <w:t xml:space="preserve">The process involved consultations with interested third parties and an evaluation of the commitments offered by Samsung to address the competition concerns raised in the Statement of Objections. </w:t>
      </w:r>
      <w:hyperlink r:id="rId111" w:history="1">
        <w:r>
          <w:rPr>
            <w:rStyle w:val="Hyperlink"/>
          </w:rPr>
          <w:t>[4]</w:t>
        </w:r>
      </w:hyperlink>
    </w:p>
    <w:p w14:paraId="6A1186AA" w14:textId="77777777" w:rsidR="0068002C" w:rsidRDefault="00000000">
      <w:pPr>
        <w:spacing w:before="240" w:after="120"/>
      </w:pPr>
      <w:r>
        <w:rPr>
          <w:b/>
          <w:bCs/>
          <w:i/>
          <w:iCs/>
          <w:color w:val="1F4E5F"/>
        </w:rPr>
        <w:t>Theories of Harm</w:t>
      </w:r>
    </w:p>
    <w:p w14:paraId="3D681F7E" w14:textId="77777777" w:rsidR="0068002C" w:rsidRDefault="00000000">
      <w:pPr>
        <w:pStyle w:val="ListParagraph"/>
        <w:numPr>
          <w:ilvl w:val="0"/>
          <w:numId w:val="1"/>
        </w:numPr>
        <w:spacing w:after="120"/>
      </w:pPr>
      <w:r>
        <w:rPr>
          <w:b/>
          <w:bCs/>
        </w:rPr>
        <w:t xml:space="preserve">Exclusion of Competitors: </w:t>
      </w:r>
      <w:r>
        <w:t xml:space="preserve">The theory of harm suggests that Samsung's actions in seeking preliminary and permanent injunctions against Apple could effectively exclude Apple, a rival manufacturer of UMTS-compliant mobile devices, from the market. This exclusion could limit competition and consumer choice. The Commission's preliminary conclusion indicates that Samsung's conduct was capable of inducing Apple to accept less favorable licensing terms than it might have otherwise agreed to without the threat of injunctions </w:t>
      </w:r>
      <w:hyperlink r:id="rId112" w:history="1">
        <w:r>
          <w:rPr>
            <w:rStyle w:val="Hyperlink"/>
          </w:rPr>
          <w:t>[4]</w:t>
        </w:r>
      </w:hyperlink>
      <w:r>
        <w:t>.</w:t>
      </w:r>
    </w:p>
    <w:p w14:paraId="5E8D08A7" w14:textId="77777777" w:rsidR="0068002C" w:rsidRDefault="00000000">
      <w:pPr>
        <w:pStyle w:val="ListParagraph"/>
        <w:numPr>
          <w:ilvl w:val="0"/>
          <w:numId w:val="1"/>
        </w:numPr>
        <w:spacing w:after="120"/>
      </w:pPr>
      <w:r>
        <w:rPr>
          <w:b/>
          <w:bCs/>
        </w:rPr>
        <w:t xml:space="preserve">Inducement of Disadvantageous Licensing Terms: </w:t>
      </w:r>
      <w:r>
        <w:t xml:space="preserve">This theory posits that Samsung's pursuit of injunctions could pressure Apple into accepting disadvantageous licensing terms. The Commission noted that the threat of legal action could lead Apple to agree to terms that are not in its best interest, thereby distorting the negotiation process and harming competition </w:t>
      </w:r>
      <w:hyperlink r:id="rId113" w:history="1">
        <w:r>
          <w:rPr>
            <w:rStyle w:val="Hyperlink"/>
          </w:rPr>
          <w:t>[4]</w:t>
        </w:r>
      </w:hyperlink>
      <w:r>
        <w:t>.</w:t>
      </w:r>
    </w:p>
    <w:p w14:paraId="6391CD60" w14:textId="77777777" w:rsidR="0068002C" w:rsidRDefault="00000000">
      <w:pPr>
        <w:pStyle w:val="ListParagraph"/>
        <w:numPr>
          <w:ilvl w:val="0"/>
          <w:numId w:val="1"/>
        </w:numPr>
        <w:spacing w:after="120"/>
      </w:pPr>
      <w:r>
        <w:rPr>
          <w:b/>
          <w:bCs/>
        </w:rPr>
        <w:t xml:space="preserve">Abuse of Dominant Position: </w:t>
      </w:r>
      <w:r>
        <w:t xml:space="preserve">The Commission assessed that Samsung's conduct constituted an abuse of its dominant position by seeking injunctions against a potential licensee that was not unwilling to enter into a licensing agreement on FRAND terms. The reasoning here is that the mere holding of intellectual property rights does not justify seeking injunctions against parties willing to negotiate, as this could undermine the principles of fair competition and the integrity of the standard-setting process </w:t>
      </w:r>
      <w:hyperlink r:id="rId114" w:history="1">
        <w:r>
          <w:rPr>
            <w:rStyle w:val="Hyperlink"/>
          </w:rPr>
          <w:t>[4]</w:t>
        </w:r>
      </w:hyperlink>
      <w:r>
        <w:t>.</w:t>
      </w:r>
    </w:p>
    <w:p w14:paraId="6B80CC7D" w14:textId="77777777" w:rsidR="0068002C" w:rsidRDefault="00000000">
      <w:pPr>
        <w:spacing w:before="240" w:after="120"/>
      </w:pPr>
      <w:r>
        <w:rPr>
          <w:b/>
          <w:bCs/>
          <w:i/>
          <w:iCs/>
          <w:color w:val="1F4E5F"/>
        </w:rPr>
        <w:t>Legal &amp; Economic Tests</w:t>
      </w:r>
    </w:p>
    <w:p w14:paraId="4731D7D6" w14:textId="77777777" w:rsidR="0068002C" w:rsidRDefault="00000000">
      <w:pPr>
        <w:pStyle w:val="ListParagraph"/>
        <w:numPr>
          <w:ilvl w:val="0"/>
          <w:numId w:val="1"/>
        </w:numPr>
        <w:spacing w:after="120"/>
      </w:pPr>
      <w:r>
        <w:rPr>
          <w:b/>
          <w:bCs/>
        </w:rPr>
        <w:t xml:space="preserve">Balancing Exercise: </w:t>
      </w:r>
      <w:r>
        <w:t xml:space="preserve">The Commission conducted a balancing exercise to ensure that the commitments offered by Samsung respect the fundamental rights and freedoms at stake, including intellectual property rights, the right of access to a tribunal, and the freedom to conduct a business. This process involved assessing whether the commitments adequately addressed the competition concerns while maintaining a fair balance between these rights. </w:t>
      </w:r>
      <w:hyperlink r:id="rId115" w:history="1">
        <w:r>
          <w:rPr>
            <w:rStyle w:val="Hyperlink"/>
          </w:rPr>
          <w:t>[4]</w:t>
        </w:r>
      </w:hyperlink>
    </w:p>
    <w:p w14:paraId="5E321378" w14:textId="77777777" w:rsidR="0068002C" w:rsidRDefault="00000000">
      <w:pPr>
        <w:pStyle w:val="ListParagraph"/>
        <w:numPr>
          <w:ilvl w:val="0"/>
          <w:numId w:val="1"/>
        </w:numPr>
        <w:spacing w:after="120"/>
      </w:pPr>
      <w:r>
        <w:rPr>
          <w:b/>
          <w:bCs/>
        </w:rPr>
        <w:t xml:space="preserve">Proportionality Principle: </w:t>
      </w:r>
      <w:r>
        <w:t xml:space="preserve">The application of the principle of proportionality required the Commission to evaluate whether Samsung's commitments effectively addressed the concerns raised in the Preliminary Assessment. This involved determining if less onerous commitments could also adequately resolve the issues identified, while considering the interests of third parties. </w:t>
      </w:r>
      <w:hyperlink r:id="rId116" w:history="1">
        <w:r>
          <w:rPr>
            <w:rStyle w:val="Hyperlink"/>
          </w:rPr>
          <w:t>[4]</w:t>
        </w:r>
      </w:hyperlink>
    </w:p>
    <w:p w14:paraId="4221BD8F" w14:textId="77777777" w:rsidR="0068002C" w:rsidRDefault="00000000">
      <w:pPr>
        <w:pStyle w:val="ListParagraph"/>
        <w:numPr>
          <w:ilvl w:val="0"/>
          <w:numId w:val="1"/>
        </w:numPr>
        <w:spacing w:after="120"/>
      </w:pPr>
      <w:r>
        <w:rPr>
          <w:b/>
          <w:bCs/>
        </w:rPr>
        <w:t xml:space="preserve">Assessment of Anti-competitive Effects: </w:t>
      </w:r>
      <w:r>
        <w:t xml:space="preserve">The Commission preliminarily concluded that Samsung's actions, specifically seeking injunctions against Apple based on its standard essential patents, could potentially exclude a competitor from the market and compel acceptance of disadvantageous licensing terms. This assessment focused on the implications of Samsung's conduct on competition and market dynamics. </w:t>
      </w:r>
      <w:hyperlink r:id="rId117" w:history="1">
        <w:r>
          <w:rPr>
            <w:rStyle w:val="Hyperlink"/>
          </w:rPr>
          <w:t>[4]</w:t>
        </w:r>
      </w:hyperlink>
    </w:p>
    <w:p w14:paraId="2371DE0F" w14:textId="77777777" w:rsidR="0068002C" w:rsidRDefault="00000000">
      <w:pPr>
        <w:spacing w:before="240" w:after="120"/>
      </w:pPr>
      <w:r>
        <w:rPr>
          <w:b/>
          <w:bCs/>
          <w:i/>
          <w:iCs/>
          <w:color w:val="1F4E5F"/>
        </w:rPr>
        <w:t>Remedies</w:t>
      </w:r>
    </w:p>
    <w:p w14:paraId="6260A762" w14:textId="77777777" w:rsidR="0068002C" w:rsidRDefault="00000000">
      <w:pPr>
        <w:pStyle w:val="ListParagraph"/>
        <w:numPr>
          <w:ilvl w:val="0"/>
          <w:numId w:val="1"/>
        </w:numPr>
        <w:spacing w:after="120"/>
      </w:pPr>
      <w:r>
        <w:rPr>
          <w:b/>
          <w:bCs/>
        </w:rPr>
        <w:t xml:space="preserve">Final Commitments by Samsung: </w:t>
      </w:r>
      <w:r>
        <w:t xml:space="preserve">Samsung has committed not to seek injunctions based on its Mobile Standard Essential Patents (SEPs) against any potential licensee willing to enter into a licensing agreement on Fair, Reasonable, and Non-Discriminatory (FRAND) terms. This remedy provides a "safe-harbour" for potential licensees, ensuring they can negotiate without the threat of injunctions. The reasoning behind this commitment is to address competition concerns and ensure that potential licensees are not unfairly excluded from the market. </w:t>
      </w:r>
      <w:hyperlink r:id="rId118" w:history="1">
        <w:r>
          <w:rPr>
            <w:rStyle w:val="Hyperlink"/>
          </w:rPr>
          <w:t>[4]</w:t>
        </w:r>
      </w:hyperlink>
    </w:p>
    <w:p w14:paraId="310254D0" w14:textId="77777777" w:rsidR="0068002C" w:rsidRDefault="00000000">
      <w:pPr>
        <w:pStyle w:val="ListParagraph"/>
        <w:numPr>
          <w:ilvl w:val="0"/>
          <w:numId w:val="1"/>
        </w:numPr>
        <w:spacing w:after="120"/>
      </w:pPr>
      <w:r>
        <w:rPr>
          <w:b/>
          <w:bCs/>
        </w:rPr>
        <w:t xml:space="preserve">Licensing Framework: </w:t>
      </w:r>
      <w:r>
        <w:t xml:space="preserve">The commitments include a Licensing Framework that outlines the terms under which Samsung will negotiate licenses for its Mobile SEPs. This framework allows for either unilateral licensing agreements or cross-licensing agreements, depending on the parties' requests. The condition is that Samsung must provide sufficient details of the proposed licensing terms to potential licensees, facilitating informed negotiations. This aims to prevent Samsung from leveraging its patents to impose disadvantageous terms on licensees. </w:t>
      </w:r>
      <w:hyperlink r:id="rId119" w:history="1">
        <w:r>
          <w:rPr>
            <w:rStyle w:val="Hyperlink"/>
          </w:rPr>
          <w:t>[4]</w:t>
        </w:r>
      </w:hyperlink>
    </w:p>
    <w:p w14:paraId="417C6CDB" w14:textId="77777777" w:rsidR="0068002C" w:rsidRDefault="00000000">
      <w:pPr>
        <w:pStyle w:val="ListParagraph"/>
        <w:numPr>
          <w:ilvl w:val="0"/>
          <w:numId w:val="1"/>
        </w:numPr>
        <w:spacing w:after="120"/>
      </w:pPr>
      <w:r>
        <w:rPr>
          <w:b/>
          <w:bCs/>
        </w:rPr>
        <w:t xml:space="preserve">Prohibition on Conditional Licensing: </w:t>
      </w:r>
      <w:r>
        <w:t xml:space="preserve">Samsung cannot make access to its SEPs conditional on cross-licensing of non-SEPs or SEPs not covered by the reciprocity rules of Standard Setting Organizations (SSOs). This remedy is designed to prevent Samsung from forcing potential licensees into unfavorable cross-licensing agreements, thereby ensuring fair competition and access to essential patents. The reasoning is to eliminate any potential anti-competitive effects that could arise from such conditions. </w:t>
      </w:r>
      <w:hyperlink r:id="rId120" w:history="1">
        <w:r>
          <w:rPr>
            <w:rStyle w:val="Hyperlink"/>
          </w:rPr>
          <w:t>[4]</w:t>
        </w:r>
      </w:hyperlink>
    </w:p>
    <w:p w14:paraId="5D68D75D" w14:textId="77777777" w:rsidR="0068002C" w:rsidRDefault="00000000">
      <w:pPr>
        <w:spacing w:before="240" w:after="120"/>
      </w:pPr>
      <w:r>
        <w:rPr>
          <w:b/>
          <w:bCs/>
          <w:i/>
          <w:iCs/>
          <w:color w:val="1F4E5F"/>
        </w:rPr>
        <w:t>Conclusion</w:t>
      </w:r>
    </w:p>
    <w:p w14:paraId="1A1AE168" w14:textId="77777777" w:rsidR="0068002C" w:rsidRDefault="00000000">
      <w:pPr>
        <w:pStyle w:val="ListParagraph"/>
        <w:numPr>
          <w:ilvl w:val="0"/>
          <w:numId w:val="1"/>
        </w:numPr>
        <w:spacing w:after="120"/>
      </w:pPr>
      <w:r>
        <w:t xml:space="preserve">The Commission concluded that Samsung's Final Commitments adequately addressed the competition concerns expressed in the Statement of Objections, ensuring that Samsung would not seek injunctions based on its Mobile SEPs against potential licensees willing to enter into FRAND agreements </w:t>
      </w:r>
      <w:hyperlink r:id="rId121" w:history="1">
        <w:r>
          <w:rPr>
            <w:rStyle w:val="Hyperlink"/>
          </w:rPr>
          <w:t>[4]</w:t>
        </w:r>
      </w:hyperlink>
      <w:r>
        <w:t>.</w:t>
      </w:r>
    </w:p>
    <w:p w14:paraId="1446055C" w14:textId="77777777" w:rsidR="0068002C" w:rsidRDefault="00000000">
      <w:pPr>
        <w:pStyle w:val="ListParagraph"/>
        <w:numPr>
          <w:ilvl w:val="0"/>
          <w:numId w:val="1"/>
        </w:numPr>
        <w:spacing w:after="120"/>
      </w:pPr>
      <w:r>
        <w:t xml:space="preserve">The commitments provided a "safe-harbour" for all potential licensees who agreed to the Licensing Framework, allowing them to avoid injunctions as long as they were willing to negotiate on FRAND terms </w:t>
      </w:r>
      <w:hyperlink r:id="rId122" w:history="1">
        <w:r>
          <w:rPr>
            <w:rStyle w:val="Hyperlink"/>
          </w:rPr>
          <w:t>[4]</w:t>
        </w:r>
      </w:hyperlink>
      <w:r>
        <w:t>.</w:t>
      </w:r>
    </w:p>
    <w:p w14:paraId="5D486533" w14:textId="77777777" w:rsidR="0068002C" w:rsidRDefault="00000000">
      <w:pPr>
        <w:pStyle w:val="ListParagraph"/>
        <w:numPr>
          <w:ilvl w:val="0"/>
          <w:numId w:val="1"/>
        </w:numPr>
        <w:spacing w:after="120"/>
      </w:pPr>
      <w:r>
        <w:t xml:space="preserve">If a potential licensee chose not to sign the Licensing Framework, the court would need to assess whether that licensee was genuinely unwilling to enter into a FRAND agreement before granting any injunctive relief sought by Samsung </w:t>
      </w:r>
      <w:hyperlink r:id="rId123" w:history="1">
        <w:r>
          <w:rPr>
            <w:rStyle w:val="Hyperlink"/>
          </w:rPr>
          <w:t>[4]</w:t>
        </w:r>
      </w:hyperlink>
      <w:r>
        <w:t>.</w:t>
      </w:r>
    </w:p>
    <w:p w14:paraId="3D5F3A02" w14:textId="77777777" w:rsidR="0068002C" w:rsidRDefault="00000000">
      <w:pPr>
        <w:pStyle w:val="ListParagraph"/>
        <w:numPr>
          <w:ilvl w:val="0"/>
          <w:numId w:val="1"/>
        </w:numPr>
        <w:spacing w:after="120"/>
      </w:pPr>
      <w:r>
        <w:t xml:space="preserve">Samsung's Initial Commitments from September 2013 were deemed inadequate in addressing the Commission's concerns, leading to the adoption of the Final Commitments </w:t>
      </w:r>
      <w:hyperlink r:id="rId124" w:history="1">
        <w:r>
          <w:rPr>
            <w:rStyle w:val="Hyperlink"/>
          </w:rPr>
          <w:t>[4]</w:t>
        </w:r>
      </w:hyperlink>
      <w:r>
        <w:t>.</w:t>
      </w:r>
    </w:p>
    <w:p w14:paraId="09412876" w14:textId="77777777" w:rsidR="0068002C" w:rsidRDefault="00000000">
      <w:pPr>
        <w:pStyle w:val="ListParagraph"/>
        <w:numPr>
          <w:ilvl w:val="0"/>
          <w:numId w:val="1"/>
        </w:numPr>
        <w:spacing w:after="120"/>
      </w:pPr>
      <w:r>
        <w:t xml:space="preserve">The Commission considered the interests of third parties in its assessment, ensuring a balance between fundamental rights and effective competition </w:t>
      </w:r>
      <w:hyperlink r:id="rId125" w:history="1">
        <w:r>
          <w:rPr>
            <w:rStyle w:val="Hyperlink"/>
          </w:rPr>
          <w:t>[4]</w:t>
        </w:r>
      </w:hyperlink>
      <w:r>
        <w:t>.</w:t>
      </w:r>
    </w:p>
    <w:p w14:paraId="23B9E028" w14:textId="77777777" w:rsidR="0068002C" w:rsidRDefault="00000000">
      <w:pPr>
        <w:pStyle w:val="ListParagraph"/>
        <w:numPr>
          <w:ilvl w:val="0"/>
          <w:numId w:val="1"/>
        </w:numPr>
        <w:spacing w:after="120"/>
      </w:pPr>
      <w:r>
        <w:t xml:space="preserve">No fines were imposed in this case; instead, the focus was on binding Samsung to its commitments to remedy the identified competition concerns </w:t>
      </w:r>
      <w:hyperlink r:id="rId126" w:history="1">
        <w:r>
          <w:rPr>
            <w:rStyle w:val="Hyperlink"/>
          </w:rPr>
          <w:t>[4]</w:t>
        </w:r>
      </w:hyperlink>
      <w:r>
        <w:t>.</w:t>
      </w:r>
    </w:p>
    <w:p w14:paraId="2CD9153B" w14:textId="77777777" w:rsidR="0068002C" w:rsidRDefault="00000000">
      <w:pPr>
        <w:pStyle w:val="ListParagraph"/>
        <w:numPr>
          <w:ilvl w:val="0"/>
          <w:numId w:val="1"/>
        </w:numPr>
        <w:spacing w:after="120"/>
      </w:pPr>
      <w:r>
        <w:t xml:space="preserve">The duration of the commitments was set at five years, reflecting the fast-moving nature of the mobile device sector and the need for adaptability in competitive dynamics </w:t>
      </w:r>
      <w:hyperlink r:id="rId127" w:history="1">
        <w:r>
          <w:rPr>
            <w:rStyle w:val="Hyperlink"/>
          </w:rPr>
          <w:t>[4]</w:t>
        </w:r>
      </w:hyperlink>
      <w:r>
        <w:t>.</w:t>
      </w:r>
    </w:p>
    <w:p w14:paraId="1F1042D7" w14:textId="77777777" w:rsidR="0068002C" w:rsidRDefault="00000000">
      <w:pPr>
        <w:spacing w:before="320" w:after="60"/>
      </w:pPr>
      <w:r>
        <w:rPr>
          <w:b/>
          <w:bCs/>
          <w:color w:val="808080"/>
          <w:spacing w:val="20"/>
          <w:sz w:val="18"/>
          <w:szCs w:val="18"/>
        </w:rPr>
        <w:t>MERGER</w:t>
      </w:r>
    </w:p>
    <w:p w14:paraId="4DE0F3BE" w14:textId="77777777" w:rsidR="0068002C" w:rsidRDefault="00000000">
      <w:pPr>
        <w:spacing w:before="200" w:after="160"/>
      </w:pPr>
      <w:r>
        <w:rPr>
          <w:b/>
          <w:bCs/>
          <w:color w:val="1F4E5F"/>
        </w:rPr>
        <w:t>CASE M.8788 – APPLE / SHAZAM</w:t>
      </w:r>
    </w:p>
    <w:p w14:paraId="49F39E5C" w14:textId="77777777" w:rsidR="0068002C" w:rsidRDefault="00000000">
      <w:pPr>
        <w:spacing w:before="240" w:after="120"/>
      </w:pPr>
      <w:r>
        <w:rPr>
          <w:b/>
          <w:bCs/>
          <w:i/>
          <w:iCs/>
          <w:color w:val="1F4E5F"/>
        </w:rPr>
        <w:t>Case Background</w:t>
      </w:r>
    </w:p>
    <w:p w14:paraId="220EFD33" w14:textId="77777777" w:rsidR="0068002C" w:rsidRDefault="00000000">
      <w:pPr>
        <w:spacing w:after="160"/>
      </w:pPr>
      <w:r>
        <w:t xml:space="preserve">The allegation made in this case is that the concentration raised serious doubts regarding its compatibility with the internal market due to potential foreclosure of competing providers of automatic content recognition software and digital music streaming apps. </w:t>
      </w:r>
      <w:hyperlink r:id="rId128" w:history="1">
        <w:r>
          <w:rPr>
            <w:rStyle w:val="Hyperlink"/>
          </w:rPr>
          <w:t>[5]</w:t>
        </w:r>
      </w:hyperlink>
    </w:p>
    <w:p w14:paraId="341455D6" w14:textId="77777777" w:rsidR="0068002C" w:rsidRDefault="00000000">
      <w:pPr>
        <w:spacing w:after="160"/>
      </w:pPr>
      <w:r>
        <w:t xml:space="preserve">The companies involved in this case are Apple Inc. and Shazam Entertainment Ltd. </w:t>
      </w:r>
      <w:hyperlink r:id="rId129" w:history="1">
        <w:r>
          <w:rPr>
            <w:rStyle w:val="Hyperlink"/>
          </w:rPr>
          <w:t>[5]</w:t>
        </w:r>
      </w:hyperlink>
    </w:p>
    <w:p w14:paraId="0B2DB116" w14:textId="77777777" w:rsidR="0068002C" w:rsidRDefault="00000000">
      <w:pPr>
        <w:spacing w:after="160"/>
      </w:pPr>
      <w:r>
        <w:t xml:space="preserve">The year of case initiation was 2018, with the notification received on 14 March 2018. </w:t>
      </w:r>
      <w:hyperlink r:id="rId130" w:history="1">
        <w:r>
          <w:rPr>
            <w:rStyle w:val="Hyperlink"/>
          </w:rPr>
          <w:t>[5]</w:t>
        </w:r>
      </w:hyperlink>
    </w:p>
    <w:p w14:paraId="72EF5143" w14:textId="77777777" w:rsidR="0068002C" w:rsidRDefault="00000000">
      <w:pPr>
        <w:spacing w:after="160"/>
      </w:pPr>
      <w:r>
        <w:t xml:space="preserve">The violation pertains to Apple potentially gaining access to commercially sensitive information about its rivals, which could undermine competition. This was allegedly conducted through practices such as pre-installing Shazam on iOS, integrating Shazam with iOS, or degrading the interoperability of ACR solutions provided by Shazam's competitors. Such actions could lead to Apple performing targeted advertising campaigns aimed at customers of rival music streaming services, particularly affecting those with freemium models. </w:t>
      </w:r>
      <w:hyperlink r:id="rId131" w:history="1">
        <w:r>
          <w:rPr>
            <w:rStyle w:val="Hyperlink"/>
          </w:rPr>
          <w:t>[5]</w:t>
        </w:r>
      </w:hyperlink>
    </w:p>
    <w:p w14:paraId="620D60FD" w14:textId="77777777" w:rsidR="0068002C" w:rsidRDefault="00000000">
      <w:pPr>
        <w:spacing w:before="240" w:after="120"/>
      </w:pPr>
      <w:r>
        <w:rPr>
          <w:b/>
          <w:bCs/>
          <w:i/>
          <w:iCs/>
          <w:color w:val="1F4E5F"/>
        </w:rPr>
        <w:t>Case Progression</w:t>
      </w:r>
    </w:p>
    <w:p w14:paraId="364EA83F" w14:textId="77777777" w:rsidR="0068002C" w:rsidRDefault="00000000">
      <w:pPr>
        <w:pStyle w:val="ListParagraph"/>
        <w:numPr>
          <w:ilvl w:val="0"/>
          <w:numId w:val="1"/>
        </w:numPr>
        <w:spacing w:after="120"/>
      </w:pPr>
      <w:r>
        <w:rPr>
          <w:b/>
          <w:bCs/>
        </w:rPr>
        <w:t xml:space="preserve">Case Initiation: </w:t>
      </w:r>
      <w:r>
        <w:t xml:space="preserve">The case was initiated with the identifier M.8788, concerning the proposed acquisition by Apple Inc. of Shazam Entertainment Ltd. This notification was received on 14 March 2018 </w:t>
      </w:r>
      <w:hyperlink r:id="rId132" w:history="1">
        <w:r>
          <w:rPr>
            <w:rStyle w:val="Hyperlink"/>
          </w:rPr>
          <w:t>[5]</w:t>
        </w:r>
      </w:hyperlink>
      <w:r>
        <w:t>.</w:t>
      </w:r>
    </w:p>
    <w:p w14:paraId="029946AB" w14:textId="77777777" w:rsidR="0068002C" w:rsidRDefault="00000000">
      <w:pPr>
        <w:pStyle w:val="ListParagraph"/>
        <w:numPr>
          <w:ilvl w:val="0"/>
          <w:numId w:val="1"/>
        </w:numPr>
        <w:spacing w:after="120"/>
      </w:pPr>
      <w:r>
        <w:rPr>
          <w:b/>
          <w:bCs/>
        </w:rPr>
        <w:t xml:space="preserve">Preliminary Investigation: </w:t>
      </w:r>
      <w:r>
        <w:t xml:space="preserve">A preliminary examination was conducted, leading to the initiation of proceedings on 23 April 2018 due to serious doubts about the concentration's compatibility with the internal market. The investigation included a first phase market investigation and the issuance of requests for information (RFIs) to gather evidence </w:t>
      </w:r>
      <w:hyperlink r:id="rId133" w:history="1">
        <w:r>
          <w:rPr>
            <w:rStyle w:val="Hyperlink"/>
          </w:rPr>
          <w:t>[5]</w:t>
        </w:r>
      </w:hyperlink>
      <w:r>
        <w:t>.</w:t>
      </w:r>
    </w:p>
    <w:p w14:paraId="4D38B010" w14:textId="77777777" w:rsidR="0068002C" w:rsidRDefault="00000000">
      <w:pPr>
        <w:pStyle w:val="ListParagraph"/>
        <w:numPr>
          <w:ilvl w:val="0"/>
          <w:numId w:val="1"/>
        </w:numPr>
        <w:spacing w:after="120"/>
      </w:pPr>
      <w:r>
        <w:rPr>
          <w:b/>
          <w:bCs/>
        </w:rPr>
        <w:t xml:space="preserve">Statement of Objections issued: </w:t>
      </w:r>
      <w:r>
        <w:t xml:space="preserve">The Commission issued an Article 6(1)(c) Decision, which raised concerns about potential foreclosure effects on competitors in the automatic content recognition software and digital music streaming markets </w:t>
      </w:r>
      <w:hyperlink r:id="rId134" w:history="1">
        <w:r>
          <w:rPr>
            <w:rStyle w:val="Hyperlink"/>
          </w:rPr>
          <w:t>[5]</w:t>
        </w:r>
      </w:hyperlink>
      <w:r>
        <w:t>.</w:t>
      </w:r>
    </w:p>
    <w:p w14:paraId="12C73A86" w14:textId="77777777" w:rsidR="0068002C" w:rsidRDefault="00000000">
      <w:pPr>
        <w:pStyle w:val="ListParagraph"/>
        <w:numPr>
          <w:ilvl w:val="0"/>
          <w:numId w:val="1"/>
        </w:numPr>
        <w:spacing w:after="120"/>
      </w:pPr>
      <w:r>
        <w:rPr>
          <w:b/>
          <w:bCs/>
        </w:rPr>
        <w:t xml:space="preserve">Defense Phase: </w:t>
      </w:r>
      <w:r>
        <w:t xml:space="preserve">The Notifying Party submitted a reply to the Article 6(1)(c) Decision on 15 May 2018, and a state of play meeting occurred on 22 May 2018. The Notifying Party did not contest the findings regarding geographic market definition </w:t>
      </w:r>
      <w:hyperlink r:id="rId135" w:history="1">
        <w:r>
          <w:rPr>
            <w:rStyle w:val="Hyperlink"/>
          </w:rPr>
          <w:t>[5]</w:t>
        </w:r>
      </w:hyperlink>
      <w:r>
        <w:t>.</w:t>
      </w:r>
    </w:p>
    <w:p w14:paraId="001CCF98" w14:textId="77777777" w:rsidR="0068002C" w:rsidRDefault="00000000">
      <w:pPr>
        <w:pStyle w:val="ListParagraph"/>
        <w:numPr>
          <w:ilvl w:val="0"/>
          <w:numId w:val="1"/>
        </w:numPr>
        <w:spacing w:after="120"/>
      </w:pPr>
      <w:r>
        <w:rPr>
          <w:b/>
          <w:bCs/>
        </w:rPr>
        <w:t xml:space="preserve">Commission Decision: </w:t>
      </w:r>
      <w:r>
        <w:t xml:space="preserve">The Advisory Committee discussed a draft decision on 22 August 2018, ultimately issuing a favorable opinion regarding the compatibility of the transaction with the internal market </w:t>
      </w:r>
      <w:hyperlink r:id="rId136" w:history="1">
        <w:r>
          <w:rPr>
            <w:rStyle w:val="Hyperlink"/>
          </w:rPr>
          <w:t>[5]</w:t>
        </w:r>
      </w:hyperlink>
      <w:r>
        <w:t>.</w:t>
      </w:r>
    </w:p>
    <w:p w14:paraId="6C54B470" w14:textId="77777777" w:rsidR="0068002C" w:rsidRDefault="00000000">
      <w:pPr>
        <w:pStyle w:val="ListParagraph"/>
        <w:numPr>
          <w:ilvl w:val="0"/>
          <w:numId w:val="1"/>
        </w:numPr>
        <w:spacing w:after="120"/>
      </w:pPr>
      <w:r>
        <w:t>The document does not cover any subsequent appeal or later stages in the process.</w:t>
      </w:r>
    </w:p>
    <w:p w14:paraId="089B0BB4" w14:textId="77777777" w:rsidR="0068002C" w:rsidRDefault="00000000">
      <w:pPr>
        <w:spacing w:before="240" w:after="120"/>
      </w:pPr>
      <w:r>
        <w:rPr>
          <w:b/>
          <w:bCs/>
          <w:i/>
          <w:iCs/>
          <w:color w:val="1F4E5F"/>
        </w:rPr>
        <w:t>Market Definition</w:t>
      </w:r>
    </w:p>
    <w:p w14:paraId="3F1CA02E" w14:textId="77777777" w:rsidR="0068002C" w:rsidRDefault="00000000">
      <w:pPr>
        <w:spacing w:after="160"/>
      </w:pPr>
      <w:r>
        <w:t xml:space="preserve">The Notifying Party did not take a firm view on the relevant product market for operating systems (OSs) and did not contest the Commission's findings regarding OSs for PCs, smart mobile devices, and smart TVs </w:t>
      </w:r>
      <w:hyperlink r:id="rId137" w:history="1">
        <w:r>
          <w:rPr>
            <w:rStyle w:val="Hyperlink"/>
          </w:rPr>
          <w:t>[5]</w:t>
        </w:r>
      </w:hyperlink>
      <w:r>
        <w:t>.</w:t>
      </w:r>
    </w:p>
    <w:p w14:paraId="4839C97F" w14:textId="77777777" w:rsidR="0068002C" w:rsidRDefault="00000000">
      <w:pPr>
        <w:spacing w:after="160"/>
      </w:pPr>
      <w:r>
        <w:t xml:space="preserve">The Commission has previously analyzed the market for digital music distribution, leaving the market definition open, and noted that segmentation between downloading and streaming services could be considered </w:t>
      </w:r>
      <w:hyperlink r:id="rId138" w:history="1">
        <w:r>
          <w:rPr>
            <w:rStyle w:val="Hyperlink"/>
          </w:rPr>
          <w:t>[5]</w:t>
        </w:r>
      </w:hyperlink>
      <w:r>
        <w:t>.</w:t>
      </w:r>
    </w:p>
    <w:p w14:paraId="6BF3DD3C" w14:textId="77777777" w:rsidR="0068002C" w:rsidRDefault="00000000">
      <w:pPr>
        <w:spacing w:after="160"/>
      </w:pPr>
      <w:r>
        <w:t xml:space="preserve">The Commission assessed the market for online advertising, considering it separate from offline advertising, and left the market definition open while evaluating potential segmentations </w:t>
      </w:r>
      <w:hyperlink r:id="rId139" w:history="1">
        <w:r>
          <w:rPr>
            <w:rStyle w:val="Hyperlink"/>
          </w:rPr>
          <w:t>[5]</w:t>
        </w:r>
      </w:hyperlink>
      <w:r>
        <w:t>.</w:t>
      </w:r>
    </w:p>
    <w:p w14:paraId="057B274F" w14:textId="77777777" w:rsidR="0068002C" w:rsidRDefault="00000000">
      <w:pPr>
        <w:spacing w:after="160"/>
      </w:pPr>
      <w:r>
        <w:t xml:space="preserve">Evidence from the Commission's file did not suggest a need to deviate from prior decisional practices regarding the geographic market definitions for software solutions and apps platforms </w:t>
      </w:r>
      <w:hyperlink r:id="rId140" w:history="1">
        <w:r>
          <w:rPr>
            <w:rStyle w:val="Hyperlink"/>
          </w:rPr>
          <w:t>[5]</w:t>
        </w:r>
      </w:hyperlink>
      <w:r>
        <w:t>.</w:t>
      </w:r>
    </w:p>
    <w:p w14:paraId="609FB360" w14:textId="77777777" w:rsidR="0068002C" w:rsidRDefault="00000000">
      <w:pPr>
        <w:spacing w:after="160"/>
      </w:pPr>
      <w:r>
        <w:t xml:space="preserve">The Commission conducted a market investigation, which included sending requests for information (RFIs) and conducting interviews with Shazam, competitors, and music labels to gather insights on market dynamics </w:t>
      </w:r>
      <w:hyperlink r:id="rId141" w:history="1">
        <w:r>
          <w:rPr>
            <w:rStyle w:val="Hyperlink"/>
          </w:rPr>
          <w:t>[5]</w:t>
        </w:r>
      </w:hyperlink>
      <w:r>
        <w:t>.</w:t>
      </w:r>
    </w:p>
    <w:p w14:paraId="69B1541F" w14:textId="77777777" w:rsidR="0068002C" w:rsidRDefault="00000000">
      <w:pPr>
        <w:spacing w:after="160"/>
      </w:pPr>
      <w:r>
        <w:t xml:space="preserve">The Commission concluded that the exact geographic scope of the relevant product markets could be left open, as the Concentration would not significantly impede effective competition under any plausible market definition </w:t>
      </w:r>
      <w:hyperlink r:id="rId142" w:history="1">
        <w:r>
          <w:rPr>
            <w:rStyle w:val="Hyperlink"/>
          </w:rPr>
          <w:t>[5]</w:t>
        </w:r>
      </w:hyperlink>
      <w:r>
        <w:t>.</w:t>
      </w:r>
    </w:p>
    <w:p w14:paraId="52F518D4" w14:textId="77777777" w:rsidR="0068002C" w:rsidRDefault="00000000">
      <w:pPr>
        <w:spacing w:after="160"/>
      </w:pPr>
      <w:r>
        <w:t xml:space="preserve">The Notifying Party indicated that the geographic market for licensing music data could be at least EEA-wide and possibly worldwide, but also stated that the exact definition could be left open </w:t>
      </w:r>
      <w:hyperlink r:id="rId143" w:history="1">
        <w:r>
          <w:rPr>
            <w:rStyle w:val="Hyperlink"/>
          </w:rPr>
          <w:t>[5]</w:t>
        </w:r>
      </w:hyperlink>
      <w:r>
        <w:t>.</w:t>
      </w:r>
    </w:p>
    <w:p w14:paraId="1FC6689D" w14:textId="77777777" w:rsidR="0068002C" w:rsidRDefault="00000000">
      <w:pPr>
        <w:spacing w:before="240" w:after="120"/>
      </w:pPr>
      <w:r>
        <w:rPr>
          <w:b/>
          <w:bCs/>
          <w:i/>
          <w:iCs/>
          <w:color w:val="1F4E5F"/>
        </w:rPr>
        <w:t>Theories of Harm</w:t>
      </w:r>
    </w:p>
    <w:p w14:paraId="19A82295" w14:textId="77777777" w:rsidR="0068002C" w:rsidRDefault="00000000">
      <w:pPr>
        <w:pStyle w:val="ListParagraph"/>
        <w:numPr>
          <w:ilvl w:val="0"/>
          <w:numId w:val="1"/>
        </w:numPr>
        <w:spacing w:after="120"/>
      </w:pPr>
      <w:r>
        <w:rPr>
          <w:b/>
          <w:bCs/>
        </w:rPr>
        <w:t xml:space="preserve">Anticompetitive Foreclosure Effects: </w:t>
      </w:r>
      <w:r>
        <w:t xml:space="preserve">This theory posits that the merged entity may have the ability and incentive to foreclose actual or potential competitors, thereby reducing competitive pressure and allowing for price increases. The Commission assesses this by examining whether the merged firm can effectively limit competitors' access to supplies or markets, and whether such actions would significantly harm competition and consumers. This theory is supported by the potential for Apple to gain access to commercially sensitive information about its rivals, which could enable it to engage in practices that disadvantage competitors </w:t>
      </w:r>
      <w:hyperlink r:id="rId144" w:history="1">
        <w:r>
          <w:rPr>
            <w:rStyle w:val="Hyperlink"/>
          </w:rPr>
          <w:t>[5]</w:t>
        </w:r>
      </w:hyperlink>
      <w:r>
        <w:t>.</w:t>
      </w:r>
    </w:p>
    <w:p w14:paraId="624375E9" w14:textId="77777777" w:rsidR="0068002C" w:rsidRDefault="00000000">
      <w:pPr>
        <w:pStyle w:val="ListParagraph"/>
        <w:numPr>
          <w:ilvl w:val="0"/>
          <w:numId w:val="1"/>
        </w:numPr>
        <w:spacing w:after="120"/>
      </w:pPr>
      <w:r>
        <w:rPr>
          <w:b/>
          <w:bCs/>
        </w:rPr>
        <w:t xml:space="preserve">Non-Coordinated Effects from Access to Sensitive Information: </w:t>
      </w:r>
      <w:r>
        <w:t xml:space="preserve">This theory suggests that through vertical integration, the merged entity could gain access to sensitive information about competitors' upstream or downstream activities. Such access could allow the merged entity to price less aggressively or undermine competitors' market positions. In this case, the Commission highlighted that Apple could potentially use data from Shazam to target advertising at rivals' customers, which could harm competition by disadvantaging those rivals </w:t>
      </w:r>
      <w:hyperlink r:id="rId145" w:history="1">
        <w:r>
          <w:rPr>
            <w:rStyle w:val="Hyperlink"/>
          </w:rPr>
          <w:t>[5]</w:t>
        </w:r>
      </w:hyperlink>
      <w:r>
        <w:t>.</w:t>
      </w:r>
    </w:p>
    <w:p w14:paraId="510F45EF" w14:textId="77777777" w:rsidR="0068002C" w:rsidRDefault="00000000">
      <w:pPr>
        <w:pStyle w:val="ListParagraph"/>
        <w:numPr>
          <w:ilvl w:val="0"/>
          <w:numId w:val="1"/>
        </w:numPr>
        <w:spacing w:after="120"/>
      </w:pPr>
      <w:r>
        <w:rPr>
          <w:b/>
          <w:bCs/>
        </w:rPr>
        <w:t xml:space="preserve">Impact on Digital Music Streaming Providers: </w:t>
      </w:r>
      <w:r>
        <w:t xml:space="preserve">This theory focuses on the specific competitive concerns arising from the merger's potential to foreclose competing digital music streaming apps. The Commission expressed doubts about the merger's compatibility with the internal market due to the risk of Apple using Shazam's data to gain an unfair advantage over competitors like Spotify. The reasoning includes the possibility that Apple could leverage customer information to enhance its marketing efforts, thereby undermining rivals' growth and competitive capabilities </w:t>
      </w:r>
      <w:hyperlink r:id="rId146" w:history="1">
        <w:r>
          <w:rPr>
            <w:rStyle w:val="Hyperlink"/>
          </w:rPr>
          <w:t>[5]</w:t>
        </w:r>
      </w:hyperlink>
      <w:r>
        <w:t>.</w:t>
      </w:r>
    </w:p>
    <w:p w14:paraId="51FAB6F1" w14:textId="77777777" w:rsidR="0068002C" w:rsidRDefault="00000000">
      <w:pPr>
        <w:spacing w:before="240" w:after="120"/>
      </w:pPr>
      <w:r>
        <w:rPr>
          <w:b/>
          <w:bCs/>
          <w:i/>
          <w:iCs/>
          <w:color w:val="1F4E5F"/>
        </w:rPr>
        <w:t>Legal &amp; Economic Tests</w:t>
      </w:r>
    </w:p>
    <w:p w14:paraId="1A492294" w14:textId="77777777" w:rsidR="0068002C" w:rsidRDefault="00000000">
      <w:pPr>
        <w:pStyle w:val="ListParagraph"/>
        <w:numPr>
          <w:ilvl w:val="0"/>
          <w:numId w:val="1"/>
        </w:numPr>
        <w:spacing w:after="120"/>
      </w:pPr>
      <w:r>
        <w:rPr>
          <w:b/>
          <w:bCs/>
        </w:rPr>
        <w:t xml:space="preserve">Jurisdiction and Compatibility Assessment: </w:t>
      </w:r>
      <w:r>
        <w:t xml:space="preserve">The Commission acquired jurisdiction to examine the effects of the concentration under the Merger Regulation. This involved a preliminary examination to determine whether the concentration raised serious doubts about its compatibility with the internal market and the EEA Agreement. The Commission initiated proceedings based on findings from a first phase market investigation, which indicated potential non-horizontal non-coordinated effects, such as the foreclosure of competitors in the automatic content recognition software and digital music streaming markets </w:t>
      </w:r>
      <w:hyperlink r:id="rId147" w:history="1">
        <w:r>
          <w:rPr>
            <w:rStyle w:val="Hyperlink"/>
          </w:rPr>
          <w:t>[5]</w:t>
        </w:r>
      </w:hyperlink>
      <w:r>
        <w:t>.</w:t>
      </w:r>
    </w:p>
    <w:p w14:paraId="02C0583E" w14:textId="77777777" w:rsidR="0068002C" w:rsidRDefault="00000000">
      <w:pPr>
        <w:pStyle w:val="ListParagraph"/>
        <w:numPr>
          <w:ilvl w:val="0"/>
          <w:numId w:val="1"/>
        </w:numPr>
        <w:spacing w:after="120"/>
      </w:pPr>
      <w:r>
        <w:rPr>
          <w:b/>
          <w:bCs/>
        </w:rPr>
        <w:t xml:space="preserve">Significant Impediment to Effective Competition Test: </w:t>
      </w:r>
      <w:r>
        <w:t xml:space="preserve">To assess whether the concentration would significantly impede effective competition, the Commission compared the competitive conditions resulting from the concentration with those that would have existed without it. This included considering reasonably predictable future market changes. The Commission's responsibility was to demonstrate the existence of a significant impediment to effective competition, as outlined in the Horizontal Merger Guidelines </w:t>
      </w:r>
      <w:hyperlink r:id="rId148" w:history="1">
        <w:r>
          <w:rPr>
            <w:rStyle w:val="Hyperlink"/>
          </w:rPr>
          <w:t>[5]</w:t>
        </w:r>
      </w:hyperlink>
      <w:r>
        <w:t>.</w:t>
      </w:r>
    </w:p>
    <w:p w14:paraId="2805F926" w14:textId="77777777" w:rsidR="0068002C" w:rsidRDefault="00000000">
      <w:pPr>
        <w:pStyle w:val="ListParagraph"/>
        <w:numPr>
          <w:ilvl w:val="0"/>
          <w:numId w:val="1"/>
        </w:numPr>
        <w:spacing w:after="120"/>
      </w:pPr>
      <w:r>
        <w:rPr>
          <w:b/>
          <w:bCs/>
        </w:rPr>
        <w:t xml:space="preserve">Market Investigation and Data Analysis: </w:t>
      </w:r>
      <w:r>
        <w:t xml:space="preserve">The Commission conducted a thorough investigation, which included sending requests for information to parties involved and conducting interviews with competitors and music labels. This process aimed to gather insights on market dynamics and the potential impact of the concentration on competition. The responses from market participants were crucial in evaluating whether the concentration would lead to anti-competitive effects, particularly regarding the overlap of activities between Apple and Shazam </w:t>
      </w:r>
      <w:hyperlink r:id="rId149" w:history="1">
        <w:r>
          <w:rPr>
            <w:rStyle w:val="Hyperlink"/>
          </w:rPr>
          <w:t>[5]</w:t>
        </w:r>
      </w:hyperlink>
      <w:r>
        <w:t>.</w:t>
      </w:r>
    </w:p>
    <w:p w14:paraId="0833EA3F" w14:textId="77777777" w:rsidR="0068002C" w:rsidRDefault="00000000">
      <w:pPr>
        <w:spacing w:before="240" w:after="120"/>
      </w:pPr>
      <w:r>
        <w:rPr>
          <w:b/>
          <w:bCs/>
          <w:i/>
          <w:iCs/>
          <w:color w:val="1F4E5F"/>
        </w:rPr>
        <w:t>Remedies</w:t>
      </w:r>
    </w:p>
    <w:p w14:paraId="4AAE2949" w14:textId="77777777" w:rsidR="0068002C" w:rsidRDefault="00000000">
      <w:pPr>
        <w:pStyle w:val="ListParagraph"/>
        <w:numPr>
          <w:ilvl w:val="0"/>
          <w:numId w:val="1"/>
        </w:numPr>
        <w:spacing w:after="120"/>
      </w:pPr>
      <w:r>
        <w:rPr>
          <w:b/>
          <w:bCs/>
        </w:rPr>
        <w:t xml:space="preserve">Access to Shazam's Referrals: </w:t>
      </w:r>
      <w:r>
        <w:t xml:space="preserve">One proposed remedy involves ensuring that Apple Music's rivals maintain access to Shazam's referrals as a customer acquisition channel. This is crucial because Shazam serves as a significant tool for user engagement and customer discovery in the digital music market. The reasoning behind this remedy is to prevent Apple from potentially foreclosing competitors by limiting their access to Shazam's user base, which could undermine competition in the digital music streaming sector. </w:t>
      </w:r>
      <w:hyperlink r:id="rId150" w:history="1">
        <w:r>
          <w:rPr>
            <w:rStyle w:val="Hyperlink"/>
          </w:rPr>
          <w:t>[5]</w:t>
        </w:r>
      </w:hyperlink>
    </w:p>
    <w:p w14:paraId="1672AA6B" w14:textId="77777777" w:rsidR="0068002C" w:rsidRDefault="00000000">
      <w:pPr>
        <w:pStyle w:val="ListParagraph"/>
        <w:numPr>
          <w:ilvl w:val="0"/>
          <w:numId w:val="1"/>
        </w:numPr>
        <w:spacing w:after="120"/>
      </w:pPr>
      <w:r>
        <w:rPr>
          <w:b/>
          <w:bCs/>
        </w:rPr>
        <w:t xml:space="preserve">Non-Degradation of Interoperability: </w:t>
      </w:r>
      <w:r>
        <w:t xml:space="preserve">Another remedy focuses on preventing Apple from degrading the interoperability of automatic content recognition (ACR) solutions provided by Shazam's competitors on iOS. This means that Apple must ensure that its integration of Shazam does not negatively impact the functionality of competing ACR applications. The rationale is to maintain a level playing field for all ACR providers, thereby fostering competition and innovation in the market. </w:t>
      </w:r>
      <w:hyperlink r:id="rId151" w:history="1">
        <w:r>
          <w:rPr>
            <w:rStyle w:val="Hyperlink"/>
          </w:rPr>
          <w:t>[5]</w:t>
        </w:r>
      </w:hyperlink>
    </w:p>
    <w:p w14:paraId="480076A1" w14:textId="77777777" w:rsidR="0068002C" w:rsidRDefault="00000000">
      <w:pPr>
        <w:pStyle w:val="ListParagraph"/>
        <w:numPr>
          <w:ilvl w:val="0"/>
          <w:numId w:val="1"/>
        </w:numPr>
        <w:spacing w:after="120"/>
      </w:pPr>
      <w:r>
        <w:rPr>
          <w:b/>
          <w:bCs/>
        </w:rPr>
        <w:t xml:space="preserve">Monitoring and Reporting Obligations: </w:t>
      </w:r>
      <w:r>
        <w:t xml:space="preserve">A third remedy may include monitoring and reporting obligations imposed on Apple regarding its practices post-acquisition. This would require Apple to regularly report on its compliance with the conditions set forth in the merger decision, ensuring that it does not engage in anti-competitive practices that could harm rivals. The reasoning for this remedy is to provide oversight and ensure that the merger does not lead to anti-competitive behavior that could adversely affect consumers and market dynamics. </w:t>
      </w:r>
      <w:hyperlink r:id="rId152" w:history="1">
        <w:r>
          <w:rPr>
            <w:rStyle w:val="Hyperlink"/>
          </w:rPr>
          <w:t>[5]</w:t>
        </w:r>
      </w:hyperlink>
    </w:p>
    <w:p w14:paraId="54D3DB53" w14:textId="77777777" w:rsidR="0068002C" w:rsidRDefault="00000000">
      <w:pPr>
        <w:spacing w:before="240" w:after="120"/>
      </w:pPr>
      <w:r>
        <w:rPr>
          <w:b/>
          <w:bCs/>
          <w:i/>
          <w:iCs/>
          <w:color w:val="1F4E5F"/>
        </w:rPr>
        <w:t>Conclusion</w:t>
      </w:r>
    </w:p>
    <w:p w14:paraId="5E91DB03" w14:textId="77777777" w:rsidR="0068002C" w:rsidRDefault="00000000">
      <w:pPr>
        <w:pStyle w:val="ListParagraph"/>
        <w:numPr>
          <w:ilvl w:val="0"/>
          <w:numId w:val="1"/>
        </w:numPr>
        <w:spacing w:after="120"/>
      </w:pPr>
      <w:r>
        <w:t xml:space="preserve">The Commission concluded that the concentration resulting from Apple's acquisition of Shazam raised serious doubts regarding its compatibility with the internal market and the EEA Agreement, primarily due to potential foreclosure effects on competitors in the automatic content recognition software and digital music streaming markets </w:t>
      </w:r>
      <w:hyperlink r:id="rId153" w:history="1">
        <w:r>
          <w:rPr>
            <w:rStyle w:val="Hyperlink"/>
          </w:rPr>
          <w:t>[5]</w:t>
        </w:r>
      </w:hyperlink>
      <w:r>
        <w:t>.</w:t>
      </w:r>
    </w:p>
    <w:p w14:paraId="1C8BF675" w14:textId="77777777" w:rsidR="0068002C" w:rsidRDefault="00000000">
      <w:pPr>
        <w:pStyle w:val="ListParagraph"/>
        <w:numPr>
          <w:ilvl w:val="0"/>
          <w:numId w:val="1"/>
        </w:numPr>
        <w:spacing w:after="120"/>
      </w:pPr>
      <w:r>
        <w:t xml:space="preserve">The investigation included extensive information requests and interviews with various stakeholders, including competitors and music labels, to assess the competitive landscape and the implications of the concentration </w:t>
      </w:r>
      <w:hyperlink r:id="rId154" w:history="1">
        <w:r>
          <w:rPr>
            <w:rStyle w:val="Hyperlink"/>
          </w:rPr>
          <w:t>[5]</w:t>
        </w:r>
      </w:hyperlink>
      <w:r>
        <w:t>.</w:t>
      </w:r>
    </w:p>
    <w:p w14:paraId="407A9D5A" w14:textId="77777777" w:rsidR="0068002C" w:rsidRDefault="00000000">
      <w:pPr>
        <w:pStyle w:val="ListParagraph"/>
        <w:numPr>
          <w:ilvl w:val="0"/>
          <w:numId w:val="1"/>
        </w:numPr>
        <w:spacing w:after="120"/>
      </w:pPr>
      <w:r>
        <w:t xml:space="preserve">The Advisory Committee issued a favorable opinion on the draft decision, indicating that the transaction should be declared compatible with the internal market and the EEA Agreement, suggesting that the Commission found no significant impediment to effective competition </w:t>
      </w:r>
      <w:hyperlink r:id="rId155" w:history="1">
        <w:r>
          <w:rPr>
            <w:rStyle w:val="Hyperlink"/>
          </w:rPr>
          <w:t>[5]</w:t>
        </w:r>
      </w:hyperlink>
      <w:r>
        <w:t>.</w:t>
      </w:r>
    </w:p>
    <w:p w14:paraId="3AF35E09" w14:textId="77777777" w:rsidR="0068002C" w:rsidRDefault="00000000">
      <w:pPr>
        <w:pStyle w:val="ListParagraph"/>
        <w:numPr>
          <w:ilvl w:val="0"/>
          <w:numId w:val="1"/>
        </w:numPr>
        <w:spacing w:after="120"/>
      </w:pPr>
      <w:r>
        <w:t xml:space="preserve">The Notifying Party argued that Shazam's data was not unique or commercially sensitive, asserting that other companies had more significant datasets that would not be negatively impacted by the concentration </w:t>
      </w:r>
      <w:hyperlink r:id="rId156" w:history="1">
        <w:r>
          <w:rPr>
            <w:rStyle w:val="Hyperlink"/>
          </w:rPr>
          <w:t>[5]</w:t>
        </w:r>
      </w:hyperlink>
      <w:r>
        <w:t>.</w:t>
      </w:r>
    </w:p>
    <w:p w14:paraId="256B5F08" w14:textId="77777777" w:rsidR="0068002C" w:rsidRDefault="00000000">
      <w:pPr>
        <w:pStyle w:val="ListParagraph"/>
        <w:numPr>
          <w:ilvl w:val="0"/>
          <w:numId w:val="1"/>
        </w:numPr>
        <w:spacing w:after="120"/>
      </w:pPr>
      <w:r>
        <w:t xml:space="preserve">The Commission assessed that even in a broader market encompassing both Shazam's and Apple's music charts data, the concentration would not significantly impede effective competition, as the data offered by both parties was considered complementary rather than competitive </w:t>
      </w:r>
      <w:hyperlink r:id="rId157" w:history="1">
        <w:r>
          <w:rPr>
            <w:rStyle w:val="Hyperlink"/>
          </w:rPr>
          <w:t>[5]</w:t>
        </w:r>
      </w:hyperlink>
      <w:r>
        <w:t>.</w:t>
      </w:r>
    </w:p>
    <w:p w14:paraId="23296EA1" w14:textId="77777777" w:rsidR="0068002C" w:rsidRDefault="00000000">
      <w:pPr>
        <w:pStyle w:val="ListParagraph"/>
        <w:numPr>
          <w:ilvl w:val="0"/>
          <w:numId w:val="1"/>
        </w:numPr>
        <w:spacing w:after="120"/>
      </w:pPr>
      <w:r>
        <w:t xml:space="preserve">No fines were imposed as part of the decision, and the focus was on evaluating the competitive effects rather than penalizing the parties involved </w:t>
      </w:r>
      <w:hyperlink r:id="rId158" w:history="1">
        <w:r>
          <w:rPr>
            <w:rStyle w:val="Hyperlink"/>
          </w:rPr>
          <w:t>[5]</w:t>
        </w:r>
      </w:hyperlink>
      <w:r>
        <w:t>.</w:t>
      </w:r>
    </w:p>
    <w:p w14:paraId="0785DD39" w14:textId="77777777" w:rsidR="0068002C" w:rsidRDefault="00000000">
      <w:pPr>
        <w:pStyle w:val="ListParagraph"/>
        <w:numPr>
          <w:ilvl w:val="0"/>
          <w:numId w:val="1"/>
        </w:numPr>
        <w:spacing w:after="120"/>
      </w:pPr>
      <w:r>
        <w:t xml:space="preserve">Ultimately, the Commission's decision was to allow the concentration, reflecting a conclusion that the merger would not significantly harm competition in the relevant markets </w:t>
      </w:r>
      <w:hyperlink r:id="rId159" w:history="1">
        <w:r>
          <w:rPr>
            <w:rStyle w:val="Hyperlink"/>
          </w:rPr>
          <w:t>[5]</w:t>
        </w:r>
      </w:hyperlink>
      <w:r>
        <w:t>.</w:t>
      </w:r>
    </w:p>
    <w:p w14:paraId="3584992B" w14:textId="77777777" w:rsidR="0068002C" w:rsidRDefault="00000000">
      <w:pPr>
        <w:spacing w:before="280" w:after="120"/>
      </w:pPr>
      <w:r>
        <w:rPr>
          <w:b/>
          <w:bCs/>
          <w:color w:val="1F4E5F"/>
        </w:rPr>
        <w:t>Cited Sources</w:t>
      </w:r>
    </w:p>
    <w:p w14:paraId="3AF4C8B5" w14:textId="77777777" w:rsidR="0068002C" w:rsidRDefault="00000000">
      <w:pPr>
        <w:pStyle w:val="ListParagraph"/>
        <w:numPr>
          <w:ilvl w:val="0"/>
          <w:numId w:val="2"/>
        </w:numPr>
        <w:spacing w:after="100"/>
      </w:pPr>
      <w:hyperlink r:id="rId160" w:history="1">
        <w:r>
          <w:rPr>
            <w:rStyle w:val="Hyperlink"/>
          </w:rPr>
          <w:t>Apple – App Store Practices (music streaming) (Case AT.40437)</w:t>
        </w:r>
      </w:hyperlink>
    </w:p>
    <w:p w14:paraId="5BC4A989" w14:textId="77777777" w:rsidR="0068002C" w:rsidRDefault="00000000">
      <w:pPr>
        <w:pStyle w:val="ListParagraph"/>
        <w:numPr>
          <w:ilvl w:val="0"/>
          <w:numId w:val="2"/>
        </w:numPr>
        <w:spacing w:after="100"/>
      </w:pPr>
      <w:hyperlink r:id="rId161" w:history="1">
        <w:r>
          <w:rPr>
            <w:rStyle w:val="Hyperlink"/>
          </w:rPr>
          <w:t>Apple Inc. and Apple Distribution International Limited - Case AT.40452</w:t>
        </w:r>
      </w:hyperlink>
    </w:p>
    <w:p w14:paraId="22A8C82F" w14:textId="77777777" w:rsidR="0068002C" w:rsidRDefault="00000000">
      <w:pPr>
        <w:pStyle w:val="ListParagraph"/>
        <w:numPr>
          <w:ilvl w:val="0"/>
          <w:numId w:val="2"/>
        </w:numPr>
        <w:spacing w:after="100"/>
      </w:pPr>
      <w:hyperlink r:id="rId162" w:history="1">
        <w:r>
          <w:rPr>
            <w:rStyle w:val="Hyperlink"/>
          </w:rPr>
          <w:t>Case AT.39985 Motorola v. Apple</w:t>
        </w:r>
      </w:hyperlink>
    </w:p>
    <w:p w14:paraId="40147DA1" w14:textId="77777777" w:rsidR="0068002C" w:rsidRDefault="00000000">
      <w:pPr>
        <w:pStyle w:val="ListParagraph"/>
        <w:numPr>
          <w:ilvl w:val="0"/>
          <w:numId w:val="2"/>
        </w:numPr>
        <w:spacing w:after="100"/>
      </w:pPr>
      <w:hyperlink r:id="rId163" w:history="1">
        <w:r>
          <w:rPr>
            <w:rStyle w:val="Hyperlink"/>
          </w:rPr>
          <w:t>Case AT.39939 - Samsung - Enforcement of UMTS standard essential patents</w:t>
        </w:r>
      </w:hyperlink>
    </w:p>
    <w:p w14:paraId="6D24590F" w14:textId="77777777" w:rsidR="0068002C" w:rsidRDefault="00000000">
      <w:pPr>
        <w:pStyle w:val="ListParagraph"/>
        <w:numPr>
          <w:ilvl w:val="0"/>
          <w:numId w:val="2"/>
        </w:numPr>
        <w:spacing w:after="100"/>
      </w:pPr>
      <w:hyperlink r:id="rId164" w:history="1">
        <w:r>
          <w:rPr>
            <w:rStyle w:val="Hyperlink"/>
          </w:rPr>
          <w:t>CASE M.8788 – APPLE / SHAZAM</w:t>
        </w:r>
      </w:hyperlink>
    </w:p>
    <w:sectPr w:rsidR="0068002C">
      <w:headerReference w:type="default" r:id="rId165"/>
      <w:footerReference w:type="default" r:id="rId166"/>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218A" w14:textId="77777777" w:rsidR="00080D36" w:rsidRDefault="00080D36">
      <w:r>
        <w:separator/>
      </w:r>
    </w:p>
  </w:endnote>
  <w:endnote w:type="continuationSeparator" w:id="0">
    <w:p w14:paraId="37BA3629" w14:textId="77777777" w:rsidR="00080D36" w:rsidRDefault="00080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5272" w14:textId="77777777" w:rsidR="0068002C"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BC5F21">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20B53" w14:textId="77777777" w:rsidR="00080D36" w:rsidRDefault="00080D36">
      <w:r>
        <w:separator/>
      </w:r>
    </w:p>
  </w:footnote>
  <w:footnote w:type="continuationSeparator" w:id="0">
    <w:p w14:paraId="71811756" w14:textId="77777777" w:rsidR="00080D36" w:rsidRDefault="00080D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14B3B" w14:textId="77777777" w:rsidR="0068002C"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12D64"/>
    <w:multiLevelType w:val="hybridMultilevel"/>
    <w:tmpl w:val="3DBA5DA6"/>
    <w:lvl w:ilvl="0" w:tplc="01AEBB0E">
      <w:start w:val="1"/>
      <w:numFmt w:val="bullet"/>
      <w:lvlText w:val="●"/>
      <w:lvlJc w:val="left"/>
      <w:pPr>
        <w:ind w:left="720" w:hanging="360"/>
      </w:pPr>
    </w:lvl>
    <w:lvl w:ilvl="1" w:tplc="7DD61D46">
      <w:start w:val="1"/>
      <w:numFmt w:val="bullet"/>
      <w:lvlText w:val="○"/>
      <w:lvlJc w:val="left"/>
      <w:pPr>
        <w:ind w:left="1440" w:hanging="360"/>
      </w:pPr>
    </w:lvl>
    <w:lvl w:ilvl="2" w:tplc="824E8668">
      <w:start w:val="1"/>
      <w:numFmt w:val="bullet"/>
      <w:lvlText w:val="■"/>
      <w:lvlJc w:val="left"/>
      <w:pPr>
        <w:ind w:left="2160" w:hanging="360"/>
      </w:pPr>
    </w:lvl>
    <w:lvl w:ilvl="3" w:tplc="C3204412">
      <w:start w:val="1"/>
      <w:numFmt w:val="bullet"/>
      <w:lvlText w:val="●"/>
      <w:lvlJc w:val="left"/>
      <w:pPr>
        <w:ind w:left="2880" w:hanging="360"/>
      </w:pPr>
    </w:lvl>
    <w:lvl w:ilvl="4" w:tplc="FBEACFC8">
      <w:start w:val="1"/>
      <w:numFmt w:val="bullet"/>
      <w:lvlText w:val="○"/>
      <w:lvlJc w:val="left"/>
      <w:pPr>
        <w:ind w:left="3600" w:hanging="360"/>
      </w:pPr>
    </w:lvl>
    <w:lvl w:ilvl="5" w:tplc="B4D030BE">
      <w:start w:val="1"/>
      <w:numFmt w:val="bullet"/>
      <w:lvlText w:val="■"/>
      <w:lvlJc w:val="left"/>
      <w:pPr>
        <w:ind w:left="4320" w:hanging="360"/>
      </w:pPr>
    </w:lvl>
    <w:lvl w:ilvl="6" w:tplc="50D214EE">
      <w:start w:val="1"/>
      <w:numFmt w:val="bullet"/>
      <w:lvlText w:val="●"/>
      <w:lvlJc w:val="left"/>
      <w:pPr>
        <w:ind w:left="5040" w:hanging="360"/>
      </w:pPr>
    </w:lvl>
    <w:lvl w:ilvl="7" w:tplc="6686B14C">
      <w:start w:val="1"/>
      <w:numFmt w:val="bullet"/>
      <w:lvlText w:val="●"/>
      <w:lvlJc w:val="left"/>
      <w:pPr>
        <w:ind w:left="5760" w:hanging="360"/>
      </w:pPr>
    </w:lvl>
    <w:lvl w:ilvl="8" w:tplc="36BC4644">
      <w:start w:val="1"/>
      <w:numFmt w:val="bullet"/>
      <w:lvlText w:val="●"/>
      <w:lvlJc w:val="left"/>
      <w:pPr>
        <w:ind w:left="6480" w:hanging="360"/>
      </w:pPr>
    </w:lvl>
  </w:abstractNum>
  <w:abstractNum w:abstractNumId="1" w15:restartNumberingAfterBreak="0">
    <w:nsid w:val="7FC15344"/>
    <w:multiLevelType w:val="hybridMultilevel"/>
    <w:tmpl w:val="39F6E85E"/>
    <w:lvl w:ilvl="0" w:tplc="FE90655E">
      <w:start w:val="1"/>
      <w:numFmt w:val="decimal"/>
      <w:lvlText w:val="[%1]"/>
      <w:lvlJc w:val="left"/>
      <w:pPr>
        <w:ind w:left="450" w:hanging="300"/>
      </w:pPr>
    </w:lvl>
    <w:lvl w:ilvl="1" w:tplc="2BE0A702">
      <w:numFmt w:val="decimal"/>
      <w:lvlText w:val=""/>
      <w:lvlJc w:val="left"/>
    </w:lvl>
    <w:lvl w:ilvl="2" w:tplc="61509ED4">
      <w:numFmt w:val="decimal"/>
      <w:lvlText w:val=""/>
      <w:lvlJc w:val="left"/>
    </w:lvl>
    <w:lvl w:ilvl="3" w:tplc="C14E8628">
      <w:numFmt w:val="decimal"/>
      <w:lvlText w:val=""/>
      <w:lvlJc w:val="left"/>
    </w:lvl>
    <w:lvl w:ilvl="4" w:tplc="2CE25A26">
      <w:numFmt w:val="decimal"/>
      <w:lvlText w:val=""/>
      <w:lvlJc w:val="left"/>
    </w:lvl>
    <w:lvl w:ilvl="5" w:tplc="C728D9B6">
      <w:numFmt w:val="decimal"/>
      <w:lvlText w:val=""/>
      <w:lvlJc w:val="left"/>
    </w:lvl>
    <w:lvl w:ilvl="6" w:tplc="941459DC">
      <w:numFmt w:val="decimal"/>
      <w:lvlText w:val=""/>
      <w:lvlJc w:val="left"/>
    </w:lvl>
    <w:lvl w:ilvl="7" w:tplc="9FC24126">
      <w:numFmt w:val="decimal"/>
      <w:lvlText w:val=""/>
      <w:lvlJc w:val="left"/>
    </w:lvl>
    <w:lvl w:ilvl="8" w:tplc="9D9AABD4">
      <w:numFmt w:val="decimal"/>
      <w:lvlText w:val=""/>
      <w:lvlJc w:val="left"/>
    </w:lvl>
  </w:abstractNum>
  <w:num w:numId="1" w16cid:durableId="1787121922">
    <w:abstractNumId w:val="0"/>
    <w:lvlOverride w:ilvl="0">
      <w:startOverride w:val="1"/>
    </w:lvlOverride>
  </w:num>
  <w:num w:numId="2" w16cid:durableId="180894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02C"/>
    <w:rsid w:val="00080D36"/>
    <w:rsid w:val="0068002C"/>
    <w:rsid w:val="00B43875"/>
    <w:rsid w:val="00BC5F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64F1D"/>
  <w15:docId w15:val="{5BF57A8C-DCAD-4BBA-82D6-B6B4687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ec.europa.eu/competition/antitrust/cases/dec_docs/39939/39939_1501_5.pdf" TargetMode="External"/><Relationship Id="rId21" Type="http://schemas.openxmlformats.org/officeDocument/2006/relationships/hyperlink" Target="https://ec.europa.eu/competition/antitrust/cases1/202419/AT_40437_10026012_3547_4.pdf" TargetMode="External"/><Relationship Id="rId42" Type="http://schemas.openxmlformats.org/officeDocument/2006/relationships/hyperlink" Target="https://ec.europa.eu/competition/antitrust/cases1/202441/AT_40452_10269725_10183_3.pdf" TargetMode="External"/><Relationship Id="rId63" Type="http://schemas.openxmlformats.org/officeDocument/2006/relationships/hyperlink" Target="https://ec.europa.eu/competition/antitrust/cases/dec_docs/39985/39985_928_16.pdf" TargetMode="External"/><Relationship Id="rId84" Type="http://schemas.openxmlformats.org/officeDocument/2006/relationships/hyperlink" Target="https://ec.europa.eu/competition/antitrust/cases/dec_docs/39985/39985_928_16.pdf" TargetMode="External"/><Relationship Id="rId138" Type="http://schemas.openxmlformats.org/officeDocument/2006/relationships/hyperlink" Target="https://ec.europa.eu/competition/mergers/cases/decisions/m8788_1279_3.pdf" TargetMode="External"/><Relationship Id="rId159" Type="http://schemas.openxmlformats.org/officeDocument/2006/relationships/hyperlink" Target="https://ec.europa.eu/competition/mergers/cases/decisions/m8788_1279_3.pdf" TargetMode="External"/><Relationship Id="rId107" Type="http://schemas.openxmlformats.org/officeDocument/2006/relationships/hyperlink" Target="https://ec.europa.eu/competition/antitrust/cases/dec_docs/39939/39939_1501_5.pdf" TargetMode="External"/><Relationship Id="rId11" Type="http://schemas.openxmlformats.org/officeDocument/2006/relationships/hyperlink" Target="https://ec.europa.eu/competition/antitrust/cases1/202419/AT_40437_10026012_3547_4.pdf" TargetMode="External"/><Relationship Id="rId32" Type="http://schemas.openxmlformats.org/officeDocument/2006/relationships/hyperlink" Target="https://ec.europa.eu/competition/antitrust/cases1/202419/AT_40437_10026012_3547_4.pdf" TargetMode="External"/><Relationship Id="rId53" Type="http://schemas.openxmlformats.org/officeDocument/2006/relationships/hyperlink" Target="https://ec.europa.eu/competition/antitrust/cases1/202441/AT_40452_10269725_10183_3.pdf" TargetMode="External"/><Relationship Id="rId74" Type="http://schemas.openxmlformats.org/officeDocument/2006/relationships/hyperlink" Target="https://ec.europa.eu/competition/antitrust/cases/dec_docs/39985/39985_928_16.pdf" TargetMode="External"/><Relationship Id="rId128" Type="http://schemas.openxmlformats.org/officeDocument/2006/relationships/hyperlink" Target="https://ec.europa.eu/competition/mergers/cases/decisions/m8788_1279_3.pdf" TargetMode="External"/><Relationship Id="rId149" Type="http://schemas.openxmlformats.org/officeDocument/2006/relationships/hyperlink" Target="https://ec.europa.eu/competition/mergers/cases/decisions/m8788_1279_3.pdf" TargetMode="External"/><Relationship Id="rId5" Type="http://schemas.openxmlformats.org/officeDocument/2006/relationships/footnotes" Target="footnotes.xml"/><Relationship Id="rId95" Type="http://schemas.openxmlformats.org/officeDocument/2006/relationships/hyperlink" Target="https://ec.europa.eu/competition/antitrust/cases/dec_docs/39939/39939_1501_5.pdf" TargetMode="External"/><Relationship Id="rId160" Type="http://schemas.openxmlformats.org/officeDocument/2006/relationships/hyperlink" Target="https://ec.europa.eu/competition/antitrust/cases1/202419/AT_40437_10026012_3547_4.pdf" TargetMode="External"/><Relationship Id="rId22" Type="http://schemas.openxmlformats.org/officeDocument/2006/relationships/hyperlink" Target="https://ec.europa.eu/competition/antitrust/cases1/202419/AT_40437_10026012_3547_4.pdf" TargetMode="External"/><Relationship Id="rId43" Type="http://schemas.openxmlformats.org/officeDocument/2006/relationships/hyperlink" Target="https://ec.europa.eu/competition/antitrust/cases1/202441/AT_40452_10269725_10183_3.pdf" TargetMode="External"/><Relationship Id="rId64" Type="http://schemas.openxmlformats.org/officeDocument/2006/relationships/hyperlink" Target="https://ec.europa.eu/competition/antitrust/cases/dec_docs/39985/39985_928_16.pdf" TargetMode="External"/><Relationship Id="rId118" Type="http://schemas.openxmlformats.org/officeDocument/2006/relationships/hyperlink" Target="https://ec.europa.eu/competition/antitrust/cases/dec_docs/39939/39939_1501_5.pdf" TargetMode="External"/><Relationship Id="rId139" Type="http://schemas.openxmlformats.org/officeDocument/2006/relationships/hyperlink" Target="https://ec.europa.eu/competition/mergers/cases/decisions/m8788_1279_3.pdf" TargetMode="External"/><Relationship Id="rId85" Type="http://schemas.openxmlformats.org/officeDocument/2006/relationships/hyperlink" Target="https://ec.europa.eu/competition/antitrust/cases/dec_docs/39985/39985_928_16.pdf" TargetMode="External"/><Relationship Id="rId150" Type="http://schemas.openxmlformats.org/officeDocument/2006/relationships/hyperlink" Target="https://ec.europa.eu/competition/mergers/cases/decisions/m8788_1279_3.pdf" TargetMode="External"/><Relationship Id="rId12" Type="http://schemas.openxmlformats.org/officeDocument/2006/relationships/hyperlink" Target="https://ec.europa.eu/competition/antitrust/cases1/202419/AT_40437_10026012_3547_4.pdf" TargetMode="External"/><Relationship Id="rId17" Type="http://schemas.openxmlformats.org/officeDocument/2006/relationships/hyperlink" Target="https://ec.europa.eu/competition/antitrust/cases1/202419/AT_40437_10026012_3547_4.pdf" TargetMode="External"/><Relationship Id="rId33" Type="http://schemas.openxmlformats.org/officeDocument/2006/relationships/hyperlink" Target="https://ec.europa.eu/competition/antitrust/cases1/202419/AT_40437_10026012_3547_4.pdf" TargetMode="External"/><Relationship Id="rId38" Type="http://schemas.openxmlformats.org/officeDocument/2006/relationships/hyperlink" Target="https://ec.europa.eu/competition/antitrust/cases1/202441/AT_40452_10269725_10183_3.pdf" TargetMode="External"/><Relationship Id="rId59" Type="http://schemas.openxmlformats.org/officeDocument/2006/relationships/hyperlink" Target="https://ec.europa.eu/competition/antitrust/cases1/202441/AT_40452_10269725_10183_3.pdf" TargetMode="External"/><Relationship Id="rId103" Type="http://schemas.openxmlformats.org/officeDocument/2006/relationships/hyperlink" Target="https://ec.europa.eu/competition/antitrust/cases/dec_docs/39939/39939_1501_5.pdf" TargetMode="External"/><Relationship Id="rId108" Type="http://schemas.openxmlformats.org/officeDocument/2006/relationships/hyperlink" Target="https://ec.europa.eu/competition/antitrust/cases/dec_docs/39939/39939_1501_5.pdf" TargetMode="External"/><Relationship Id="rId124" Type="http://schemas.openxmlformats.org/officeDocument/2006/relationships/hyperlink" Target="https://ec.europa.eu/competition/antitrust/cases/dec_docs/39939/39939_1501_5.pdf" TargetMode="External"/><Relationship Id="rId129" Type="http://schemas.openxmlformats.org/officeDocument/2006/relationships/hyperlink" Target="https://ec.europa.eu/competition/mergers/cases/decisions/m8788_1279_3.pdf" TargetMode="External"/><Relationship Id="rId54" Type="http://schemas.openxmlformats.org/officeDocument/2006/relationships/hyperlink" Target="https://ec.europa.eu/competition/antitrust/cases1/202441/AT_40452_10269725_10183_3.pdf" TargetMode="External"/><Relationship Id="rId70" Type="http://schemas.openxmlformats.org/officeDocument/2006/relationships/hyperlink" Target="https://ec.europa.eu/competition/antitrust/cases/dec_docs/39985/39985_928_16.pdf" TargetMode="External"/><Relationship Id="rId75" Type="http://schemas.openxmlformats.org/officeDocument/2006/relationships/hyperlink" Target="https://ec.europa.eu/competition/antitrust/cases/dec_docs/39985/39985_928_16.pdf" TargetMode="External"/><Relationship Id="rId91" Type="http://schemas.openxmlformats.org/officeDocument/2006/relationships/hyperlink" Target="https://ec.europa.eu/competition/antitrust/cases/dec_docs/39985/39985_928_16.pdf" TargetMode="External"/><Relationship Id="rId96" Type="http://schemas.openxmlformats.org/officeDocument/2006/relationships/hyperlink" Target="https://ec.europa.eu/competition/antitrust/cases/dec_docs/39939/39939_1501_5.pdf" TargetMode="External"/><Relationship Id="rId140" Type="http://schemas.openxmlformats.org/officeDocument/2006/relationships/hyperlink" Target="https://ec.europa.eu/competition/mergers/cases/decisions/m8788_1279_3.pdf" TargetMode="External"/><Relationship Id="rId145" Type="http://schemas.openxmlformats.org/officeDocument/2006/relationships/hyperlink" Target="https://ec.europa.eu/competition/mergers/cases/decisions/m8788_1279_3.pdf" TargetMode="External"/><Relationship Id="rId161" Type="http://schemas.openxmlformats.org/officeDocument/2006/relationships/hyperlink" Target="https://ec.europa.eu/competition/antitrust/cases1/202441/AT_40452_10269725_10183_3.pdf" TargetMode="External"/><Relationship Id="rId16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c.europa.eu/competition/antitrust/cases1/202419/AT_40437_10026012_3547_4.pdf" TargetMode="External"/><Relationship Id="rId28" Type="http://schemas.openxmlformats.org/officeDocument/2006/relationships/hyperlink" Target="https://ec.europa.eu/competition/antitrust/cases1/202419/AT_40437_10026012_3547_4.pdf" TargetMode="External"/><Relationship Id="rId49" Type="http://schemas.openxmlformats.org/officeDocument/2006/relationships/hyperlink" Target="https://ec.europa.eu/competition/antitrust/cases1/202441/AT_40452_10269725_10183_3.pdf" TargetMode="External"/><Relationship Id="rId114" Type="http://schemas.openxmlformats.org/officeDocument/2006/relationships/hyperlink" Target="https://ec.europa.eu/competition/antitrust/cases/dec_docs/39939/39939_1501_5.pdf" TargetMode="External"/><Relationship Id="rId119" Type="http://schemas.openxmlformats.org/officeDocument/2006/relationships/hyperlink" Target="https://ec.europa.eu/competition/antitrust/cases/dec_docs/39939/39939_1501_5.pdf" TargetMode="External"/><Relationship Id="rId44" Type="http://schemas.openxmlformats.org/officeDocument/2006/relationships/hyperlink" Target="https://ec.europa.eu/competition/antitrust/cases1/202441/AT_40452_10269725_10183_3.pdf" TargetMode="External"/><Relationship Id="rId60" Type="http://schemas.openxmlformats.org/officeDocument/2006/relationships/hyperlink" Target="https://ec.europa.eu/competition/antitrust/cases1/202441/AT_40452_10269725_10183_3.pdf" TargetMode="External"/><Relationship Id="rId65" Type="http://schemas.openxmlformats.org/officeDocument/2006/relationships/hyperlink" Target="https://ec.europa.eu/competition/antitrust/cases/dec_docs/39985/39985_928_16.pdf" TargetMode="External"/><Relationship Id="rId81" Type="http://schemas.openxmlformats.org/officeDocument/2006/relationships/hyperlink" Target="https://ec.europa.eu/competition/antitrust/cases/dec_docs/39985/39985_928_16.pdf" TargetMode="External"/><Relationship Id="rId86" Type="http://schemas.openxmlformats.org/officeDocument/2006/relationships/hyperlink" Target="https://ec.europa.eu/competition/antitrust/cases/dec_docs/39985/39985_928_16.pdf" TargetMode="External"/><Relationship Id="rId130" Type="http://schemas.openxmlformats.org/officeDocument/2006/relationships/hyperlink" Target="https://ec.europa.eu/competition/mergers/cases/decisions/m8788_1279_3.pdf" TargetMode="External"/><Relationship Id="rId135" Type="http://schemas.openxmlformats.org/officeDocument/2006/relationships/hyperlink" Target="https://ec.europa.eu/competition/mergers/cases/decisions/m8788_1279_3.pdf" TargetMode="External"/><Relationship Id="rId151" Type="http://schemas.openxmlformats.org/officeDocument/2006/relationships/hyperlink" Target="https://ec.europa.eu/competition/mergers/cases/decisions/m8788_1279_3.pdf" TargetMode="External"/><Relationship Id="rId156" Type="http://schemas.openxmlformats.org/officeDocument/2006/relationships/hyperlink" Target="https://ec.europa.eu/competition/mergers/cases/decisions/m8788_1279_3.pdf" TargetMode="External"/><Relationship Id="rId13" Type="http://schemas.openxmlformats.org/officeDocument/2006/relationships/hyperlink" Target="https://ec.europa.eu/competition/antitrust/cases1/202419/AT_40437_10026012_3547_4.pdf" TargetMode="External"/><Relationship Id="rId18" Type="http://schemas.openxmlformats.org/officeDocument/2006/relationships/hyperlink" Target="https://ec.europa.eu/competition/antitrust/cases1/202419/AT_40437_10026012_3547_4.pdf" TargetMode="External"/><Relationship Id="rId39" Type="http://schemas.openxmlformats.org/officeDocument/2006/relationships/hyperlink" Target="https://ec.europa.eu/competition/antitrust/cases1/202441/AT_40452_10269725_10183_3.pdf" TargetMode="External"/><Relationship Id="rId109" Type="http://schemas.openxmlformats.org/officeDocument/2006/relationships/hyperlink" Target="https://ec.europa.eu/competition/antitrust/cases/dec_docs/39939/39939_1501_5.pdf" TargetMode="External"/><Relationship Id="rId34" Type="http://schemas.openxmlformats.org/officeDocument/2006/relationships/hyperlink" Target="https://ec.europa.eu/competition/antitrust/cases1/202419/AT_40437_10026012_3547_4.pdf" TargetMode="External"/><Relationship Id="rId50" Type="http://schemas.openxmlformats.org/officeDocument/2006/relationships/hyperlink" Target="https://ec.europa.eu/competition/antitrust/cases1/202441/AT_40452_10269725_10183_3.pdf" TargetMode="External"/><Relationship Id="rId55" Type="http://schemas.openxmlformats.org/officeDocument/2006/relationships/hyperlink" Target="https://ec.europa.eu/competition/antitrust/cases1/202441/AT_40452_10269725_10183_3.pdf" TargetMode="External"/><Relationship Id="rId76" Type="http://schemas.openxmlformats.org/officeDocument/2006/relationships/hyperlink" Target="https://ec.europa.eu/competition/antitrust/cases/dec_docs/39985/39985_928_16.pdf" TargetMode="External"/><Relationship Id="rId97" Type="http://schemas.openxmlformats.org/officeDocument/2006/relationships/hyperlink" Target="https://ec.europa.eu/competition/antitrust/cases/dec_docs/39939/39939_1501_5.pdf" TargetMode="External"/><Relationship Id="rId104" Type="http://schemas.openxmlformats.org/officeDocument/2006/relationships/hyperlink" Target="https://ec.europa.eu/competition/antitrust/cases/dec_docs/39939/39939_1501_5.pdf" TargetMode="External"/><Relationship Id="rId120" Type="http://schemas.openxmlformats.org/officeDocument/2006/relationships/hyperlink" Target="https://ec.europa.eu/competition/antitrust/cases/dec_docs/39939/39939_1501_5.pdf" TargetMode="External"/><Relationship Id="rId125" Type="http://schemas.openxmlformats.org/officeDocument/2006/relationships/hyperlink" Target="https://ec.europa.eu/competition/antitrust/cases/dec_docs/39939/39939_1501_5.pdf" TargetMode="External"/><Relationship Id="rId141" Type="http://schemas.openxmlformats.org/officeDocument/2006/relationships/hyperlink" Target="https://ec.europa.eu/competition/mergers/cases/decisions/m8788_1279_3.pdf" TargetMode="External"/><Relationship Id="rId146" Type="http://schemas.openxmlformats.org/officeDocument/2006/relationships/hyperlink" Target="https://ec.europa.eu/competition/mergers/cases/decisions/m8788_1279_3.pdf" TargetMode="External"/><Relationship Id="rId167" Type="http://schemas.openxmlformats.org/officeDocument/2006/relationships/fontTable" Target="fontTable.xml"/><Relationship Id="rId7" Type="http://schemas.openxmlformats.org/officeDocument/2006/relationships/hyperlink" Target="https://ec.europa.eu/competition/antitrust/cases1/202419/AT_40437_10026012_3547_4.pdf" TargetMode="External"/><Relationship Id="rId71" Type="http://schemas.openxmlformats.org/officeDocument/2006/relationships/hyperlink" Target="https://ec.europa.eu/competition/antitrust/cases/dec_docs/39985/39985_928_16.pdf" TargetMode="External"/><Relationship Id="rId92" Type="http://schemas.openxmlformats.org/officeDocument/2006/relationships/hyperlink" Target="https://ec.europa.eu/competition/antitrust/cases/dec_docs/39985/39985_928_16.pdf" TargetMode="External"/><Relationship Id="rId162" Type="http://schemas.openxmlformats.org/officeDocument/2006/relationships/hyperlink" Target="https://ec.europa.eu/competition/antitrust/cases/dec_docs/39985/39985_928_16.pdf" TargetMode="External"/><Relationship Id="rId2" Type="http://schemas.openxmlformats.org/officeDocument/2006/relationships/styles" Target="styles.xml"/><Relationship Id="rId29" Type="http://schemas.openxmlformats.org/officeDocument/2006/relationships/hyperlink" Target="https://ec.europa.eu/competition/antitrust/cases1/202419/AT_40437_10026012_3547_4.pdf" TargetMode="External"/><Relationship Id="rId24" Type="http://schemas.openxmlformats.org/officeDocument/2006/relationships/hyperlink" Target="https://ec.europa.eu/competition/antitrust/cases1/202419/AT_40437_10026012_3547_4.pdf" TargetMode="External"/><Relationship Id="rId40" Type="http://schemas.openxmlformats.org/officeDocument/2006/relationships/hyperlink" Target="https://ec.europa.eu/competition/antitrust/cases1/202441/AT_40452_10269725_10183_3.pdf" TargetMode="External"/><Relationship Id="rId45" Type="http://schemas.openxmlformats.org/officeDocument/2006/relationships/hyperlink" Target="https://ec.europa.eu/competition/antitrust/cases1/202441/AT_40452_10269725_10183_3.pdf" TargetMode="External"/><Relationship Id="rId66" Type="http://schemas.openxmlformats.org/officeDocument/2006/relationships/hyperlink" Target="https://ec.europa.eu/competition/antitrust/cases/dec_docs/39985/39985_928_16.pdf" TargetMode="External"/><Relationship Id="rId87" Type="http://schemas.openxmlformats.org/officeDocument/2006/relationships/hyperlink" Target="https://ec.europa.eu/competition/antitrust/cases/dec_docs/39985/39985_928_16.pdf" TargetMode="External"/><Relationship Id="rId110" Type="http://schemas.openxmlformats.org/officeDocument/2006/relationships/hyperlink" Target="https://ec.europa.eu/competition/antitrust/cases/dec_docs/39939/39939_1501_5.pdf" TargetMode="External"/><Relationship Id="rId115" Type="http://schemas.openxmlformats.org/officeDocument/2006/relationships/hyperlink" Target="https://ec.europa.eu/competition/antitrust/cases/dec_docs/39939/39939_1501_5.pdf" TargetMode="External"/><Relationship Id="rId131" Type="http://schemas.openxmlformats.org/officeDocument/2006/relationships/hyperlink" Target="https://ec.europa.eu/competition/mergers/cases/decisions/m8788_1279_3.pdf" TargetMode="External"/><Relationship Id="rId136" Type="http://schemas.openxmlformats.org/officeDocument/2006/relationships/hyperlink" Target="https://ec.europa.eu/competition/mergers/cases/decisions/m8788_1279_3.pdf" TargetMode="External"/><Relationship Id="rId157" Type="http://schemas.openxmlformats.org/officeDocument/2006/relationships/hyperlink" Target="https://ec.europa.eu/competition/mergers/cases/decisions/m8788_1279_3.pdf" TargetMode="External"/><Relationship Id="rId61" Type="http://schemas.openxmlformats.org/officeDocument/2006/relationships/hyperlink" Target="https://ec.europa.eu/competition/antitrust/cases1/202441/AT_40452_10269725_10183_3.pdf" TargetMode="External"/><Relationship Id="rId82" Type="http://schemas.openxmlformats.org/officeDocument/2006/relationships/hyperlink" Target="https://ec.europa.eu/competition/antitrust/cases/dec_docs/39985/39985_928_16.pdf" TargetMode="External"/><Relationship Id="rId152" Type="http://schemas.openxmlformats.org/officeDocument/2006/relationships/hyperlink" Target="https://ec.europa.eu/competition/mergers/cases/decisions/m8788_1279_3.pdf" TargetMode="External"/><Relationship Id="rId19" Type="http://schemas.openxmlformats.org/officeDocument/2006/relationships/hyperlink" Target="https://ec.europa.eu/competition/antitrust/cases1/202419/AT_40437_10026012_3547_4.pdf" TargetMode="External"/><Relationship Id="rId14" Type="http://schemas.openxmlformats.org/officeDocument/2006/relationships/hyperlink" Target="https://ec.europa.eu/competition/antitrust/cases1/202419/AT_40437_10026012_3547_4.pdf" TargetMode="External"/><Relationship Id="rId30" Type="http://schemas.openxmlformats.org/officeDocument/2006/relationships/hyperlink" Target="https://ec.europa.eu/competition/antitrust/cases1/202419/AT_40437_10026012_3547_4.pdf" TargetMode="External"/><Relationship Id="rId35" Type="http://schemas.openxmlformats.org/officeDocument/2006/relationships/hyperlink" Target="https://ec.europa.eu/competition/antitrust/cases1/202419/AT_40437_10026012_3547_4.pdf" TargetMode="External"/><Relationship Id="rId56" Type="http://schemas.openxmlformats.org/officeDocument/2006/relationships/hyperlink" Target="https://ec.europa.eu/competition/antitrust/cases1/202441/AT_40452_10269725_10183_3.pdf" TargetMode="External"/><Relationship Id="rId77" Type="http://schemas.openxmlformats.org/officeDocument/2006/relationships/hyperlink" Target="https://ec.europa.eu/competition/antitrust/cases/dec_docs/39985/39985_928_16.pdf" TargetMode="External"/><Relationship Id="rId100" Type="http://schemas.openxmlformats.org/officeDocument/2006/relationships/hyperlink" Target="https://ec.europa.eu/competition/antitrust/cases/dec_docs/39939/39939_1501_5.pdf" TargetMode="External"/><Relationship Id="rId105" Type="http://schemas.openxmlformats.org/officeDocument/2006/relationships/hyperlink" Target="https://ec.europa.eu/competition/antitrust/cases/dec_docs/39939/39939_1501_5.pdf" TargetMode="External"/><Relationship Id="rId126" Type="http://schemas.openxmlformats.org/officeDocument/2006/relationships/hyperlink" Target="https://ec.europa.eu/competition/antitrust/cases/dec_docs/39939/39939_1501_5.pdf" TargetMode="External"/><Relationship Id="rId147" Type="http://schemas.openxmlformats.org/officeDocument/2006/relationships/hyperlink" Target="https://ec.europa.eu/competition/mergers/cases/decisions/m8788_1279_3.pdf" TargetMode="External"/><Relationship Id="rId168" Type="http://schemas.openxmlformats.org/officeDocument/2006/relationships/theme" Target="theme/theme1.xml"/><Relationship Id="rId8" Type="http://schemas.openxmlformats.org/officeDocument/2006/relationships/hyperlink" Target="https://ec.europa.eu/competition/antitrust/cases1/202419/AT_40437_10026012_3547_4.pdf" TargetMode="External"/><Relationship Id="rId51" Type="http://schemas.openxmlformats.org/officeDocument/2006/relationships/hyperlink" Target="https://ec.europa.eu/competition/antitrust/cases1/202441/AT_40452_10269725_10183_3.pdf" TargetMode="External"/><Relationship Id="rId72" Type="http://schemas.openxmlformats.org/officeDocument/2006/relationships/hyperlink" Target="https://ec.europa.eu/competition/antitrust/cases/dec_docs/39985/39985_928_16.pdf" TargetMode="External"/><Relationship Id="rId93" Type="http://schemas.openxmlformats.org/officeDocument/2006/relationships/hyperlink" Target="https://ec.europa.eu/competition/antitrust/cases/dec_docs/39985/39985_928_16.pdf" TargetMode="External"/><Relationship Id="rId98" Type="http://schemas.openxmlformats.org/officeDocument/2006/relationships/hyperlink" Target="https://ec.europa.eu/competition/antitrust/cases/dec_docs/39939/39939_1501_5.pdf" TargetMode="External"/><Relationship Id="rId121" Type="http://schemas.openxmlformats.org/officeDocument/2006/relationships/hyperlink" Target="https://ec.europa.eu/competition/antitrust/cases/dec_docs/39939/39939_1501_5.pdf" TargetMode="External"/><Relationship Id="rId142" Type="http://schemas.openxmlformats.org/officeDocument/2006/relationships/hyperlink" Target="https://ec.europa.eu/competition/mergers/cases/decisions/m8788_1279_3.pdf" TargetMode="External"/><Relationship Id="rId163" Type="http://schemas.openxmlformats.org/officeDocument/2006/relationships/hyperlink" Target="https://ec.europa.eu/competition/antitrust/cases/dec_docs/39939/39939_1501_5.pdf" TargetMode="External"/><Relationship Id="rId3" Type="http://schemas.openxmlformats.org/officeDocument/2006/relationships/settings" Target="settings.xml"/><Relationship Id="rId25" Type="http://schemas.openxmlformats.org/officeDocument/2006/relationships/hyperlink" Target="https://ec.europa.eu/competition/antitrust/cases1/202419/AT_40437_10026012_3547_4.pdf" TargetMode="External"/><Relationship Id="rId46" Type="http://schemas.openxmlformats.org/officeDocument/2006/relationships/hyperlink" Target="https://ec.europa.eu/competition/antitrust/cases1/202441/AT_40452_10269725_10183_3.pdf" TargetMode="External"/><Relationship Id="rId67" Type="http://schemas.openxmlformats.org/officeDocument/2006/relationships/hyperlink" Target="https://ec.europa.eu/competition/antitrust/cases/dec_docs/39985/39985_928_16.pdf" TargetMode="External"/><Relationship Id="rId116" Type="http://schemas.openxmlformats.org/officeDocument/2006/relationships/hyperlink" Target="https://ec.europa.eu/competition/antitrust/cases/dec_docs/39939/39939_1501_5.pdf" TargetMode="External"/><Relationship Id="rId137" Type="http://schemas.openxmlformats.org/officeDocument/2006/relationships/hyperlink" Target="https://ec.europa.eu/competition/mergers/cases/decisions/m8788_1279_3.pdf" TargetMode="External"/><Relationship Id="rId158" Type="http://schemas.openxmlformats.org/officeDocument/2006/relationships/hyperlink" Target="https://ec.europa.eu/competition/mergers/cases/decisions/m8788_1279_3.pdf" TargetMode="External"/><Relationship Id="rId20" Type="http://schemas.openxmlformats.org/officeDocument/2006/relationships/hyperlink" Target="https://ec.europa.eu/competition/antitrust/cases1/202419/AT_40437_10026012_3547_4.pdf" TargetMode="External"/><Relationship Id="rId41" Type="http://schemas.openxmlformats.org/officeDocument/2006/relationships/hyperlink" Target="https://ec.europa.eu/competition/antitrust/cases1/202441/AT_40452_10269725_10183_3.pdf" TargetMode="External"/><Relationship Id="rId62" Type="http://schemas.openxmlformats.org/officeDocument/2006/relationships/hyperlink" Target="https://ec.europa.eu/competition/antitrust/cases1/202441/AT_40452_10269725_10183_3.pdf" TargetMode="External"/><Relationship Id="rId83" Type="http://schemas.openxmlformats.org/officeDocument/2006/relationships/hyperlink" Target="https://ec.europa.eu/competition/antitrust/cases/dec_docs/39985/39985_928_16.pdf" TargetMode="External"/><Relationship Id="rId88" Type="http://schemas.openxmlformats.org/officeDocument/2006/relationships/hyperlink" Target="https://ec.europa.eu/competition/antitrust/cases/dec_docs/39985/39985_928_16.pdf" TargetMode="External"/><Relationship Id="rId111" Type="http://schemas.openxmlformats.org/officeDocument/2006/relationships/hyperlink" Target="https://ec.europa.eu/competition/antitrust/cases/dec_docs/39939/39939_1501_5.pdf" TargetMode="External"/><Relationship Id="rId132" Type="http://schemas.openxmlformats.org/officeDocument/2006/relationships/hyperlink" Target="https://ec.europa.eu/competition/mergers/cases/decisions/m8788_1279_3.pdf" TargetMode="External"/><Relationship Id="rId153" Type="http://schemas.openxmlformats.org/officeDocument/2006/relationships/hyperlink" Target="https://ec.europa.eu/competition/mergers/cases/decisions/m8788_1279_3.pdf" TargetMode="External"/><Relationship Id="rId15" Type="http://schemas.openxmlformats.org/officeDocument/2006/relationships/hyperlink" Target="https://ec.europa.eu/competition/antitrust/cases1/202419/AT_40437_10026012_3547_4.pdf" TargetMode="External"/><Relationship Id="rId36" Type="http://schemas.openxmlformats.org/officeDocument/2006/relationships/hyperlink" Target="https://ec.europa.eu/competition/antitrust/cases1/202419/AT_40437_10026012_3547_4.pdf" TargetMode="External"/><Relationship Id="rId57" Type="http://schemas.openxmlformats.org/officeDocument/2006/relationships/hyperlink" Target="https://ec.europa.eu/competition/antitrust/cases1/202441/AT_40452_10269725_10183_3.pdf" TargetMode="External"/><Relationship Id="rId106" Type="http://schemas.openxmlformats.org/officeDocument/2006/relationships/hyperlink" Target="https://ec.europa.eu/competition/antitrust/cases/dec_docs/39939/39939_1501_5.pdf" TargetMode="External"/><Relationship Id="rId127" Type="http://schemas.openxmlformats.org/officeDocument/2006/relationships/hyperlink" Target="https://ec.europa.eu/competition/antitrust/cases/dec_docs/39939/39939_1501_5.pdf" TargetMode="External"/><Relationship Id="rId10" Type="http://schemas.openxmlformats.org/officeDocument/2006/relationships/hyperlink" Target="https://ec.europa.eu/competition/antitrust/cases1/202419/AT_40437_10026012_3547_4.pdf" TargetMode="External"/><Relationship Id="rId31" Type="http://schemas.openxmlformats.org/officeDocument/2006/relationships/hyperlink" Target="https://ec.europa.eu/competition/antitrust/cases1/202419/AT_40437_10026012_3547_4.pdf" TargetMode="External"/><Relationship Id="rId52" Type="http://schemas.openxmlformats.org/officeDocument/2006/relationships/hyperlink" Target="https://ec.europa.eu/competition/antitrust/cases1/202441/AT_40452_10269725_10183_3.pdf" TargetMode="External"/><Relationship Id="rId73" Type="http://schemas.openxmlformats.org/officeDocument/2006/relationships/hyperlink" Target="https://ec.europa.eu/competition/antitrust/cases/dec_docs/39985/39985_928_16.pdf" TargetMode="External"/><Relationship Id="rId78" Type="http://schemas.openxmlformats.org/officeDocument/2006/relationships/hyperlink" Target="https://ec.europa.eu/competition/antitrust/cases/dec_docs/39985/39985_928_16.pdf" TargetMode="External"/><Relationship Id="rId94" Type="http://schemas.openxmlformats.org/officeDocument/2006/relationships/hyperlink" Target="https://ec.europa.eu/competition/antitrust/cases/dec_docs/39939/39939_1501_5.pdf" TargetMode="External"/><Relationship Id="rId99" Type="http://schemas.openxmlformats.org/officeDocument/2006/relationships/hyperlink" Target="https://ec.europa.eu/competition/antitrust/cases/dec_docs/39939/39939_1501_5.pdf" TargetMode="External"/><Relationship Id="rId101" Type="http://schemas.openxmlformats.org/officeDocument/2006/relationships/hyperlink" Target="https://ec.europa.eu/competition/antitrust/cases/dec_docs/39939/39939_1501_5.pdf" TargetMode="External"/><Relationship Id="rId122" Type="http://schemas.openxmlformats.org/officeDocument/2006/relationships/hyperlink" Target="https://ec.europa.eu/competition/antitrust/cases/dec_docs/39939/39939_1501_5.pdf" TargetMode="External"/><Relationship Id="rId143" Type="http://schemas.openxmlformats.org/officeDocument/2006/relationships/hyperlink" Target="https://ec.europa.eu/competition/mergers/cases/decisions/m8788_1279_3.pdf" TargetMode="External"/><Relationship Id="rId148" Type="http://schemas.openxmlformats.org/officeDocument/2006/relationships/hyperlink" Target="https://ec.europa.eu/competition/mergers/cases/decisions/m8788_1279_3.pdf" TargetMode="External"/><Relationship Id="rId164" Type="http://schemas.openxmlformats.org/officeDocument/2006/relationships/hyperlink" Target="https://ec.europa.eu/competition/mergers/cases/decisions/m8788_1279_3.pdf" TargetMode="External"/><Relationship Id="rId4" Type="http://schemas.openxmlformats.org/officeDocument/2006/relationships/webSettings" Target="webSettings.xml"/><Relationship Id="rId9" Type="http://schemas.openxmlformats.org/officeDocument/2006/relationships/hyperlink" Target="https://ec.europa.eu/competition/antitrust/cases1/202419/AT_40437_10026012_3547_4.pdf" TargetMode="External"/><Relationship Id="rId26" Type="http://schemas.openxmlformats.org/officeDocument/2006/relationships/hyperlink" Target="https://ec.europa.eu/competition/antitrust/cases1/202419/AT_40437_10026012_3547_4.pdf" TargetMode="External"/><Relationship Id="rId47" Type="http://schemas.openxmlformats.org/officeDocument/2006/relationships/hyperlink" Target="https://ec.europa.eu/competition/antitrust/cases1/202441/AT_40452_10269725_10183_3.pdf" TargetMode="External"/><Relationship Id="rId68" Type="http://schemas.openxmlformats.org/officeDocument/2006/relationships/hyperlink" Target="https://ec.europa.eu/competition/antitrust/cases/dec_docs/39985/39985_928_16.pdf" TargetMode="External"/><Relationship Id="rId89" Type="http://schemas.openxmlformats.org/officeDocument/2006/relationships/hyperlink" Target="https://ec.europa.eu/competition/antitrust/cases/dec_docs/39985/39985_928_16.pdf" TargetMode="External"/><Relationship Id="rId112" Type="http://schemas.openxmlformats.org/officeDocument/2006/relationships/hyperlink" Target="https://ec.europa.eu/competition/antitrust/cases/dec_docs/39939/39939_1501_5.pdf" TargetMode="External"/><Relationship Id="rId133" Type="http://schemas.openxmlformats.org/officeDocument/2006/relationships/hyperlink" Target="https://ec.europa.eu/competition/mergers/cases/decisions/m8788_1279_3.pdf" TargetMode="External"/><Relationship Id="rId154" Type="http://schemas.openxmlformats.org/officeDocument/2006/relationships/hyperlink" Target="https://ec.europa.eu/competition/mergers/cases/decisions/m8788_1279_3.pdf" TargetMode="External"/><Relationship Id="rId16" Type="http://schemas.openxmlformats.org/officeDocument/2006/relationships/hyperlink" Target="https://ec.europa.eu/competition/antitrust/cases1/202419/AT_40437_10026012_3547_4.pdf" TargetMode="External"/><Relationship Id="rId37" Type="http://schemas.openxmlformats.org/officeDocument/2006/relationships/hyperlink" Target="https://ec.europa.eu/competition/antitrust/cases1/202419/AT_40437_10026012_3547_4.pdf" TargetMode="External"/><Relationship Id="rId58" Type="http://schemas.openxmlformats.org/officeDocument/2006/relationships/hyperlink" Target="https://ec.europa.eu/competition/antitrust/cases1/202441/AT_40452_10269725_10183_3.pdf" TargetMode="External"/><Relationship Id="rId79" Type="http://schemas.openxmlformats.org/officeDocument/2006/relationships/hyperlink" Target="https://ec.europa.eu/competition/antitrust/cases/dec_docs/39985/39985_928_16.pdf" TargetMode="External"/><Relationship Id="rId102" Type="http://schemas.openxmlformats.org/officeDocument/2006/relationships/hyperlink" Target="https://ec.europa.eu/competition/antitrust/cases/dec_docs/39939/39939_1501_5.pdf" TargetMode="External"/><Relationship Id="rId123" Type="http://schemas.openxmlformats.org/officeDocument/2006/relationships/hyperlink" Target="https://ec.europa.eu/competition/antitrust/cases/dec_docs/39939/39939_1501_5.pdf" TargetMode="External"/><Relationship Id="rId144" Type="http://schemas.openxmlformats.org/officeDocument/2006/relationships/hyperlink" Target="https://ec.europa.eu/competition/mergers/cases/decisions/m8788_1279_3.pdf" TargetMode="External"/><Relationship Id="rId90" Type="http://schemas.openxmlformats.org/officeDocument/2006/relationships/hyperlink" Target="https://ec.europa.eu/competition/antitrust/cases/dec_docs/39985/39985_928_16.pdf" TargetMode="External"/><Relationship Id="rId165" Type="http://schemas.openxmlformats.org/officeDocument/2006/relationships/header" Target="header1.xml"/><Relationship Id="rId27" Type="http://schemas.openxmlformats.org/officeDocument/2006/relationships/hyperlink" Target="https://ec.europa.eu/competition/antitrust/cases1/202419/AT_40437_10026012_3547_4.pdf" TargetMode="External"/><Relationship Id="rId48" Type="http://schemas.openxmlformats.org/officeDocument/2006/relationships/hyperlink" Target="https://ec.europa.eu/competition/antitrust/cases1/202441/AT_40452_10269725_10183_3.pdf" TargetMode="External"/><Relationship Id="rId69" Type="http://schemas.openxmlformats.org/officeDocument/2006/relationships/hyperlink" Target="https://ec.europa.eu/competition/antitrust/cases/dec_docs/39985/39985_928_16.pdf" TargetMode="External"/><Relationship Id="rId113" Type="http://schemas.openxmlformats.org/officeDocument/2006/relationships/hyperlink" Target="https://ec.europa.eu/competition/antitrust/cases/dec_docs/39939/39939_1501_5.pdf" TargetMode="External"/><Relationship Id="rId134" Type="http://schemas.openxmlformats.org/officeDocument/2006/relationships/hyperlink" Target="https://ec.europa.eu/competition/mergers/cases/decisions/m8788_1279_3.pdf" TargetMode="External"/><Relationship Id="rId80" Type="http://schemas.openxmlformats.org/officeDocument/2006/relationships/hyperlink" Target="https://ec.europa.eu/competition/antitrust/cases/dec_docs/39985/39985_928_16.pdf" TargetMode="External"/><Relationship Id="rId155" Type="http://schemas.openxmlformats.org/officeDocument/2006/relationships/hyperlink" Target="https://ec.europa.eu/competition/mergers/cases/decisions/m8788_1279_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9596</Words>
  <Characters>54698</Characters>
  <Application>Microsoft Office Word</Application>
  <DocSecurity>0</DocSecurity>
  <Lines>455</Lines>
  <Paragraphs>128</Paragraphs>
  <ScaleCrop>false</ScaleCrop>
  <Company/>
  <LinksUpToDate>false</LinksUpToDate>
  <CharactersWithSpaces>64166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2</cp:revision>
  <dcterms:created xsi:type="dcterms:W3CDTF">2026-09-23T09:44:00Z</dcterms:created>
  <dcterms:modified xsi:type="dcterms:W3CDTF">2026-09-23T09:55:00Z</dcterms:modified>
</cp:coreProperties>
</file>