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libri" w:cs="Calibri" w:eastAsia="Calibri" w:hAnsi="Calibri"/>
          <w:b/>
          <w:bCs/>
          <w:color w:val="1F4E5F"/>
          <w:sz w:val="40"/>
          <w:szCs w:val="40"/>
        </w:rPr>
        <w:t xml:space="preserve">Response Transcript — Sample 2</w:t>
      </w:r>
    </w:p>
    <w:p>
      <w:pPr>
        <w:pBdr>
          <w:bottom w:val="single" w:color="CCCCCC" w:sz="6" w:space="4"/>
        </w:pBdr>
        <w:spacing w:after="300"/>
      </w:pPr>
    </w:p>
    <w:p>
      <w:pPr>
        <w:pStyle w:val="Heading1"/>
        <w:spacing w:after="140" w:before="280"/>
      </w:pPr>
      <w:r>
        <w:rPr>
          <w:rFonts w:ascii="Calibri" w:cs="Calibri" w:eastAsia="Calibri" w:hAnsi="Calibri"/>
          <w:b/>
          <w:bCs/>
          <w:color w:val="1F4E5F"/>
          <w:sz w:val="26"/>
          <w:szCs w:val="26"/>
        </w:rPr>
        <w:t xml:space="preserve">User Query</w:t>
      </w:r>
    </w:p>
    <w:p>
      <w:pPr>
        <w:pBdr>
          <w:left w:val="single" w:color="1F4E5F" w:sz="18" w:space="8"/>
        </w:pBdr>
        <w:spacing w:after="240"/>
        <w:ind w:left="360"/>
      </w:pPr>
      <w:r>
        <w:rPr>
          <w:rFonts w:ascii="Calibri" w:cs="Calibri" w:eastAsia="Calibri" w:hAnsi="Calibri"/>
          <w:i/>
          <w:iCs/>
          <w:sz w:val="24"/>
          <w:szCs w:val="24"/>
        </w:rPr>
        <w:t xml:space="preserve">Give me a list of EU cases by Apple</w:t>
      </w:r>
    </w:p>
    <w:p>
      <w:pPr>
        <w:pStyle w:val="Heading1"/>
        <w:spacing w:after="140" w:before="280"/>
      </w:pPr>
      <w:r>
        <w:rPr>
          <w:rFonts w:ascii="Calibri" w:cs="Calibri" w:eastAsia="Calibri" w:hAnsi="Calibri"/>
          <w:b/>
          <w:bCs/>
          <w:color w:val="1F4E5F"/>
          <w:sz w:val="26"/>
          <w:szCs w:val="26"/>
        </w:rPr>
        <w:t xml:space="preserve">System Response</w:t>
      </w:r>
    </w:p>
    <w:p>
      <w:pPr>
        <w:spacing w:after="140"/>
      </w:pPr>
      <w:r>
        <w:rPr>
          <w:rFonts w:ascii="Calibri" w:cs="Calibri" w:eastAsia="Calibri" w:hAnsi="Calibri"/>
          <w:i w:val="false"/>
          <w:iCs w:val="false"/>
          <w:sz w:val="22"/>
          <w:szCs w:val="22"/>
        </w:rPr>
        <w:t xml:space="preserve">Here are some notable EU cases involving Apple in recent years:</w:t>
      </w:r>
    </w:p>
    <w:p>
      <w:pPr>
        <w:pStyle w:val="Heading2"/>
        <w:spacing w:after="100" w:before="200"/>
      </w:pPr>
      <w:r>
        <w:rPr>
          <w:rFonts w:ascii="Calibri" w:cs="Calibri" w:eastAsia="Calibri" w:hAnsi="Calibri"/>
          <w:b/>
          <w:bCs/>
          <w:i/>
          <w:iCs/>
          <w:color w:val="333333"/>
          <w:sz w:val="22"/>
          <w:szCs w:val="22"/>
        </w:rPr>
        <w:t xml:space="preserve">1. Apple v. The Brussels, Ghent and Liege Distributors Co. (Case 718/20P), Decision of the European Union's General Court, dated December 14, 2020</w:t>
      </w:r>
    </w:p>
    <w:p>
      <w:pPr>
        <w:spacing w:after="140"/>
      </w:pPr>
      <w:r>
        <w:rPr>
          <w:rFonts w:ascii="Calibri" w:cs="Calibri" w:eastAsia="Calibri" w:hAnsi="Calibri"/>
          <w:i w:val="false"/>
          <w:iCs w:val="false"/>
          <w:sz w:val="22"/>
          <w:szCs w:val="22"/>
        </w:rPr>
        <w:t xml:space="preserve">The case involves a decision by the European Commission to dismiss proceedings against the Belgian, Ghent, and Liege distributors companies. The dismissal was related to alleged cross-border restrictions on sales agreed between Apple and these distributors in the form of exemption letters attached to certain selective distribution agreements.</w:t>
      </w:r>
    </w:p>
    <w:p>
      <w:pPr>
        <w:pStyle w:val="Heading2"/>
        <w:spacing w:after="100" w:before="200"/>
      </w:pPr>
      <w:r>
        <w:rPr>
          <w:rFonts w:ascii="Calibri" w:cs="Calibri" w:eastAsia="Calibri" w:hAnsi="Calibri"/>
          <w:b/>
          <w:bCs/>
          <w:i/>
          <w:iCs/>
          <w:color w:val="333333"/>
          <w:sz w:val="22"/>
          <w:szCs w:val="22"/>
        </w:rPr>
        <w:t xml:space="preserve">2. Case C-619/16, (2018) ECLI:EU:C:2018:732, Decision of the Court of Justice of the European Union, dated July 5, 2018</w:t>
      </w:r>
    </w:p>
    <w:p>
      <w:pPr>
        <w:spacing w:after="140"/>
      </w:pPr>
      <w:r>
        <w:rPr>
          <w:rFonts w:ascii="Calibri" w:cs="Calibri" w:eastAsia="Calibri" w:hAnsi="Calibri"/>
          <w:i w:val="false"/>
          <w:iCs w:val="false"/>
          <w:sz w:val="22"/>
          <w:szCs w:val="22"/>
        </w:rPr>
        <w:t xml:space="preserve">The case involves the interpretation of Article 102(a) and (b) of the Treaty on the Functioning of the European Union (TFEU) regarding antitrust law. Apple was found to be dominant in the market for the licensing of iOS for tablets and smartphones. The case considered whether Apple restricted customers from making purchases on the Internet through additional rules.</w:t>
      </w:r>
    </w:p>
    <w:p>
      <w:pPr>
        <w:pStyle w:val="Heading2"/>
        <w:spacing w:after="100" w:before="200"/>
      </w:pPr>
      <w:r>
        <w:rPr>
          <w:rFonts w:ascii="Calibri" w:cs="Calibri" w:eastAsia="Calibri" w:hAnsi="Calibri"/>
          <w:b/>
          <w:bCs/>
          <w:i/>
          <w:iCs/>
          <w:color w:val="333333"/>
          <w:sz w:val="22"/>
          <w:szCs w:val="22"/>
        </w:rPr>
        <w:t xml:space="preserve">3. T-694/13, T-843/13, T-777/14, T-778/14, T-779/14, T-780/14, T-835/13, T-848/13, Decision of the European Union's General Court, dated December 17, 2015</w:t>
      </w:r>
    </w:p>
    <w:p>
      <w:pPr>
        <w:spacing w:after="140"/>
      </w:pPr>
      <w:r>
        <w:rPr>
          <w:rFonts w:ascii="Calibri" w:cs="Calibri" w:eastAsia="Calibri" w:hAnsi="Calibri"/>
          <w:i w:val="false"/>
          <w:iCs w:val="false"/>
          <w:sz w:val="22"/>
          <w:szCs w:val="22"/>
        </w:rPr>
        <w:t xml:space="preserve">This case involved several appeals contested by the Commission. The appeals concerned sales by selective distributors to end users from one member state to another within Apple's selective distribution system.</w:t>
      </w:r>
    </w:p>
    <w:p>
      <w:pPr>
        <w:pStyle w:val="Heading2"/>
        <w:spacing w:after="100" w:before="200"/>
      </w:pPr>
      <w:r>
        <w:rPr>
          <w:rFonts w:ascii="Calibri" w:cs="Calibri" w:eastAsia="Calibri" w:hAnsi="Calibri"/>
          <w:b/>
          <w:bCs/>
          <w:i/>
          <w:iCs/>
          <w:color w:val="333333"/>
          <w:sz w:val="22"/>
          <w:szCs w:val="22"/>
        </w:rPr>
        <w:t xml:space="preserve">4. Apple Sales International and Apple Operations Europe v. The Commission (Case T-781/16), Decision of the European Union's General Court, dated May 8, 2019</w:t>
      </w:r>
    </w:p>
    <w:p>
      <w:pPr>
        <w:spacing w:after="140"/>
      </w:pPr>
      <w:r>
        <w:rPr>
          <w:rFonts w:ascii="Calibri" w:cs="Calibri" w:eastAsia="Calibri" w:hAnsi="Calibri"/>
          <w:i w:val="false"/>
          <w:iCs w:val="false"/>
          <w:sz w:val="22"/>
          <w:szCs w:val="22"/>
        </w:rPr>
        <w:t xml:space="preserve">In this case, the General Court annulled the 2016 decision of the EU Commission to wield its authority to impose restrictive conditions on the right of Apple's two European subsidiaries to benefit from the effective taxation of profits from a complex global tax structure in Ireland.</w:t>
      </w:r>
    </w:p>
    <w:p>
      <w:pPr>
        <w:pStyle w:val="Heading2"/>
        <w:spacing w:after="100" w:before="200"/>
      </w:pPr>
      <w:r>
        <w:rPr>
          <w:rFonts w:ascii="Calibri" w:cs="Calibri" w:eastAsia="Calibri" w:hAnsi="Calibri"/>
          <w:b/>
          <w:bCs/>
          <w:i/>
          <w:iCs/>
          <w:color w:val="333333"/>
          <w:sz w:val="22"/>
          <w:szCs w:val="22"/>
        </w:rPr>
        <w:t xml:space="preserve">5. Apple and Others v. Commission (Case C-576/18P, C-590/18P, C-600/18P), Decision of the Court of Justice of the European Union, dated December 17, 2020</w:t>
      </w:r>
    </w:p>
    <w:p>
      <w:pPr>
        <w:spacing w:after="140"/>
      </w:pPr>
      <w:r>
        <w:rPr>
          <w:rFonts w:ascii="Calibri" w:cs="Calibri" w:eastAsia="Calibri" w:hAnsi="Calibri"/>
          <w:i w:val="false"/>
          <w:iCs w:val="false"/>
          <w:sz w:val="22"/>
          <w:szCs w:val="22"/>
        </w:rPr>
        <w:t xml:space="preserve">This case involves a decision by the European Commission to impose emergency measures to address serious distortion of competition caused by tax rulings granted to Apple, Fiat, and Starbucks. The decision required these companies to retroactively and prospectively pay additional taxes. Apple claims that the additional taxes to be paid by the company in the context of the emergency measures amount to substantive illegal contrary punitive measures.</w:t>
      </w:r>
    </w:p>
    <w:p>
      <w:pPr>
        <w:pStyle w:val="Heading1"/>
        <w:spacing w:after="140" w:before="280"/>
      </w:pPr>
      <w:r>
        <w:rPr>
          <w:rFonts w:ascii="Calibri" w:cs="Calibri" w:eastAsia="Calibri" w:hAnsi="Calibri"/>
          <w:b/>
          <w:bCs/>
          <w:color w:val="1F4E5F"/>
          <w:sz w:val="26"/>
          <w:szCs w:val="26"/>
        </w:rPr>
        <w:t xml:space="preserve">Cited Sources</w:t>
      </w:r>
    </w:p>
    <w:p>
      <w:pPr>
        <w:spacing w:after="140"/>
      </w:pPr>
      <w:r>
        <w:rPr>
          <w:rFonts w:ascii="Calibri" w:cs="Calibri" w:eastAsia="Calibri" w:hAnsi="Calibri"/>
          <w:i/>
          <w:iCs/>
          <w:sz w:val="22"/>
          <w:szCs w:val="22"/>
        </w:rPr>
        <w:t xml:space="preserve">No source links were included in the original response.</w:t>
      </w:r>
    </w:p>
    <w:sectPr>
      <w:headerReference w:type="default" r:id="rId7"/>
      <w:footerReference w:type="default" r:id="rId8"/>
      <w:pgSz w:w="12240" w:h="15840" w:orient="portrait"/>
      <w:pgMar w:top="1080" w:right="1350" w:bottom="108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Competition-Law Assistant Evaluation — Blinded Transcript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2026-09-02T10:46:34.838Z</dcterms:created>
  <dcterms:modified xsi:type="dcterms:W3CDTF">2026-09-02T10:46:34.838Z</dcterms:modified>
</cp:coreProperties>
</file>

<file path=docProps/custom.xml><?xml version="1.0" encoding="utf-8"?>
<Properties xmlns="http://schemas.openxmlformats.org/officeDocument/2006/custom-properties" xmlns:vt="http://schemas.openxmlformats.org/officeDocument/2006/docPropsVTypes"/>
</file>