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2E84" w14:textId="3D079BB1" w:rsidR="00535CAF" w:rsidRDefault="00000000">
      <w:pPr>
        <w:spacing w:after="160"/>
      </w:pPr>
      <w:r>
        <w:rPr>
          <w:b/>
          <w:bCs/>
          <w:color w:val="1F4E5F"/>
          <w:sz w:val="32"/>
          <w:szCs w:val="32"/>
        </w:rPr>
        <w:t xml:space="preserve">Response Transcript — Sample </w:t>
      </w:r>
      <w:r w:rsidR="008B7646">
        <w:rPr>
          <w:b/>
          <w:bCs/>
          <w:color w:val="1F4E5F"/>
          <w:sz w:val="32"/>
          <w:szCs w:val="32"/>
        </w:rPr>
        <w:t>3</w:t>
      </w:r>
    </w:p>
    <w:p w14:paraId="15F860B6" w14:textId="77777777" w:rsidR="00535CAF" w:rsidRDefault="00535CAF">
      <w:pPr>
        <w:pBdr>
          <w:bottom w:val="single" w:sz="8" w:space="4" w:color="1F4E5F"/>
        </w:pBdr>
        <w:spacing w:after="240"/>
      </w:pPr>
    </w:p>
    <w:p w14:paraId="74A2E906" w14:textId="77777777" w:rsidR="00535CAF" w:rsidRDefault="00000000">
      <w:pPr>
        <w:spacing w:after="120"/>
      </w:pPr>
      <w:r>
        <w:rPr>
          <w:b/>
          <w:bCs/>
          <w:color w:val="1F4E5F"/>
        </w:rPr>
        <w:t>User Query</w:t>
      </w:r>
    </w:p>
    <w:p w14:paraId="28D29340" w14:textId="77777777" w:rsidR="00535CAF" w:rsidRDefault="00000000">
      <w:pPr>
        <w:pBdr>
          <w:left w:val="single" w:sz="12" w:space="8" w:color="1F4E5F"/>
        </w:pBdr>
        <w:spacing w:after="280"/>
        <w:ind w:left="360"/>
      </w:pPr>
      <w:r>
        <w:rPr>
          <w:i/>
          <w:iCs/>
        </w:rPr>
        <w:t>Get me a list of cases by Carrefour</w:t>
      </w:r>
    </w:p>
    <w:p w14:paraId="3167D2B2" w14:textId="77777777" w:rsidR="00535CAF" w:rsidRDefault="00000000">
      <w:pPr>
        <w:spacing w:after="120"/>
      </w:pPr>
      <w:r>
        <w:rPr>
          <w:b/>
          <w:bCs/>
          <w:color w:val="1F4E5F"/>
        </w:rPr>
        <w:t>System Response</w:t>
      </w:r>
    </w:p>
    <w:p w14:paraId="770AC556" w14:textId="77777777" w:rsidR="00535CAF" w:rsidRDefault="00000000">
      <w:pPr>
        <w:spacing w:before="320" w:after="60"/>
      </w:pPr>
      <w:r>
        <w:rPr>
          <w:b/>
          <w:bCs/>
          <w:color w:val="808080"/>
          <w:spacing w:val="20"/>
          <w:sz w:val="18"/>
          <w:szCs w:val="18"/>
        </w:rPr>
        <w:t>ANTITRUST</w:t>
      </w:r>
    </w:p>
    <w:p w14:paraId="734169CD" w14:textId="77777777" w:rsidR="00535CAF" w:rsidRDefault="00000000">
      <w:pPr>
        <w:spacing w:before="200" w:after="160"/>
      </w:pPr>
      <w:r>
        <w:rPr>
          <w:b/>
          <w:bCs/>
          <w:color w:val="1F4E5F"/>
        </w:rPr>
        <w:t>20-DSA-245: Carrefour and Tesco</w:t>
      </w:r>
    </w:p>
    <w:p w14:paraId="2F84DD87" w14:textId="77777777" w:rsidR="00535CAF" w:rsidRDefault="00000000">
      <w:pPr>
        <w:spacing w:before="240" w:after="120"/>
      </w:pPr>
      <w:r>
        <w:rPr>
          <w:b/>
          <w:bCs/>
          <w:i/>
          <w:iCs/>
          <w:color w:val="1F4E5F"/>
        </w:rPr>
        <w:t>Case Background</w:t>
      </w:r>
    </w:p>
    <w:p w14:paraId="173347DB" w14:textId="77777777" w:rsidR="00535CAF" w:rsidRDefault="00000000">
      <w:pPr>
        <w:spacing w:after="160"/>
      </w:pPr>
      <w:r>
        <w:t xml:space="preserve">The allegation made in this case concerns potential infringements of competition laws due to cooperation agreements between the parties involved. </w:t>
      </w:r>
      <w:hyperlink r:id="rId7" w:history="1">
        <w:r>
          <w:rPr>
            <w:rStyle w:val="Hyperlink"/>
          </w:rPr>
          <w:t>[1]</w:t>
        </w:r>
      </w:hyperlink>
    </w:p>
    <w:p w14:paraId="25585ECC" w14:textId="77777777" w:rsidR="00535CAF" w:rsidRDefault="00000000">
      <w:pPr>
        <w:spacing w:after="160"/>
      </w:pPr>
      <w:r>
        <w:t xml:space="preserve">The companies involved in this case are Carrefour and Tesco. </w:t>
      </w:r>
      <w:hyperlink r:id="rId8" w:history="1">
        <w:r>
          <w:rPr>
            <w:rStyle w:val="Hyperlink"/>
          </w:rPr>
          <w:t>[1]</w:t>
        </w:r>
      </w:hyperlink>
    </w:p>
    <w:p w14:paraId="4A398177" w14:textId="77777777" w:rsidR="00535CAF" w:rsidRDefault="00000000">
      <w:pPr>
        <w:spacing w:after="160"/>
      </w:pPr>
      <w:r>
        <w:t xml:space="preserve">The case was initiated in the year 2019, with proceedings starting on May 2, 2019. </w:t>
      </w:r>
      <w:hyperlink r:id="rId9" w:history="1">
        <w:r>
          <w:rPr>
            <w:rStyle w:val="Hyperlink"/>
          </w:rPr>
          <w:t>[1]</w:t>
        </w:r>
      </w:hyperlink>
    </w:p>
    <w:p w14:paraId="1B288567" w14:textId="77777777" w:rsidR="00535CAF" w:rsidRDefault="00000000">
      <w:pPr>
        <w:spacing w:after="160"/>
      </w:pPr>
      <w:r>
        <w:t xml:space="preserve">The violation pertains to Article 101 of the Treaty on the Functioning of the European Union (TFEU) and Article L. 420-1 of the Commercial Code, which prohibit agreements that may prevent, restrict, or distort competition. </w:t>
      </w:r>
      <w:hyperlink r:id="rId10" w:history="1">
        <w:r>
          <w:rPr>
            <w:rStyle w:val="Hyperlink"/>
          </w:rPr>
          <w:t>[1]</w:t>
        </w:r>
      </w:hyperlink>
    </w:p>
    <w:p w14:paraId="7C928BB8" w14:textId="77777777" w:rsidR="00535CAF" w:rsidRDefault="00000000">
      <w:pPr>
        <w:spacing w:after="160"/>
      </w:pPr>
      <w:r>
        <w:t xml:space="preserve">The investigation revealed that the cooperation agreements could significantly reduce suppliers' ability to invest and innovate in the upstream market for private label products, potentially leading to decreased quality and diversity of offerings available to consumers. </w:t>
      </w:r>
      <w:hyperlink r:id="rId11" w:history="1">
        <w:r>
          <w:rPr>
            <w:rStyle w:val="Hyperlink"/>
          </w:rPr>
          <w:t>[1]</w:t>
        </w:r>
      </w:hyperlink>
    </w:p>
    <w:p w14:paraId="1D0700BD" w14:textId="77777777" w:rsidR="00535CAF" w:rsidRDefault="00000000">
      <w:pPr>
        <w:spacing w:before="240" w:after="120"/>
      </w:pPr>
      <w:r>
        <w:rPr>
          <w:b/>
          <w:bCs/>
          <w:i/>
          <w:iCs/>
          <w:color w:val="1F4E5F"/>
        </w:rPr>
        <w:t>Case Progression</w:t>
      </w:r>
    </w:p>
    <w:p w14:paraId="30B425E8" w14:textId="77777777" w:rsidR="00535CAF" w:rsidRDefault="00000000">
      <w:pPr>
        <w:pStyle w:val="ListParagraph"/>
        <w:numPr>
          <w:ilvl w:val="0"/>
          <w:numId w:val="1"/>
        </w:numPr>
        <w:spacing w:after="120"/>
      </w:pPr>
      <w:r>
        <w:rPr>
          <w:b/>
          <w:bCs/>
        </w:rPr>
        <w:t xml:space="preserve">Case Initiation: </w:t>
      </w:r>
      <w:r>
        <w:t xml:space="preserve">The case was initiated when Carrefour and Tesco notified the Competition Authority of their cooperation agreement concerning the purchase of private label products on August 4, 2018. This was in accordance with Article L. 462-10 of the Commercial Code </w:t>
      </w:r>
      <w:hyperlink r:id="rId12" w:history="1">
        <w:r>
          <w:rPr>
            <w:rStyle w:val="Hyperlink"/>
          </w:rPr>
          <w:t>[1]</w:t>
        </w:r>
      </w:hyperlink>
      <w:r>
        <w:t>.</w:t>
      </w:r>
    </w:p>
    <w:p w14:paraId="0A1F078E" w14:textId="77777777" w:rsidR="00535CAF" w:rsidRDefault="00000000">
      <w:pPr>
        <w:pStyle w:val="ListParagraph"/>
        <w:numPr>
          <w:ilvl w:val="0"/>
          <w:numId w:val="1"/>
        </w:numPr>
        <w:spacing w:after="120"/>
      </w:pPr>
      <w:r>
        <w:rPr>
          <w:b/>
          <w:bCs/>
        </w:rPr>
        <w:t xml:space="preserve">Preliminary Investigation: </w:t>
      </w:r>
      <w:r>
        <w:t xml:space="preserve">The Authority conducted a preliminary investigation starting May 2, 2019, to assess whether the cooperation agreement posed significant competition risks. Evidence gathered included market shares and turnover data, which indicated potential infringements of Article 101 TFEU and national competition laws </w:t>
      </w:r>
      <w:hyperlink r:id="rId13" w:history="1">
        <w:r>
          <w:rPr>
            <w:rStyle w:val="Hyperlink"/>
          </w:rPr>
          <w:t>[1]</w:t>
        </w:r>
      </w:hyperlink>
      <w:r>
        <w:t>.</w:t>
      </w:r>
    </w:p>
    <w:p w14:paraId="637196FE" w14:textId="77777777" w:rsidR="00535CAF" w:rsidRDefault="00000000">
      <w:pPr>
        <w:pStyle w:val="ListParagraph"/>
        <w:numPr>
          <w:ilvl w:val="0"/>
          <w:numId w:val="1"/>
        </w:numPr>
        <w:spacing w:after="120"/>
      </w:pPr>
      <w:r>
        <w:rPr>
          <w:b/>
          <w:bCs/>
        </w:rPr>
        <w:t xml:space="preserve">Statement of Objections issued: </w:t>
      </w:r>
      <w:r>
        <w:t xml:space="preserve">Following the preliminary investigation, the Authority identified competition concerns and issued a note to the Parties on September 4, 2020, outlining the potential infringements related to the upstream market for private label products </w:t>
      </w:r>
      <w:hyperlink r:id="rId14" w:history="1">
        <w:r>
          <w:rPr>
            <w:rStyle w:val="Hyperlink"/>
          </w:rPr>
          <w:t>[1]</w:t>
        </w:r>
      </w:hyperlink>
      <w:r>
        <w:t>.</w:t>
      </w:r>
    </w:p>
    <w:p w14:paraId="17BA8842" w14:textId="77777777" w:rsidR="00535CAF" w:rsidRDefault="00000000">
      <w:pPr>
        <w:pStyle w:val="ListParagraph"/>
        <w:numPr>
          <w:ilvl w:val="0"/>
          <w:numId w:val="1"/>
        </w:numPr>
        <w:spacing w:after="120"/>
      </w:pPr>
      <w:r>
        <w:rPr>
          <w:b/>
          <w:bCs/>
        </w:rPr>
        <w:t xml:space="preserve">Defense Phase: </w:t>
      </w:r>
      <w:r>
        <w:t xml:space="preserve">The Parties were given the opportunity to respond to the objections in writing and to present their defense during an oral hearing. They proposed commitments to address the identified competition concerns, which included limiting cooperation on certain product categories </w:t>
      </w:r>
      <w:hyperlink r:id="rId15" w:history="1">
        <w:r>
          <w:rPr>
            <w:rStyle w:val="Hyperlink"/>
          </w:rPr>
          <w:t>[1]</w:t>
        </w:r>
      </w:hyperlink>
      <w:r>
        <w:t>.</w:t>
      </w:r>
    </w:p>
    <w:p w14:paraId="6A0A1AB9" w14:textId="77777777" w:rsidR="00535CAF" w:rsidRDefault="00000000">
      <w:pPr>
        <w:pStyle w:val="ListParagraph"/>
        <w:numPr>
          <w:ilvl w:val="0"/>
          <w:numId w:val="1"/>
        </w:numPr>
        <w:spacing w:after="120"/>
      </w:pPr>
      <w:r>
        <w:rPr>
          <w:b/>
          <w:bCs/>
        </w:rPr>
        <w:t xml:space="preserve">Commission Decision: </w:t>
      </w:r>
      <w:r>
        <w:t xml:space="preserve">The Authority accepted the commitments proposed by the Parties on September 17, 2020, concluding that these commitments effectively addressed the competition concerns raised. This decision was made after evaluating the market test results and the proportionality of the commitments </w:t>
      </w:r>
      <w:hyperlink r:id="rId16" w:history="1">
        <w:r>
          <w:rPr>
            <w:rStyle w:val="Hyperlink"/>
          </w:rPr>
          <w:t>[1]</w:t>
        </w:r>
      </w:hyperlink>
      <w:r>
        <w:t>.</w:t>
      </w:r>
    </w:p>
    <w:p w14:paraId="20B027BD" w14:textId="77777777" w:rsidR="00535CAF" w:rsidRDefault="00000000">
      <w:pPr>
        <w:pStyle w:val="ListParagraph"/>
        <w:numPr>
          <w:ilvl w:val="0"/>
          <w:numId w:val="1"/>
        </w:numPr>
        <w:spacing w:after="120"/>
      </w:pPr>
      <w:r>
        <w:rPr>
          <w:b/>
          <w:bCs/>
        </w:rPr>
        <w:lastRenderedPageBreak/>
        <w:t xml:space="preserve">Outcome: </w:t>
      </w:r>
      <w:r>
        <w:t xml:space="preserve">The commitments were deemed sufficient to mitigate the competition risks, allowing the cooperation agreement to proceed under the new terms. The Authority's decision emphasized the importance of monitoring the implementation of these commitments to ensure compliance </w:t>
      </w:r>
      <w:hyperlink r:id="rId17" w:history="1">
        <w:r>
          <w:rPr>
            <w:rStyle w:val="Hyperlink"/>
          </w:rPr>
          <w:t>[1]</w:t>
        </w:r>
      </w:hyperlink>
      <w:r>
        <w:t>.</w:t>
      </w:r>
    </w:p>
    <w:p w14:paraId="20F15328" w14:textId="77777777" w:rsidR="00535CAF" w:rsidRDefault="00000000">
      <w:pPr>
        <w:spacing w:before="240" w:after="120"/>
      </w:pPr>
      <w:r>
        <w:rPr>
          <w:b/>
          <w:bCs/>
          <w:i/>
          <w:iCs/>
          <w:color w:val="1F4E5F"/>
        </w:rPr>
        <w:t>Market Definition</w:t>
      </w:r>
    </w:p>
    <w:p w14:paraId="650FE2AC" w14:textId="77777777" w:rsidR="00535CAF" w:rsidRDefault="00000000">
      <w:pPr>
        <w:spacing w:after="160"/>
      </w:pPr>
      <w:r>
        <w:t xml:space="preserve">The market considered in this case includes the upstream supply markets for private label products, specifically focusing on the agreements between distributors in the consumer goods distribution sector. </w:t>
      </w:r>
      <w:hyperlink r:id="rId18" w:history="1">
        <w:r>
          <w:rPr>
            <w:rStyle w:val="Hyperlink"/>
          </w:rPr>
          <w:t>[1]</w:t>
        </w:r>
      </w:hyperlink>
    </w:p>
    <w:p w14:paraId="2D77C2B8" w14:textId="77777777" w:rsidR="00535CAF" w:rsidRDefault="00000000">
      <w:pPr>
        <w:spacing w:after="160"/>
      </w:pPr>
      <w:r>
        <w:t xml:space="preserve">The definition of the relevant market is based on the concept of "substitutability," which takes into account competitive pressures from both a product and geographical perspective. </w:t>
      </w:r>
      <w:hyperlink r:id="rId19" w:history="1">
        <w:r>
          <w:rPr>
            <w:rStyle w:val="Hyperlink"/>
          </w:rPr>
          <w:t>[1]</w:t>
        </w:r>
      </w:hyperlink>
    </w:p>
    <w:p w14:paraId="6675C556" w14:textId="77777777" w:rsidR="00535CAF" w:rsidRDefault="00000000">
      <w:pPr>
        <w:spacing w:after="160"/>
      </w:pPr>
      <w:r>
        <w:t xml:space="preserve">For the product dimension, the Authority referenced a segmentation established by the Commission, which includes 23 product categories, while also noting that finer segmentation may be necessary based on negotiation conditions. </w:t>
      </w:r>
      <w:hyperlink r:id="rId20" w:history="1">
        <w:r>
          <w:rPr>
            <w:rStyle w:val="Hyperlink"/>
          </w:rPr>
          <w:t>[1]</w:t>
        </w:r>
      </w:hyperlink>
    </w:p>
    <w:p w14:paraId="4F2072CC" w14:textId="77777777" w:rsidR="00535CAF" w:rsidRDefault="00000000">
      <w:pPr>
        <w:spacing w:after="160"/>
      </w:pPr>
      <w:r>
        <w:t xml:space="preserve">The geographical dimension involves assessing local markets corresponding to the catchment area of each store, influenced by customer travel times and the density of commercial establishments. </w:t>
      </w:r>
      <w:hyperlink r:id="rId21" w:history="1">
        <w:r>
          <w:rPr>
            <w:rStyle w:val="Hyperlink"/>
          </w:rPr>
          <w:t>[1]</w:t>
        </w:r>
      </w:hyperlink>
    </w:p>
    <w:p w14:paraId="2AE0CDEF" w14:textId="77777777" w:rsidR="00535CAF" w:rsidRDefault="00000000">
      <w:pPr>
        <w:spacing w:after="160"/>
      </w:pPr>
      <w:r>
        <w:t xml:space="preserve">The parties involved calculated their cumulative market shares in the upstream market for purchases related to the cooperation agreements, which included both national brand products and private label products. </w:t>
      </w:r>
      <w:hyperlink r:id="rId22" w:history="1">
        <w:r>
          <w:rPr>
            <w:rStyle w:val="Hyperlink"/>
          </w:rPr>
          <w:t>[1]</w:t>
        </w:r>
      </w:hyperlink>
    </w:p>
    <w:p w14:paraId="0D490ACA" w14:textId="77777777" w:rsidR="00535CAF" w:rsidRDefault="00000000">
      <w:pPr>
        <w:spacing w:after="160"/>
      </w:pPr>
      <w:r>
        <w:t xml:space="preserve">The Authority emphasized the need for a dual analysis at both local and national levels to understand the competitive dynamics of the agreements. </w:t>
      </w:r>
      <w:hyperlink r:id="rId23" w:history="1">
        <w:r>
          <w:rPr>
            <w:rStyle w:val="Hyperlink"/>
          </w:rPr>
          <w:t>[1]</w:t>
        </w:r>
      </w:hyperlink>
    </w:p>
    <w:p w14:paraId="462FAD5E" w14:textId="77777777" w:rsidR="00535CAF" w:rsidRDefault="00000000">
      <w:pPr>
        <w:spacing w:after="160"/>
      </w:pPr>
      <w:r>
        <w:t xml:space="preserve">The preliminary analysis indicated that the agreements were likely to cause infringements of competition, necessitating a thorough review under both national and EU competition law frameworks. </w:t>
      </w:r>
      <w:hyperlink r:id="rId24" w:history="1">
        <w:r>
          <w:rPr>
            <w:rStyle w:val="Hyperlink"/>
          </w:rPr>
          <w:t>[1]</w:t>
        </w:r>
      </w:hyperlink>
    </w:p>
    <w:p w14:paraId="2E1ABBA7" w14:textId="77777777" w:rsidR="00535CAF" w:rsidRDefault="00000000">
      <w:pPr>
        <w:spacing w:before="240" w:after="120"/>
      </w:pPr>
      <w:r>
        <w:rPr>
          <w:b/>
          <w:bCs/>
          <w:i/>
          <w:iCs/>
          <w:color w:val="1F4E5F"/>
        </w:rPr>
        <w:t>Theories of Harm</w:t>
      </w:r>
    </w:p>
    <w:p w14:paraId="529DBA9A" w14:textId="77777777" w:rsidR="00535CAF" w:rsidRDefault="00000000">
      <w:pPr>
        <w:pStyle w:val="ListParagraph"/>
        <w:numPr>
          <w:ilvl w:val="0"/>
          <w:numId w:val="1"/>
        </w:numPr>
        <w:spacing w:after="120"/>
      </w:pPr>
      <w:r>
        <w:rPr>
          <w:b/>
          <w:bCs/>
        </w:rPr>
        <w:t xml:space="preserve">Reduction of Suppliers' Ability to Invest and Innovate: </w:t>
      </w:r>
      <w:r>
        <w:t xml:space="preserve">This theory of harm suggests that the cooperation agreement between Carrefour and Tesco could lead to a decrease in the competitive pressure on suppliers of private label products. The investigation services identified that the agreements might reduce suppliers' incentives to invest in and innovate their offerings, potentially resulting in lower quality and diversity of products available to consumers. This concern is based on the observation that the agreements could limit competition in the upstream market for private label products, as suppliers may feel less compelled to enhance their products when faced with reduced competitive pressure. </w:t>
      </w:r>
      <w:hyperlink r:id="rId25" w:history="1">
        <w:r>
          <w:rPr>
            <w:rStyle w:val="Hyperlink"/>
          </w:rPr>
          <w:t>[1]</w:t>
        </w:r>
      </w:hyperlink>
    </w:p>
    <w:p w14:paraId="080C83FC" w14:textId="77777777" w:rsidR="00535CAF" w:rsidRDefault="00000000">
      <w:pPr>
        <w:pStyle w:val="ListParagraph"/>
        <w:numPr>
          <w:ilvl w:val="0"/>
          <w:numId w:val="1"/>
        </w:numPr>
        <w:spacing w:after="120"/>
      </w:pPr>
      <w:r>
        <w:rPr>
          <w:b/>
          <w:bCs/>
        </w:rPr>
        <w:t xml:space="preserve">Market Power of Private Label Product Suppliers: </w:t>
      </w:r>
      <w:r>
        <w:t xml:space="preserve">This theory posits that the cooperation agreements could lead to a situation where the market power of private label product suppliers is further diminished. The analysis indicated that private label products are often interchangeable and do not have the same brand loyalty as national brands, which limits suppliers' market power. The agreements could exacerbate this situation by consolidating purchasing power among the parties, thereby reducing the suppliers' ability to negotiate favorable terms. The investigation highlighted that suppliers do not control marketing conditions for private label products, which could lead to a further weakening of their market position. </w:t>
      </w:r>
      <w:hyperlink r:id="rId26" w:history="1">
        <w:r>
          <w:rPr>
            <w:rStyle w:val="Hyperlink"/>
          </w:rPr>
          <w:t>[1]</w:t>
        </w:r>
      </w:hyperlink>
    </w:p>
    <w:p w14:paraId="63300C73" w14:textId="77777777" w:rsidR="00535CAF" w:rsidRDefault="00000000">
      <w:pPr>
        <w:pStyle w:val="ListParagraph"/>
        <w:numPr>
          <w:ilvl w:val="0"/>
          <w:numId w:val="1"/>
        </w:numPr>
        <w:spacing w:after="120"/>
      </w:pPr>
      <w:r>
        <w:rPr>
          <w:b/>
          <w:bCs/>
        </w:rPr>
        <w:t xml:space="preserve">Potential Infringements of Competition: </w:t>
      </w:r>
      <w:r>
        <w:t xml:space="preserve">This theory encompasses the broader implications of the cooperation agreement on competition within the relevant markets. The investigation services noted that the agreements could likely cause significant infringements of competition as defined by Articles 101(1) TFEU and L. 420-1 of the Commercial Code. The potential for reduced competition in both upstream and downstream markets was emphasized, as the parties' significant market shares could lead to anti-competitive effects, such as price increases or reduced choices for consumers. The Authority's </w:t>
      </w:r>
      <w:r>
        <w:lastRenderedPageBreak/>
        <w:t xml:space="preserve">preliminary analysis indicated that these agreements needed to be scrutinized closely to assess their impact on market dynamics. </w:t>
      </w:r>
      <w:hyperlink r:id="rId27" w:history="1">
        <w:r>
          <w:rPr>
            <w:rStyle w:val="Hyperlink"/>
          </w:rPr>
          <w:t>[1]</w:t>
        </w:r>
      </w:hyperlink>
    </w:p>
    <w:p w14:paraId="455A7091" w14:textId="77777777" w:rsidR="00535CAF" w:rsidRDefault="00000000">
      <w:pPr>
        <w:spacing w:before="240" w:after="120"/>
      </w:pPr>
      <w:r>
        <w:rPr>
          <w:b/>
          <w:bCs/>
          <w:i/>
          <w:iCs/>
          <w:color w:val="1F4E5F"/>
        </w:rPr>
        <w:t>Legal &amp; Economic Tests</w:t>
      </w:r>
    </w:p>
    <w:p w14:paraId="399D4DE2" w14:textId="77777777" w:rsidR="00535CAF" w:rsidRDefault="00000000">
      <w:pPr>
        <w:pStyle w:val="ListParagraph"/>
        <w:numPr>
          <w:ilvl w:val="0"/>
          <w:numId w:val="1"/>
        </w:numPr>
        <w:spacing w:after="120"/>
      </w:pPr>
      <w:r>
        <w:rPr>
          <w:b/>
          <w:bCs/>
        </w:rPr>
        <w:t xml:space="preserve">Legal Framework Test: </w:t>
      </w:r>
      <w:r>
        <w:t xml:space="preserve">The legal framework for assessing the cooperation agreement is based on Articles 101(1) TFEU and L. 420-1 of the Commercial Code. This test evaluates whether the agreements between the parties may prevent, restrict, or distort competition within the internal market. The process involves examining the nature of the agreements and their potential impact on competition, as initiated by the Authority under Article L. 462-10 of the Commercial Code. This framework allows for the identification of potential infringements of competition and the imposition of measures if necessary. </w:t>
      </w:r>
      <w:hyperlink r:id="rId28" w:history="1">
        <w:r>
          <w:rPr>
            <w:rStyle w:val="Hyperlink"/>
          </w:rPr>
          <w:t>[1]</w:t>
        </w:r>
      </w:hyperlink>
    </w:p>
    <w:p w14:paraId="62C19D75" w14:textId="77777777" w:rsidR="00535CAF" w:rsidRDefault="00000000">
      <w:pPr>
        <w:pStyle w:val="ListParagraph"/>
        <w:numPr>
          <w:ilvl w:val="0"/>
          <w:numId w:val="1"/>
        </w:numPr>
        <w:spacing w:after="120"/>
      </w:pPr>
      <w:r>
        <w:rPr>
          <w:b/>
          <w:bCs/>
        </w:rPr>
        <w:t xml:space="preserve">Market Power Assessment: </w:t>
      </w:r>
      <w:r>
        <w:t xml:space="preserve">This test analyzes the market power of private label product suppliers in relation to the distributors involved in the cooperation agreement. It considers both contractual and economic characteristics that may limit the suppliers' market power. The process includes evaluating the substitutability of products, the nature of supplier relationships, and the duration of contracts. The findings indicate that suppliers generally do not possess significant market power due to the competitive nature of the private label market and the conditions under which products are marketed. </w:t>
      </w:r>
      <w:hyperlink r:id="rId29" w:history="1">
        <w:r>
          <w:rPr>
            <w:rStyle w:val="Hyperlink"/>
          </w:rPr>
          <w:t>[1]</w:t>
        </w:r>
      </w:hyperlink>
    </w:p>
    <w:p w14:paraId="38C280D9" w14:textId="77777777" w:rsidR="00535CAF" w:rsidRDefault="00000000">
      <w:pPr>
        <w:pStyle w:val="ListParagraph"/>
        <w:numPr>
          <w:ilvl w:val="0"/>
          <w:numId w:val="1"/>
        </w:numPr>
        <w:spacing w:after="120"/>
      </w:pPr>
      <w:r>
        <w:rPr>
          <w:b/>
          <w:bCs/>
        </w:rPr>
        <w:t xml:space="preserve">Commitment Procedure Evaluation: </w:t>
      </w:r>
      <w:r>
        <w:t xml:space="preserve">The commitment procedure allows the Authority to accept commitments proposed by the parties to address identified competition concerns. This test assesses whether the commitments are necessary, proportionate, and sufficient to mitigate the risks of competition infringements. The process involves a thorough review of the commitments in relation to the cooperation agreement, ensuring they effectively address the competition issues without unduly restricting the parties' operations. The Authority's role is to ensure that the commitments align with the legal requirements and effectively resolve the identified concerns. </w:t>
      </w:r>
      <w:hyperlink r:id="rId30" w:history="1">
        <w:r>
          <w:rPr>
            <w:rStyle w:val="Hyperlink"/>
          </w:rPr>
          <w:t>[1]</w:t>
        </w:r>
      </w:hyperlink>
    </w:p>
    <w:p w14:paraId="18D5DB87" w14:textId="77777777" w:rsidR="00535CAF" w:rsidRDefault="00000000">
      <w:pPr>
        <w:spacing w:before="240" w:after="120"/>
      </w:pPr>
      <w:r>
        <w:rPr>
          <w:b/>
          <w:bCs/>
          <w:i/>
          <w:iCs/>
          <w:color w:val="1F4E5F"/>
        </w:rPr>
        <w:t>Remedies</w:t>
      </w:r>
    </w:p>
    <w:p w14:paraId="5F538396" w14:textId="77777777" w:rsidR="00535CAF" w:rsidRDefault="00000000">
      <w:pPr>
        <w:pStyle w:val="ListParagraph"/>
        <w:numPr>
          <w:ilvl w:val="0"/>
          <w:numId w:val="1"/>
        </w:numPr>
        <w:spacing w:after="120"/>
      </w:pPr>
      <w:r>
        <w:rPr>
          <w:b/>
          <w:bCs/>
        </w:rPr>
        <w:t xml:space="preserve">Exclusion of Certain Product Families from Cooperation: </w:t>
      </w:r>
      <w:r>
        <w:t xml:space="preserve">The parties committed to exclude specific categories of products from the scope of their cooperation agreement. This remedy aims to prevent potential anti-competitive effects by ensuring that the cooperation does not extend to products that could significantly distort competition in the market. This exclusion is designed to maintain a competitive environment and protect supplier diversity. </w:t>
      </w:r>
      <w:hyperlink r:id="rId31" w:history="1">
        <w:r>
          <w:rPr>
            <w:rStyle w:val="Hyperlink"/>
          </w:rPr>
          <w:t>[1]</w:t>
        </w:r>
      </w:hyperlink>
    </w:p>
    <w:p w14:paraId="21EBFE84" w14:textId="77777777" w:rsidR="00535CAF" w:rsidRDefault="00000000">
      <w:pPr>
        <w:pStyle w:val="ListParagraph"/>
        <w:numPr>
          <w:ilvl w:val="0"/>
          <w:numId w:val="1"/>
        </w:numPr>
        <w:spacing w:after="120"/>
      </w:pPr>
      <w:r>
        <w:rPr>
          <w:b/>
          <w:bCs/>
        </w:rPr>
        <w:t xml:space="preserve">Limitation on Joint Purchasing: </w:t>
      </w:r>
      <w:r>
        <w:t xml:space="preserve">The parties agreed to limit their cooperation in joint purchasing to 15% of the upstream market when market characteristics justify it, particularly if Carrefour's market share exceeds 15%. This condition is intended to mitigate the risk of market power abuse and ensure that the cooperation does not lead to a significant reduction in competition among suppliers. The remedy is proportionate to the identified competition concerns and allows for flexibility based on market conditions. </w:t>
      </w:r>
      <w:hyperlink r:id="rId32" w:history="1">
        <w:r>
          <w:rPr>
            <w:rStyle w:val="Hyperlink"/>
          </w:rPr>
          <w:t>[1]</w:t>
        </w:r>
      </w:hyperlink>
    </w:p>
    <w:p w14:paraId="758FCC71" w14:textId="77777777" w:rsidR="00535CAF" w:rsidRDefault="00000000">
      <w:pPr>
        <w:pStyle w:val="ListParagraph"/>
        <w:numPr>
          <w:ilvl w:val="0"/>
          <w:numId w:val="1"/>
        </w:numPr>
        <w:spacing w:after="120"/>
      </w:pPr>
      <w:r>
        <w:rPr>
          <w:b/>
          <w:bCs/>
        </w:rPr>
        <w:t xml:space="preserve">Monitoring and Reporting Commitments: </w:t>
      </w:r>
      <w:r>
        <w:t xml:space="preserve">The parties are required to submit the names of individuals or institutions responsible for monitoring the implementation of the commitments. Additionally, they must provide a report detailing the suppliers consulted during joint tenders, including information on small and medium-sized enterprises (SMEs). This remedy is aimed at ensuring transparency and accountability in the implementation of the commitments, allowing the authority to verify compliance and assess the impact on competition. </w:t>
      </w:r>
      <w:hyperlink r:id="rId33" w:history="1">
        <w:r>
          <w:rPr>
            <w:rStyle w:val="Hyperlink"/>
          </w:rPr>
          <w:t>[1]</w:t>
        </w:r>
      </w:hyperlink>
    </w:p>
    <w:p w14:paraId="28A2F7A0" w14:textId="77777777" w:rsidR="00535CAF" w:rsidRDefault="00000000">
      <w:pPr>
        <w:spacing w:before="240" w:after="120"/>
      </w:pPr>
      <w:r>
        <w:rPr>
          <w:b/>
          <w:bCs/>
          <w:i/>
          <w:iCs/>
          <w:color w:val="1F4E5F"/>
        </w:rPr>
        <w:t>Conclusion</w:t>
      </w:r>
    </w:p>
    <w:p w14:paraId="0F02703F" w14:textId="77777777" w:rsidR="00535CAF" w:rsidRDefault="00000000">
      <w:pPr>
        <w:pStyle w:val="ListParagraph"/>
        <w:numPr>
          <w:ilvl w:val="0"/>
          <w:numId w:val="1"/>
        </w:numPr>
        <w:spacing w:after="120"/>
      </w:pPr>
      <w:r>
        <w:t xml:space="preserve">The Competition Authority accepted the commitments made by Carrefour and Tesco, which are now mandatory as part of the decision, addressing competition concerns related to their cooperation agreement </w:t>
      </w:r>
      <w:hyperlink r:id="rId34" w:history="1">
        <w:r>
          <w:rPr>
            <w:rStyle w:val="Hyperlink"/>
          </w:rPr>
          <w:t>[1]</w:t>
        </w:r>
      </w:hyperlink>
      <w:r>
        <w:t>.</w:t>
      </w:r>
    </w:p>
    <w:p w14:paraId="6B98E06C" w14:textId="77777777" w:rsidR="00535CAF" w:rsidRDefault="00000000">
      <w:pPr>
        <w:pStyle w:val="ListParagraph"/>
        <w:numPr>
          <w:ilvl w:val="0"/>
          <w:numId w:val="1"/>
        </w:numPr>
        <w:spacing w:after="120"/>
      </w:pPr>
      <w:r>
        <w:t xml:space="preserve">The commitments specifically pertain to the joint purchasing of private label products, allowing for a limited cooperation that does not exceed 15% of the upstream market when Carrefour's market share exceeds this threshold </w:t>
      </w:r>
      <w:hyperlink r:id="rId35" w:history="1">
        <w:r>
          <w:rPr>
            <w:rStyle w:val="Hyperlink"/>
          </w:rPr>
          <w:t>[1]</w:t>
        </w:r>
      </w:hyperlink>
      <w:r>
        <w:t>.</w:t>
      </w:r>
    </w:p>
    <w:p w14:paraId="62E690A2" w14:textId="77777777" w:rsidR="00535CAF" w:rsidRDefault="00000000">
      <w:pPr>
        <w:pStyle w:val="ListParagraph"/>
        <w:numPr>
          <w:ilvl w:val="0"/>
          <w:numId w:val="1"/>
        </w:numPr>
        <w:spacing w:after="120"/>
      </w:pPr>
      <w:r>
        <w:t xml:space="preserve">The commitments were enhanced following a market test, which indicated that the proposed measures were necessary, effective, and proportionate to address the identified competition risks </w:t>
      </w:r>
      <w:hyperlink r:id="rId36" w:history="1">
        <w:r>
          <w:rPr>
            <w:rStyle w:val="Hyperlink"/>
          </w:rPr>
          <w:t>[1]</w:t>
        </w:r>
      </w:hyperlink>
      <w:r>
        <w:t>.</w:t>
      </w:r>
    </w:p>
    <w:p w14:paraId="42478B5E" w14:textId="77777777" w:rsidR="00535CAF" w:rsidRDefault="00000000">
      <w:pPr>
        <w:pStyle w:val="ListParagraph"/>
        <w:numPr>
          <w:ilvl w:val="0"/>
          <w:numId w:val="1"/>
        </w:numPr>
        <w:spacing w:after="120"/>
      </w:pPr>
      <w:r>
        <w:t xml:space="preserve">The investigation revealed potential infringements of Article 101 TFEU and national competition laws, primarily concerning the upstream market for private label products, which could reduce suppliers' ability to innovate and invest </w:t>
      </w:r>
      <w:hyperlink r:id="rId37" w:history="1">
        <w:r>
          <w:rPr>
            <w:rStyle w:val="Hyperlink"/>
          </w:rPr>
          <w:t>[1]</w:t>
        </w:r>
      </w:hyperlink>
      <w:r>
        <w:t>.</w:t>
      </w:r>
    </w:p>
    <w:p w14:paraId="4DBA59EF" w14:textId="77777777" w:rsidR="00535CAF" w:rsidRDefault="00000000">
      <w:pPr>
        <w:pStyle w:val="ListParagraph"/>
        <w:numPr>
          <w:ilvl w:val="0"/>
          <w:numId w:val="1"/>
        </w:numPr>
        <w:spacing w:after="120"/>
      </w:pPr>
      <w:r>
        <w:t xml:space="preserve">The final commitments included provisions for monitoring and reporting, such as submitting the names of individuals responsible for overseeing the implementation and providing annual reports on supplier consultations </w:t>
      </w:r>
      <w:hyperlink r:id="rId38" w:history="1">
        <w:r>
          <w:rPr>
            <w:rStyle w:val="Hyperlink"/>
          </w:rPr>
          <w:t>[1]</w:t>
        </w:r>
      </w:hyperlink>
      <w:r>
        <w:t>.</w:t>
      </w:r>
    </w:p>
    <w:p w14:paraId="0118F5ED" w14:textId="77777777" w:rsidR="00535CAF" w:rsidRDefault="00000000">
      <w:pPr>
        <w:pStyle w:val="ListParagraph"/>
        <w:numPr>
          <w:ilvl w:val="0"/>
          <w:numId w:val="1"/>
        </w:numPr>
        <w:spacing w:after="120"/>
      </w:pPr>
      <w:r>
        <w:t xml:space="preserve">No fines were imposed in this case; instead, the focus was on ensuring compliance through the commitments rather than punitive measures </w:t>
      </w:r>
      <w:hyperlink r:id="rId39" w:history="1">
        <w:r>
          <w:rPr>
            <w:rStyle w:val="Hyperlink"/>
          </w:rPr>
          <w:t>[1]</w:t>
        </w:r>
      </w:hyperlink>
      <w:r>
        <w:t>.</w:t>
      </w:r>
    </w:p>
    <w:p w14:paraId="359F3F3E" w14:textId="77777777" w:rsidR="00535CAF" w:rsidRDefault="00000000">
      <w:pPr>
        <w:pStyle w:val="ListParagraph"/>
        <w:numPr>
          <w:ilvl w:val="0"/>
          <w:numId w:val="1"/>
        </w:numPr>
        <w:spacing w:after="120"/>
      </w:pPr>
      <w:r>
        <w:t xml:space="preserve">The decision concluded that the commitments provided a credible response to the competition concerns raised by the investigation services, allowing the parties to continue their cooperation under regulated conditions </w:t>
      </w:r>
      <w:hyperlink r:id="rId40" w:history="1">
        <w:r>
          <w:rPr>
            <w:rStyle w:val="Hyperlink"/>
          </w:rPr>
          <w:t>[1]</w:t>
        </w:r>
      </w:hyperlink>
      <w:r>
        <w:t>.</w:t>
      </w:r>
    </w:p>
    <w:p w14:paraId="394A0591" w14:textId="77777777" w:rsidR="00535CAF" w:rsidRDefault="00000000">
      <w:pPr>
        <w:spacing w:before="200" w:after="160"/>
      </w:pPr>
      <w:r>
        <w:rPr>
          <w:b/>
          <w:bCs/>
          <w:color w:val="1F4E5F"/>
        </w:rPr>
        <w:t>Relative des pratiques mises en œuvre dans le secteur de la distribution des produits - Case Number: Not specified - Involved Companies: ITME, LCB, Synadis Bio, Carrefour, Greenweez, ITM AI, CSF.</w:t>
      </w:r>
    </w:p>
    <w:p w14:paraId="67C45B06" w14:textId="77777777" w:rsidR="00535CAF" w:rsidRDefault="00000000">
      <w:pPr>
        <w:spacing w:before="240" w:after="120"/>
      </w:pPr>
      <w:r>
        <w:rPr>
          <w:b/>
          <w:bCs/>
          <w:i/>
          <w:iCs/>
          <w:color w:val="1F4E5F"/>
        </w:rPr>
        <w:t>Case Background</w:t>
      </w:r>
    </w:p>
    <w:p w14:paraId="72E4DCBA" w14:textId="77777777" w:rsidR="00535CAF" w:rsidRDefault="00000000">
      <w:pPr>
        <w:spacing w:after="160"/>
      </w:pPr>
      <w:r>
        <w:t xml:space="preserve">The allegation made in this case involves anti-competitive practices implemented by various companies, particularly focusing on the actions of Synadis Bio and its members. </w:t>
      </w:r>
      <w:hyperlink r:id="rId41" w:history="1">
        <w:r>
          <w:rPr>
            <w:rStyle w:val="Hyperlink"/>
          </w:rPr>
          <w:t>[2]</w:t>
        </w:r>
      </w:hyperlink>
    </w:p>
    <w:p w14:paraId="50F4CCD2" w14:textId="77777777" w:rsidR="00535CAF" w:rsidRDefault="00000000">
      <w:pPr>
        <w:spacing w:after="160"/>
      </w:pPr>
      <w:r>
        <w:t xml:space="preserve">The companies implicated include Les Mousquetaires, ITME, Carrefour SA, Greenweez, and CSF, among others. </w:t>
      </w:r>
      <w:hyperlink r:id="rId42" w:history="1">
        <w:r>
          <w:rPr>
            <w:rStyle w:val="Hyperlink"/>
          </w:rPr>
          <w:t>[2]</w:t>
        </w:r>
      </w:hyperlink>
    </w:p>
    <w:p w14:paraId="5A627ADD" w14:textId="77777777" w:rsidR="00535CAF" w:rsidRDefault="00000000">
      <w:pPr>
        <w:spacing w:after="160"/>
      </w:pPr>
      <w:r>
        <w:t xml:space="preserve">The case was initiated with the notification of grievances on October 11, 2024. </w:t>
      </w:r>
      <w:hyperlink r:id="rId43" w:history="1">
        <w:r>
          <w:rPr>
            <w:rStyle w:val="Hyperlink"/>
          </w:rPr>
          <w:t>[2]</w:t>
        </w:r>
      </w:hyperlink>
    </w:p>
    <w:p w14:paraId="0F1063AE" w14:textId="77777777" w:rsidR="00535CAF" w:rsidRDefault="00000000">
      <w:pPr>
        <w:spacing w:after="160"/>
      </w:pPr>
      <w:r>
        <w:t xml:space="preserve">The violation pertains to the establishment of a collective strategy aimed at segmenting organic product brands according to distribution channels, which was characterized as a single, complex, and continuous infringement of competition rules. This strategy involved discussions and decisions made during board meetings of Synadis Bio, where participants agreed not to "break the prices" of products sold in specialized organic stores, thereby restricting competition. </w:t>
      </w:r>
      <w:hyperlink r:id="rId44" w:history="1">
        <w:r>
          <w:rPr>
            <w:rStyle w:val="Hyperlink"/>
          </w:rPr>
          <w:t>[2]</w:t>
        </w:r>
      </w:hyperlink>
    </w:p>
    <w:p w14:paraId="02CCB333" w14:textId="77777777" w:rsidR="00535CAF" w:rsidRDefault="00000000">
      <w:pPr>
        <w:spacing w:before="240" w:after="120"/>
      </w:pPr>
      <w:r>
        <w:rPr>
          <w:b/>
          <w:bCs/>
          <w:i/>
          <w:iCs/>
          <w:color w:val="1F4E5F"/>
        </w:rPr>
        <w:t>Case Progression</w:t>
      </w:r>
    </w:p>
    <w:p w14:paraId="02036CB8" w14:textId="77777777" w:rsidR="00535CAF" w:rsidRDefault="00000000">
      <w:pPr>
        <w:pStyle w:val="ListParagraph"/>
        <w:numPr>
          <w:ilvl w:val="0"/>
          <w:numId w:val="1"/>
        </w:numPr>
        <w:spacing w:after="120"/>
      </w:pPr>
      <w:r>
        <w:rPr>
          <w:b/>
          <w:bCs/>
        </w:rPr>
        <w:t xml:space="preserve">Case Initiation: </w:t>
      </w:r>
      <w:r>
        <w:t xml:space="preserve">The case began with the identification of anti-competitive practices involving Synadis Bio and other entities in the distribution of organic products, particularly focusing on brand segmentation and price fixing. This initiation likely stemmed from complaints or market surveillance. </w:t>
      </w:r>
      <w:hyperlink r:id="rId45" w:history="1">
        <w:r>
          <w:rPr>
            <w:rStyle w:val="Hyperlink"/>
          </w:rPr>
          <w:t>[2]</w:t>
        </w:r>
      </w:hyperlink>
    </w:p>
    <w:p w14:paraId="586E835F" w14:textId="77777777" w:rsidR="00535CAF" w:rsidRDefault="00000000">
      <w:pPr>
        <w:pStyle w:val="ListParagraph"/>
        <w:numPr>
          <w:ilvl w:val="0"/>
          <w:numId w:val="1"/>
        </w:numPr>
        <w:spacing w:after="120"/>
      </w:pPr>
      <w:r>
        <w:rPr>
          <w:b/>
          <w:bCs/>
        </w:rPr>
        <w:t xml:space="preserve">Preliminary Investigation: </w:t>
      </w:r>
      <w:r>
        <w:t xml:space="preserve">During this phase, evidence was gathered regarding the practices implemented by Synadis Bio and its affiliates, including discussions from board meetings that indicated an anti-competitive intent. The investigation found sufficient evidence to proceed, as it was established that the practices were ongoing and involved multiple parties. </w:t>
      </w:r>
      <w:hyperlink r:id="rId46" w:history="1">
        <w:r>
          <w:rPr>
            <w:rStyle w:val="Hyperlink"/>
          </w:rPr>
          <w:t>[2]</w:t>
        </w:r>
      </w:hyperlink>
    </w:p>
    <w:p w14:paraId="22B2AAA7" w14:textId="77777777" w:rsidR="00535CAF" w:rsidRDefault="00000000">
      <w:pPr>
        <w:pStyle w:val="ListParagraph"/>
        <w:numPr>
          <w:ilvl w:val="0"/>
          <w:numId w:val="1"/>
        </w:numPr>
        <w:spacing w:after="120"/>
      </w:pPr>
      <w:r>
        <w:rPr>
          <w:b/>
          <w:bCs/>
        </w:rPr>
        <w:t xml:space="preserve">Statement of Objections issued: </w:t>
      </w:r>
      <w:r>
        <w:t xml:space="preserve">A formal statement was issued detailing the findings of the investigation, including the specific anti-competitive behaviors attributed to Synadis Bio and its affiliates, such as the commitment to not break prices among large distribution brands. This document outlined the legal basis for the allegations under EU competition law. </w:t>
      </w:r>
      <w:hyperlink r:id="rId47" w:history="1">
        <w:r>
          <w:rPr>
            <w:rStyle w:val="Hyperlink"/>
          </w:rPr>
          <w:t>[2]</w:t>
        </w:r>
      </w:hyperlink>
    </w:p>
    <w:p w14:paraId="3B497E04" w14:textId="77777777" w:rsidR="00535CAF" w:rsidRDefault="00000000">
      <w:pPr>
        <w:pStyle w:val="ListParagraph"/>
        <w:numPr>
          <w:ilvl w:val="0"/>
          <w:numId w:val="1"/>
        </w:numPr>
        <w:spacing w:after="120"/>
      </w:pPr>
      <w:r>
        <w:rPr>
          <w:b/>
          <w:bCs/>
        </w:rPr>
        <w:t xml:space="preserve">Defense Phase: </w:t>
      </w:r>
      <w:r>
        <w:t xml:space="preserve">The entities involved were given the opportunity to respond to the Statement of Objections, which included a written response and an oral hearing. The defense phase allowed the companies to present their arguments and evidence, although it was noted that ITM AI did not participate in the relevant meetings, which weakened its defense. </w:t>
      </w:r>
      <w:hyperlink r:id="rId48" w:history="1">
        <w:r>
          <w:rPr>
            <w:rStyle w:val="Hyperlink"/>
          </w:rPr>
          <w:t>[2]</w:t>
        </w:r>
      </w:hyperlink>
    </w:p>
    <w:p w14:paraId="0D7445E2" w14:textId="77777777" w:rsidR="00535CAF" w:rsidRDefault="00000000">
      <w:pPr>
        <w:pStyle w:val="ListParagraph"/>
        <w:numPr>
          <w:ilvl w:val="0"/>
          <w:numId w:val="1"/>
        </w:numPr>
        <w:spacing w:after="120"/>
      </w:pPr>
      <w:r>
        <w:rPr>
          <w:b/>
          <w:bCs/>
        </w:rPr>
        <w:t xml:space="preserve">Commission Decision: </w:t>
      </w:r>
      <w:r>
        <w:t xml:space="preserve">Following the defense phase, the Commission made a decision regarding the infringement. It was determined that Synadis Bio and its affiliates had engaged in practices that distorted competition, leading to the imposition of fines. The decision emphasized the serious nature of the anti-competitive practices and the need for sanctions. </w:t>
      </w:r>
      <w:hyperlink r:id="rId49" w:history="1">
        <w:r>
          <w:rPr>
            <w:rStyle w:val="Hyperlink"/>
          </w:rPr>
          <w:t>[2]</w:t>
        </w:r>
      </w:hyperlink>
    </w:p>
    <w:p w14:paraId="40A9AE31" w14:textId="77777777" w:rsidR="00535CAF" w:rsidRDefault="00000000">
      <w:pPr>
        <w:pStyle w:val="ListParagraph"/>
        <w:numPr>
          <w:ilvl w:val="0"/>
          <w:numId w:val="1"/>
        </w:numPr>
        <w:spacing w:after="120"/>
      </w:pPr>
      <w:r>
        <w:rPr>
          <w:b/>
          <w:bCs/>
        </w:rPr>
        <w:t xml:space="preserve">Company decides: </w:t>
      </w:r>
      <w:r>
        <w:t xml:space="preserve">After the Commission's decision, the companies involved had the option to accept the findings and pay the fines or to appeal the decision. The case indicated that LCB and ITME were liable for their participation in the board meeting, while ITM AI was excluded from liability due to lack of evidence of its involvement. </w:t>
      </w:r>
      <w:hyperlink r:id="rId50" w:history="1">
        <w:r>
          <w:rPr>
            <w:rStyle w:val="Hyperlink"/>
          </w:rPr>
          <w:t>[2]</w:t>
        </w:r>
      </w:hyperlink>
    </w:p>
    <w:p w14:paraId="488C6564" w14:textId="77777777" w:rsidR="00535CAF" w:rsidRDefault="00000000">
      <w:pPr>
        <w:spacing w:before="240" w:after="120"/>
      </w:pPr>
      <w:r>
        <w:rPr>
          <w:b/>
          <w:bCs/>
          <w:i/>
          <w:iCs/>
          <w:color w:val="1F4E5F"/>
        </w:rPr>
        <w:t>Market Definition</w:t>
      </w:r>
    </w:p>
    <w:p w14:paraId="4D1A9421" w14:textId="77777777" w:rsidR="00535CAF" w:rsidRDefault="00000000">
      <w:pPr>
        <w:spacing w:after="160"/>
      </w:pPr>
      <w:r>
        <w:t xml:space="preserve">The market for products or services was defined by determining whether the products were considered interchangeable or substitutable by buyers based on characteristics, price, and use. </w:t>
      </w:r>
      <w:hyperlink r:id="rId51" w:history="1">
        <w:r>
          <w:rPr>
            <w:rStyle w:val="Hyperlink"/>
          </w:rPr>
          <w:t>[2]</w:t>
        </w:r>
      </w:hyperlink>
    </w:p>
    <w:p w14:paraId="0FB197EC" w14:textId="77777777" w:rsidR="00535CAF" w:rsidRDefault="00000000">
      <w:pPr>
        <w:spacing w:after="160"/>
      </w:pPr>
      <w:r>
        <w:t xml:space="preserve">The geographic market was identified as the territory where the companies offered or requested the products, ensuring competitive conditions were sufficiently homogeneous for assessment. </w:t>
      </w:r>
      <w:hyperlink r:id="rId52" w:history="1">
        <w:r>
          <w:rPr>
            <w:rStyle w:val="Hyperlink"/>
          </w:rPr>
          <w:t>[2]</w:t>
        </w:r>
      </w:hyperlink>
    </w:p>
    <w:p w14:paraId="2B1DFBB9" w14:textId="77777777" w:rsidR="00535CAF" w:rsidRDefault="00000000">
      <w:pPr>
        <w:spacing w:after="160"/>
      </w:pPr>
      <w:r>
        <w:t xml:space="preserve">The Authority recognized a national supply market for organic products distinct from conventional products, leaving open the question of segmentation by distribution channel. </w:t>
      </w:r>
      <w:hyperlink r:id="rId53" w:history="1">
        <w:r>
          <w:rPr>
            <w:rStyle w:val="Hyperlink"/>
          </w:rPr>
          <w:t>[2]</w:t>
        </w:r>
      </w:hyperlink>
    </w:p>
    <w:p w14:paraId="384EAA85" w14:textId="77777777" w:rsidR="00535CAF" w:rsidRDefault="00000000">
      <w:pPr>
        <w:spacing w:after="160"/>
      </w:pPr>
      <w:r>
        <w:t xml:space="preserve">A specific market for the retail distribution of organic products was identified, with a distinction made between GSS and GSA channels, emphasizing that brands could not be marketed interchangeably between these channels. </w:t>
      </w:r>
      <w:hyperlink r:id="rId54" w:history="1">
        <w:r>
          <w:rPr>
            <w:rStyle w:val="Hyperlink"/>
          </w:rPr>
          <w:t>[2]</w:t>
        </w:r>
      </w:hyperlink>
    </w:p>
    <w:p w14:paraId="3CF080A4" w14:textId="77777777" w:rsidR="00535CAF" w:rsidRDefault="00000000">
      <w:pPr>
        <w:spacing w:after="160"/>
      </w:pPr>
      <w:r>
        <w:t xml:space="preserve">The Authority concluded that even if a distinct market for GSS existed, it would remain contestable due to competitive pressure from GSA, indicating a dynamic competitive landscape. </w:t>
      </w:r>
      <w:hyperlink r:id="rId55" w:history="1">
        <w:r>
          <w:rPr>
            <w:rStyle w:val="Hyperlink"/>
          </w:rPr>
          <w:t>[2]</w:t>
        </w:r>
      </w:hyperlink>
    </w:p>
    <w:p w14:paraId="7183E2A0" w14:textId="77777777" w:rsidR="00535CAF" w:rsidRDefault="00000000">
      <w:pPr>
        <w:spacing w:after="160"/>
      </w:pPr>
      <w:r>
        <w:t xml:space="preserve">The practices were assessed under the prohibition of agreements without the need for precise market delineation, as long as the sectors were sufficiently identified to evaluate the impact on competition. </w:t>
      </w:r>
      <w:hyperlink r:id="rId56" w:history="1">
        <w:r>
          <w:rPr>
            <w:rStyle w:val="Hyperlink"/>
          </w:rPr>
          <w:t>[2]</w:t>
        </w:r>
      </w:hyperlink>
    </w:p>
    <w:p w14:paraId="6B9A062A" w14:textId="77777777" w:rsidR="00535CAF" w:rsidRDefault="00000000">
      <w:pPr>
        <w:spacing w:after="160"/>
      </w:pPr>
      <w:r>
        <w:t xml:space="preserve">The differentiation of brands according to distribution channels was a key factor in understanding the competitive dynamics and potential market segmentation, influencing the legal qualification of the practices. </w:t>
      </w:r>
      <w:hyperlink r:id="rId57" w:history="1">
        <w:r>
          <w:rPr>
            <w:rStyle w:val="Hyperlink"/>
          </w:rPr>
          <w:t>[2]</w:t>
        </w:r>
      </w:hyperlink>
    </w:p>
    <w:p w14:paraId="0EEB64C9" w14:textId="77777777" w:rsidR="00535CAF" w:rsidRDefault="00000000">
      <w:pPr>
        <w:spacing w:before="240" w:after="120"/>
      </w:pPr>
      <w:r>
        <w:rPr>
          <w:b/>
          <w:bCs/>
          <w:i/>
          <w:iCs/>
          <w:color w:val="1F4E5F"/>
        </w:rPr>
        <w:t>Theories of Harm</w:t>
      </w:r>
    </w:p>
    <w:p w14:paraId="7786194E" w14:textId="77777777" w:rsidR="00535CAF" w:rsidRDefault="00000000">
      <w:pPr>
        <w:pStyle w:val="ListParagraph"/>
        <w:numPr>
          <w:ilvl w:val="0"/>
          <w:numId w:val="1"/>
        </w:numPr>
        <w:spacing w:after="120"/>
      </w:pPr>
      <w:r>
        <w:rPr>
          <w:b/>
          <w:bCs/>
        </w:rPr>
        <w:t xml:space="preserve">Market Partitioning: </w:t>
      </w:r>
      <w:r>
        <w:t xml:space="preserve">This theory of harm suggests that the practices in question artificially divided the market by allocating brands of organic food products between different distribution channels (GSS and GSA), thereby limiting competition. The agreement aimed to prevent competition between distributors in these channels, which distorted the competitive process. This is supported by the fact that the practices began on November 18, 2016, and were structured by a national professional organization, Synadis Bio, representing over 70% of specialized distributors, indicating a significant impact on market dynamics. </w:t>
      </w:r>
      <w:hyperlink r:id="rId58" w:history="1">
        <w:r>
          <w:rPr>
            <w:rStyle w:val="Hyperlink"/>
          </w:rPr>
          <w:t>[2]</w:t>
        </w:r>
      </w:hyperlink>
    </w:p>
    <w:p w14:paraId="6E85BE91" w14:textId="77777777" w:rsidR="00535CAF" w:rsidRDefault="00000000">
      <w:pPr>
        <w:pStyle w:val="ListParagraph"/>
        <w:numPr>
          <w:ilvl w:val="0"/>
          <w:numId w:val="1"/>
        </w:numPr>
        <w:spacing w:after="120"/>
      </w:pPr>
      <w:r>
        <w:rPr>
          <w:b/>
          <w:bCs/>
        </w:rPr>
        <w:t xml:space="preserve">Intra-brand and Inter-brand Competition Limitation: </w:t>
      </w:r>
      <w:r>
        <w:t xml:space="preserve">This theory posits that the agreement restricted both intra-brand (competition among products of the same brand) and inter- brand (competition among different brands) competition. The practices were designed to limit the presence of certain brands in specific channels, which affected pricing and consumer choice. The analysis highlighted that the practices limited competition on prices and affected essential parameters of competition, demonstrating a real degree of harm to competition. </w:t>
      </w:r>
      <w:hyperlink r:id="rId59" w:history="1">
        <w:r>
          <w:rPr>
            <w:rStyle w:val="Hyperlink"/>
          </w:rPr>
          <w:t>[2]</w:t>
        </w:r>
      </w:hyperlink>
    </w:p>
    <w:p w14:paraId="1BECBCFC" w14:textId="77777777" w:rsidR="00535CAF" w:rsidRDefault="00000000">
      <w:pPr>
        <w:pStyle w:val="ListParagraph"/>
        <w:numPr>
          <w:ilvl w:val="0"/>
          <w:numId w:val="1"/>
        </w:numPr>
        <w:spacing w:after="120"/>
      </w:pPr>
      <w:r>
        <w:rPr>
          <w:b/>
          <w:bCs/>
        </w:rPr>
        <w:t xml:space="preserve">Collective Strategy and Anti-competitive Intent: </w:t>
      </w:r>
      <w:r>
        <w:t xml:space="preserve">This theory focuses on the collective strategy adopted by the companies involved, which had an explicit anti-competitive objective. Evidence from board meetings indicated discussions aimed at maintaining price levels and not competing on prices within the GSS channel. The active participation of companies like ITME in these discussions further illustrated the anti-competitive intent behind the practices, reinforcing the notion that the companies were working together to restrict competition. </w:t>
      </w:r>
      <w:hyperlink r:id="rId60" w:history="1">
        <w:r>
          <w:rPr>
            <w:rStyle w:val="Hyperlink"/>
          </w:rPr>
          <w:t>[2]</w:t>
        </w:r>
      </w:hyperlink>
    </w:p>
    <w:p w14:paraId="641AD035" w14:textId="77777777" w:rsidR="00535CAF" w:rsidRDefault="00000000">
      <w:pPr>
        <w:spacing w:before="240" w:after="120"/>
      </w:pPr>
      <w:r>
        <w:rPr>
          <w:b/>
          <w:bCs/>
          <w:i/>
          <w:iCs/>
          <w:color w:val="1F4E5F"/>
        </w:rPr>
        <w:t>Legal &amp; Economic Tests</w:t>
      </w:r>
    </w:p>
    <w:p w14:paraId="73B27816" w14:textId="77777777" w:rsidR="00535CAF" w:rsidRDefault="00000000">
      <w:pPr>
        <w:pStyle w:val="ListParagraph"/>
        <w:numPr>
          <w:ilvl w:val="0"/>
          <w:numId w:val="1"/>
        </w:numPr>
        <w:spacing w:after="120"/>
      </w:pPr>
      <w:r>
        <w:rPr>
          <w:b/>
          <w:bCs/>
        </w:rPr>
        <w:t xml:space="preserve">Applicability of Union Law Test: </w:t>
      </w:r>
      <w:r>
        <w:t xml:space="preserve">This test assesses whether the practices in question significantly affect trade between Member States of the Union. It requires three elements: the existence of a flow of exchanges between States concerning the products, practices likely to affect these exchanges, and the significant nature of this effect. In this case, the practices were found to cover the entire national territory and were structured by a national professional organization, indicating a substantial impact on competition. </w:t>
      </w:r>
      <w:hyperlink r:id="rId61" w:history="1">
        <w:r>
          <w:rPr>
            <w:rStyle w:val="Hyperlink"/>
          </w:rPr>
          <w:t>[2]</w:t>
        </w:r>
      </w:hyperlink>
    </w:p>
    <w:p w14:paraId="20B5E758" w14:textId="77777777" w:rsidR="00535CAF" w:rsidRDefault="00000000">
      <w:pPr>
        <w:pStyle w:val="ListParagraph"/>
        <w:numPr>
          <w:ilvl w:val="0"/>
          <w:numId w:val="1"/>
        </w:numPr>
        <w:spacing w:after="120"/>
      </w:pPr>
      <w:r>
        <w:rPr>
          <w:b/>
          <w:bCs/>
        </w:rPr>
        <w:t xml:space="preserve">Relevant Market Definition Test: </w:t>
      </w:r>
      <w:r>
        <w:t xml:space="preserve">This test determines whether the products or services are interchangeable or substitutable based on characteristics, price, and use. The geographic market is also defined to assess competitive conditions. In this case, the Authority recognized distinct markets for organic products and concluded that segmentation between distribution channels was not necessary for assessing the impact of the practices on competition. </w:t>
      </w:r>
      <w:hyperlink r:id="rId62" w:history="1">
        <w:r>
          <w:rPr>
            <w:rStyle w:val="Hyperlink"/>
          </w:rPr>
          <w:t>[2]</w:t>
        </w:r>
      </w:hyperlink>
    </w:p>
    <w:p w14:paraId="7D78DE7A" w14:textId="77777777" w:rsidR="00535CAF" w:rsidRDefault="00000000">
      <w:pPr>
        <w:pStyle w:val="ListParagraph"/>
        <w:numPr>
          <w:ilvl w:val="0"/>
          <w:numId w:val="1"/>
        </w:numPr>
        <w:spacing w:after="120"/>
      </w:pPr>
      <w:r>
        <w:rPr>
          <w:b/>
          <w:bCs/>
        </w:rPr>
        <w:t xml:space="preserve">Individual Exemption Criteria Test: </w:t>
      </w:r>
      <w:r>
        <w:t xml:space="preserve">This test evaluates whether practices that restrict competition can benefit from an exemption under specific conditions. Four criteria must be satisfied: the reality of economic progress, the indispensable nature of the practices to achieve it, the existence of a benefit for consumers, and the absence of elimination of all competition. The burden of proof lies with the party invoking the exemption. In this case, the practices were scrutinized to determine if they could qualify for such an exemption, but the conditions were not met. </w:t>
      </w:r>
      <w:hyperlink r:id="rId63" w:history="1">
        <w:r>
          <w:rPr>
            <w:rStyle w:val="Hyperlink"/>
          </w:rPr>
          <w:t>[2]</w:t>
        </w:r>
      </w:hyperlink>
    </w:p>
    <w:p w14:paraId="20FBE16A" w14:textId="77777777" w:rsidR="00535CAF" w:rsidRDefault="00000000">
      <w:pPr>
        <w:spacing w:before="240" w:after="120"/>
      </w:pPr>
      <w:r>
        <w:rPr>
          <w:b/>
          <w:bCs/>
          <w:i/>
          <w:iCs/>
          <w:color w:val="1F4E5F"/>
        </w:rPr>
        <w:t>Remedies</w:t>
      </w:r>
    </w:p>
    <w:p w14:paraId="7A0352FB" w14:textId="77777777" w:rsidR="00535CAF" w:rsidRDefault="00000000">
      <w:pPr>
        <w:pStyle w:val="ListParagraph"/>
        <w:numPr>
          <w:ilvl w:val="0"/>
          <w:numId w:val="1"/>
        </w:numPr>
        <w:spacing w:after="120"/>
      </w:pPr>
      <w:r>
        <w:rPr>
          <w:b/>
          <w:bCs/>
        </w:rPr>
        <w:t xml:space="preserve">Monetary Sanctions: </w:t>
      </w:r>
      <w:r>
        <w:t xml:space="preserve">The Authority has the power to impose monetary sanctions on companies and associations that engage in anti-competitive practices as prohibited by Articles L. 420-1 of the Commercial Code and Article 101 TFEU. The sanctions are assessed based on the seriousness and duration of the infringement, the situation of the sanctioned company or group, and any recurrence of prohibited practices. This ensures that the penalties are proportionate and serve as a deterrent. </w:t>
      </w:r>
      <w:hyperlink r:id="rId64" w:history="1">
        <w:r>
          <w:rPr>
            <w:rStyle w:val="Hyperlink"/>
          </w:rPr>
          <w:t>[2]</w:t>
        </w:r>
      </w:hyperlink>
    </w:p>
    <w:p w14:paraId="6C935F37" w14:textId="77777777" w:rsidR="00535CAF" w:rsidRDefault="00000000">
      <w:pPr>
        <w:pStyle w:val="ListParagraph"/>
        <w:numPr>
          <w:ilvl w:val="0"/>
          <w:numId w:val="1"/>
        </w:numPr>
        <w:spacing w:after="120"/>
      </w:pPr>
      <w:r>
        <w:rPr>
          <w:b/>
          <w:bCs/>
        </w:rPr>
        <w:t xml:space="preserve">Contribution from Members: </w:t>
      </w:r>
      <w:r>
        <w:t xml:space="preserve">In cases where an association of companies is sanctioned, the Authority may require the association to call on its members for contributions to cover the financial penalty. If these contributions are not paid, the Authority can directly require payment from any enterprise whose representatives were part of the decision-making bodies of the association. This provision ensures that the financial burden of the penalty is shared among the members involved in the anti-competitive practices. </w:t>
      </w:r>
      <w:hyperlink r:id="rId65" w:history="1">
        <w:r>
          <w:rPr>
            <w:rStyle w:val="Hyperlink"/>
          </w:rPr>
          <w:t>[2]</w:t>
        </w:r>
      </w:hyperlink>
    </w:p>
    <w:p w14:paraId="6CB8C0E1" w14:textId="77777777" w:rsidR="00535CAF" w:rsidRDefault="00000000">
      <w:pPr>
        <w:pStyle w:val="ListParagraph"/>
        <w:numPr>
          <w:ilvl w:val="0"/>
          <w:numId w:val="1"/>
        </w:numPr>
        <w:spacing w:after="120"/>
      </w:pPr>
      <w:r>
        <w:rPr>
          <w:b/>
          <w:bCs/>
        </w:rPr>
        <w:t xml:space="preserve">Exclusion from Liability: </w:t>
      </w:r>
      <w:r>
        <w:t xml:space="preserve">The case also highlights that certain entities, such as ITM AI, were excluded from liability due to a lack of evidence demonstrating their participation in the anti-competitive practices. This underscores the principle that liability must be established based on direct involvement or a clear link to the infringement, ensuring that only those who actively participated in the anti-competitive behavior are held accountable. </w:t>
      </w:r>
      <w:hyperlink r:id="rId66" w:history="1">
        <w:r>
          <w:rPr>
            <w:rStyle w:val="Hyperlink"/>
          </w:rPr>
          <w:t>[2]</w:t>
        </w:r>
      </w:hyperlink>
    </w:p>
    <w:p w14:paraId="06CC7A58" w14:textId="77777777" w:rsidR="00535CAF" w:rsidRDefault="00000000">
      <w:pPr>
        <w:spacing w:before="240" w:after="120"/>
      </w:pPr>
      <w:r>
        <w:rPr>
          <w:b/>
          <w:bCs/>
          <w:i/>
          <w:iCs/>
          <w:color w:val="1F4E5F"/>
        </w:rPr>
        <w:t>Conclusion</w:t>
      </w:r>
    </w:p>
    <w:p w14:paraId="6D7E2628" w14:textId="77777777" w:rsidR="00535CAF" w:rsidRDefault="00000000">
      <w:pPr>
        <w:pStyle w:val="ListParagraph"/>
        <w:numPr>
          <w:ilvl w:val="0"/>
          <w:numId w:val="1"/>
        </w:numPr>
        <w:spacing w:after="120"/>
      </w:pPr>
      <w:r>
        <w:t xml:space="preserve">The practices implemented by Synadis Bio, Carrefour, and ITM were found to have anti- competitive intent, characterized by agreements to "not break the prices" practiced by GSS, which violated competition law </w:t>
      </w:r>
      <w:hyperlink r:id="rId67" w:history="1">
        <w:r>
          <w:rPr>
            <w:rStyle w:val="Hyperlink"/>
          </w:rPr>
          <w:t>[2]</w:t>
        </w:r>
      </w:hyperlink>
      <w:r>
        <w:t>.</w:t>
      </w:r>
    </w:p>
    <w:p w14:paraId="1B8AC279" w14:textId="77777777" w:rsidR="00535CAF" w:rsidRDefault="00000000">
      <w:pPr>
        <w:pStyle w:val="ListParagraph"/>
        <w:numPr>
          <w:ilvl w:val="0"/>
          <w:numId w:val="1"/>
        </w:numPr>
        <w:spacing w:after="120"/>
      </w:pPr>
      <w:r>
        <w:t xml:space="preserve">The Authority established that the practices constituted serious restrictions on intra-brand competition, justifying the severity of the sanctions despite claims of their novel character </w:t>
      </w:r>
      <w:hyperlink r:id="rId68" w:history="1">
        <w:r>
          <w:rPr>
            <w:rStyle w:val="Hyperlink"/>
          </w:rPr>
          <w:t>[2]</w:t>
        </w:r>
      </w:hyperlink>
      <w:r>
        <w:t>.</w:t>
      </w:r>
    </w:p>
    <w:p w14:paraId="35534BD6" w14:textId="77777777" w:rsidR="00535CAF" w:rsidRDefault="00000000">
      <w:pPr>
        <w:pStyle w:val="ListParagraph"/>
        <w:numPr>
          <w:ilvl w:val="0"/>
          <w:numId w:val="1"/>
        </w:numPr>
        <w:spacing w:after="120"/>
      </w:pPr>
      <w:r>
        <w:t xml:space="preserve">The duration of the infringement was determined for various entities: Synadis Bio from March 31, 2017, to October 11, 2024; Greenweez from March 31, 2017, to March 8, 2018; and ITME and LCB on June 6, 2018 </w:t>
      </w:r>
      <w:hyperlink r:id="rId69" w:history="1">
        <w:r>
          <w:rPr>
            <w:rStyle w:val="Hyperlink"/>
          </w:rPr>
          <w:t>[2]</w:t>
        </w:r>
      </w:hyperlink>
      <w:r>
        <w:t>.</w:t>
      </w:r>
    </w:p>
    <w:p w14:paraId="57912D34" w14:textId="77777777" w:rsidR="00535CAF" w:rsidRDefault="00000000">
      <w:pPr>
        <w:pStyle w:val="ListParagraph"/>
        <w:numPr>
          <w:ilvl w:val="0"/>
          <w:numId w:val="1"/>
        </w:numPr>
        <w:spacing w:after="120"/>
      </w:pPr>
      <w:r>
        <w:t xml:space="preserve">Individual sanctions were to be determined based on the specific circumstances of each company, considering mitigating or aggravating factors, as well as the economic power of the companies involved </w:t>
      </w:r>
      <w:hyperlink r:id="rId70" w:history="1">
        <w:r>
          <w:rPr>
            <w:rStyle w:val="Hyperlink"/>
          </w:rPr>
          <w:t>[2]</w:t>
        </w:r>
      </w:hyperlink>
      <w:r>
        <w:t>.</w:t>
      </w:r>
    </w:p>
    <w:p w14:paraId="77800345" w14:textId="77777777" w:rsidR="00535CAF" w:rsidRDefault="00000000">
      <w:pPr>
        <w:pStyle w:val="ListParagraph"/>
        <w:numPr>
          <w:ilvl w:val="0"/>
          <w:numId w:val="1"/>
        </w:numPr>
        <w:spacing w:after="120"/>
      </w:pPr>
      <w:r>
        <w:t xml:space="preserve">The Authority concluded that the parent companies, such as Carrefour SA, could be held liable for the actions of their subsidiaries due to the presumption of a determining influence over their behavior, which was supported by their capital links </w:t>
      </w:r>
      <w:hyperlink r:id="rId71" w:history="1">
        <w:r>
          <w:rPr>
            <w:rStyle w:val="Hyperlink"/>
          </w:rPr>
          <w:t>[2]</w:t>
        </w:r>
      </w:hyperlink>
      <w:r>
        <w:t>.</w:t>
      </w:r>
    </w:p>
    <w:p w14:paraId="050A770A" w14:textId="77777777" w:rsidR="00535CAF" w:rsidRDefault="00000000">
      <w:pPr>
        <w:pStyle w:val="ListParagraph"/>
        <w:numPr>
          <w:ilvl w:val="0"/>
          <w:numId w:val="1"/>
        </w:numPr>
        <w:spacing w:after="120"/>
      </w:pPr>
      <w:r>
        <w:t xml:space="preserve">ITM AI was excluded from liability as there was no evidence of its participation in the anti- competitive practices, highlighting the necessity of direct involvement for attribution of responsibility </w:t>
      </w:r>
      <w:hyperlink r:id="rId72" w:history="1">
        <w:r>
          <w:rPr>
            <w:rStyle w:val="Hyperlink"/>
          </w:rPr>
          <w:t>[2]</w:t>
        </w:r>
      </w:hyperlink>
      <w:r>
        <w:t>.</w:t>
      </w:r>
    </w:p>
    <w:p w14:paraId="7D856F9B" w14:textId="77777777" w:rsidR="00535CAF" w:rsidRDefault="00000000">
      <w:pPr>
        <w:pStyle w:val="ListParagraph"/>
        <w:numPr>
          <w:ilvl w:val="0"/>
          <w:numId w:val="1"/>
        </w:numPr>
        <w:spacing w:after="120"/>
      </w:pPr>
      <w:r>
        <w:t xml:space="preserve">The case law established that the mere existence of a subsidiary relationship does not automatically imply liability for the parent company unless it can be shown that the subsidiary did not autonomously determine its market behavior </w:t>
      </w:r>
      <w:hyperlink r:id="rId73" w:history="1">
        <w:r>
          <w:rPr>
            <w:rStyle w:val="Hyperlink"/>
          </w:rPr>
          <w:t>[2]</w:t>
        </w:r>
      </w:hyperlink>
      <w:r>
        <w:t>.</w:t>
      </w:r>
    </w:p>
    <w:p w14:paraId="03177743" w14:textId="77777777" w:rsidR="00535CAF" w:rsidRDefault="00000000">
      <w:pPr>
        <w:spacing w:before="200" w:after="160"/>
      </w:pPr>
      <w:r>
        <w:rPr>
          <w:b/>
          <w:bCs/>
          <w:color w:val="1F4E5F"/>
        </w:rPr>
        <w:t>Decision No. 10-D-08 regarding practices implemented by Carrefour in the sector of proximity general food trade.</w:t>
      </w:r>
    </w:p>
    <w:p w14:paraId="3646F2D2" w14:textId="77777777" w:rsidR="00535CAF" w:rsidRDefault="00000000">
      <w:pPr>
        <w:spacing w:before="240" w:after="120"/>
      </w:pPr>
      <w:r>
        <w:rPr>
          <w:b/>
          <w:bCs/>
          <w:i/>
          <w:iCs/>
          <w:color w:val="1F4E5F"/>
        </w:rPr>
        <w:t>Case Background</w:t>
      </w:r>
    </w:p>
    <w:p w14:paraId="5ADE45F2" w14:textId="77777777" w:rsidR="00535CAF" w:rsidRDefault="00000000">
      <w:pPr>
        <w:spacing w:after="160"/>
      </w:pPr>
      <w:r>
        <w:t xml:space="preserve">The allegation made is that Carrefour has abused the state of economic dependence of its proximity franchisees of the Shopi, 8 à Huit, and Marché Plus brands by imposing unjustified and excessive restrictions on franchisees wishing to leave the Carrefour proximity network. This includes excessive non-re-affiliation clauses and various means of pressure against franchisees. </w:t>
      </w:r>
      <w:hyperlink r:id="rId74" w:history="1">
        <w:r>
          <w:rPr>
            <w:rStyle w:val="Hyperlink"/>
          </w:rPr>
          <w:t>[3]</w:t>
        </w:r>
      </w:hyperlink>
    </w:p>
    <w:p w14:paraId="1C2E35B9" w14:textId="77777777" w:rsidR="00535CAF" w:rsidRDefault="00000000">
      <w:pPr>
        <w:spacing w:after="160"/>
      </w:pPr>
      <w:r>
        <w:t xml:space="preserve">The company against which the allegations are made is Carrefour S.A. </w:t>
      </w:r>
      <w:hyperlink r:id="rId75" w:history="1">
        <w:r>
          <w:rPr>
            <w:rStyle w:val="Hyperlink"/>
          </w:rPr>
          <w:t>[3]</w:t>
        </w:r>
      </w:hyperlink>
    </w:p>
    <w:p w14:paraId="33CFC7C2" w14:textId="77777777" w:rsidR="00535CAF" w:rsidRDefault="00000000">
      <w:pPr>
        <w:spacing w:after="160"/>
      </w:pPr>
      <w:r>
        <w:t xml:space="preserve">The year of case initiation was 2007, as indicated by the letter registered on June 6, 2007, which referred the practices to the Competition Council. </w:t>
      </w:r>
      <w:hyperlink r:id="rId76" w:history="1">
        <w:r>
          <w:rPr>
            <w:rStyle w:val="Hyperlink"/>
          </w:rPr>
          <w:t>[3]</w:t>
        </w:r>
      </w:hyperlink>
    </w:p>
    <w:p w14:paraId="452F373E" w14:textId="77777777" w:rsidR="00535CAF" w:rsidRDefault="00000000">
      <w:pPr>
        <w:spacing w:after="160"/>
      </w:pPr>
      <w:r>
        <w:t xml:space="preserve">The violation pertains to Article L. 420-2 of the Commercial Code, which prohibits practices that distort competition. The alleged conduct involved imposing restrictions that limited franchisees' freedom of supply and pricing, thereby distorting competition in the proximity retail distribution markets predominantly focused on food. These practices reportedly intensified following the merger between Carrefour and Promodès in 2000. </w:t>
      </w:r>
      <w:hyperlink r:id="rId77" w:history="1">
        <w:r>
          <w:rPr>
            <w:rStyle w:val="Hyperlink"/>
          </w:rPr>
          <w:t>[3]</w:t>
        </w:r>
      </w:hyperlink>
    </w:p>
    <w:p w14:paraId="3F67103A" w14:textId="77777777" w:rsidR="00535CAF" w:rsidRDefault="00000000">
      <w:pPr>
        <w:spacing w:before="240" w:after="120"/>
      </w:pPr>
      <w:r>
        <w:rPr>
          <w:b/>
          <w:bCs/>
          <w:i/>
          <w:iCs/>
          <w:color w:val="1F4E5F"/>
        </w:rPr>
        <w:t>Case Progression</w:t>
      </w:r>
    </w:p>
    <w:p w14:paraId="6FE65E94" w14:textId="77777777" w:rsidR="00535CAF" w:rsidRDefault="00000000">
      <w:pPr>
        <w:pStyle w:val="ListParagraph"/>
        <w:numPr>
          <w:ilvl w:val="0"/>
          <w:numId w:val="1"/>
        </w:numPr>
        <w:spacing w:after="120"/>
      </w:pPr>
      <w:r>
        <w:t xml:space="preserve">Case Initiation → [CASE_ID]: The case was initiated by a referral from the French Grocery and General Food Union (SEFAG) to the Competition Council regarding practices implemented by Carrefour SA, specifically concerning the proximity general food trade. This referral was registered on June 6, 2007 </w:t>
      </w:r>
      <w:hyperlink r:id="rId78" w:history="1">
        <w:r>
          <w:rPr>
            <w:rStyle w:val="Hyperlink"/>
          </w:rPr>
          <w:t>[3]</w:t>
        </w:r>
      </w:hyperlink>
      <w:r>
        <w:t>.</w:t>
      </w:r>
    </w:p>
    <w:p w14:paraId="73C747FA" w14:textId="77777777" w:rsidR="00535CAF" w:rsidRDefault="00000000">
      <w:pPr>
        <w:pStyle w:val="ListParagraph"/>
        <w:numPr>
          <w:ilvl w:val="0"/>
          <w:numId w:val="1"/>
        </w:numPr>
        <w:spacing w:after="120"/>
      </w:pPr>
      <w:r>
        <w:rPr>
          <w:b/>
          <w:bCs/>
        </w:rPr>
        <w:t xml:space="preserve">Preliminary Investigation: </w:t>
      </w:r>
      <w:r>
        <w:t xml:space="preserve">The investigation assessed the admissibility of SEFAG's complaint and the standing of the organization to act on behalf of its members. It was determined that SEFAG had the right to represent the interests of the food merchant profession, thus allowing the investigation to proceed </w:t>
      </w:r>
      <w:hyperlink r:id="rId79" w:history="1">
        <w:r>
          <w:rPr>
            <w:rStyle w:val="Hyperlink"/>
          </w:rPr>
          <w:t>[3]</w:t>
        </w:r>
      </w:hyperlink>
      <w:r>
        <w:t>.</w:t>
      </w:r>
    </w:p>
    <w:p w14:paraId="3F213788" w14:textId="77777777" w:rsidR="00535CAF" w:rsidRDefault="00000000">
      <w:pPr>
        <w:pStyle w:val="ListParagraph"/>
        <w:numPr>
          <w:ilvl w:val="0"/>
          <w:numId w:val="1"/>
        </w:numPr>
        <w:spacing w:after="120"/>
      </w:pPr>
      <w:r>
        <w:rPr>
          <w:b/>
          <w:bCs/>
        </w:rPr>
        <w:t xml:space="preserve">Statement of Objections issued: </w:t>
      </w:r>
      <w:r>
        <w:t xml:space="preserve">Following the preliminary investigation, a statement of objections was drafted, focusing on the alleged abusive practices by Carrefour that limited franchisees' pricing freedom and distorted competition in the proximity retail distribution market </w:t>
      </w:r>
      <w:hyperlink r:id="rId80" w:history="1">
        <w:r>
          <w:rPr>
            <w:rStyle w:val="Hyperlink"/>
          </w:rPr>
          <w:t>[3]</w:t>
        </w:r>
      </w:hyperlink>
      <w:r>
        <w:t>.</w:t>
      </w:r>
    </w:p>
    <w:p w14:paraId="785C4407" w14:textId="77777777" w:rsidR="00535CAF" w:rsidRDefault="00000000">
      <w:pPr>
        <w:pStyle w:val="ListParagraph"/>
        <w:numPr>
          <w:ilvl w:val="0"/>
          <w:numId w:val="1"/>
        </w:numPr>
        <w:spacing w:after="120"/>
      </w:pPr>
      <w:r>
        <w:rPr>
          <w:b/>
          <w:bCs/>
        </w:rPr>
        <w:t xml:space="preserve">Defense Phase: </w:t>
      </w:r>
      <w:r>
        <w:t xml:space="preserve">Carrefour was given the opportunity to respond in writing to the objections within an 8-12 week timeframe and to present its defense during an oral hearing. The company contested the legal basis of the grievances, arguing that the contractual clauses were voluntarily accepted by franchisees </w:t>
      </w:r>
      <w:hyperlink r:id="rId81" w:history="1">
        <w:r>
          <w:rPr>
            <w:rStyle w:val="Hyperlink"/>
          </w:rPr>
          <w:t>[3]</w:t>
        </w:r>
      </w:hyperlink>
      <w:r>
        <w:t>.</w:t>
      </w:r>
    </w:p>
    <w:p w14:paraId="06AAC8C4" w14:textId="77777777" w:rsidR="00535CAF" w:rsidRDefault="00000000">
      <w:pPr>
        <w:pStyle w:val="ListParagraph"/>
        <w:numPr>
          <w:ilvl w:val="0"/>
          <w:numId w:val="1"/>
        </w:numPr>
        <w:spacing w:after="120"/>
      </w:pPr>
      <w:r>
        <w:rPr>
          <w:b/>
          <w:bCs/>
        </w:rPr>
        <w:t xml:space="preserve">Commission Decision: </w:t>
      </w:r>
      <w:r>
        <w:t xml:space="preserve">The Competition Authority would then issue a decision based on the findings from the investigation and the defense presented by Carrefour. If an infringement was found, it could lead to penalties or fines against Carrefour </w:t>
      </w:r>
      <w:hyperlink r:id="rId82" w:history="1">
        <w:r>
          <w:rPr>
            <w:rStyle w:val="Hyperlink"/>
          </w:rPr>
          <w:t>[3]</w:t>
        </w:r>
      </w:hyperlink>
      <w:r>
        <w:t>.</w:t>
      </w:r>
    </w:p>
    <w:p w14:paraId="60E4C35E" w14:textId="77777777" w:rsidR="00535CAF" w:rsidRDefault="00000000">
      <w:pPr>
        <w:pStyle w:val="ListParagraph"/>
        <w:numPr>
          <w:ilvl w:val="0"/>
          <w:numId w:val="1"/>
        </w:numPr>
        <w:spacing w:after="120"/>
      </w:pPr>
      <w:r>
        <w:rPr>
          <w:b/>
          <w:bCs/>
        </w:rPr>
        <w:t xml:space="preserve">Company Decision: </w:t>
      </w:r>
      <w:r>
        <w:t xml:space="preserve">After the Commission's decision, Carrefour would have the option to accept the findings and pay any fines or to appeal the decision. The appeal process could lead to further legal proceedings in the General Court and potentially the CJEU, depending on the outcomes at each stage </w:t>
      </w:r>
      <w:hyperlink r:id="rId83" w:history="1">
        <w:r>
          <w:rPr>
            <w:rStyle w:val="Hyperlink"/>
          </w:rPr>
          <w:t>[3]</w:t>
        </w:r>
      </w:hyperlink>
      <w:r>
        <w:t>.</w:t>
      </w:r>
    </w:p>
    <w:p w14:paraId="4327E7E2" w14:textId="77777777" w:rsidR="00535CAF" w:rsidRDefault="00000000">
      <w:pPr>
        <w:spacing w:before="240" w:after="120"/>
      </w:pPr>
      <w:r>
        <w:rPr>
          <w:b/>
          <w:bCs/>
          <w:i/>
          <w:iCs/>
          <w:color w:val="1F4E5F"/>
        </w:rPr>
        <w:t>Market Definition</w:t>
      </w:r>
    </w:p>
    <w:p w14:paraId="6CF790CE" w14:textId="77777777" w:rsidR="00535CAF" w:rsidRDefault="00000000">
      <w:pPr>
        <w:spacing w:after="160"/>
      </w:pPr>
      <w:r>
        <w:t xml:space="preserve">The market considered in this case includes the proximity food distribution market and the upstream markets for supplying general food stores in proximity. </w:t>
      </w:r>
      <w:hyperlink r:id="rId84" w:history="1">
        <w:r>
          <w:rPr>
            <w:rStyle w:val="Hyperlink"/>
          </w:rPr>
          <w:t>[3]</w:t>
        </w:r>
      </w:hyperlink>
    </w:p>
    <w:p w14:paraId="707B2884" w14:textId="77777777" w:rsidR="00535CAF" w:rsidRDefault="00000000">
      <w:pPr>
        <w:spacing w:after="160"/>
      </w:pPr>
      <w:r>
        <w:t xml:space="preserve">The decision-making practice distinguishes six markets of food retail distribution based on criteria such as store size, sales techniques, accessibility, nature of service, and product range. </w:t>
      </w:r>
      <w:hyperlink r:id="rId85" w:history="1">
        <w:r>
          <w:rPr>
            <w:rStyle w:val="Hyperlink"/>
          </w:rPr>
          <w:t>[3]</w:t>
        </w:r>
      </w:hyperlink>
    </w:p>
    <w:p w14:paraId="3FCE4F8E" w14:textId="77777777" w:rsidR="00535CAF" w:rsidRDefault="00000000">
      <w:pPr>
        <w:spacing w:after="160"/>
      </w:pPr>
      <w:r>
        <w:t xml:space="preserve">Specific market segments identified include hypermarkets, supermarkets, specialized trade, small retail trade (proximity), discount stores, and mail order sales. </w:t>
      </w:r>
      <w:hyperlink r:id="rId86" w:history="1">
        <w:r>
          <w:rPr>
            <w:rStyle w:val="Hyperlink"/>
          </w:rPr>
          <w:t>[3]</w:t>
        </w:r>
      </w:hyperlink>
    </w:p>
    <w:p w14:paraId="68CEE14F" w14:textId="77777777" w:rsidR="00535CAF" w:rsidRDefault="00000000">
      <w:pPr>
        <w:spacing w:after="160"/>
      </w:pPr>
      <w:r>
        <w:t xml:space="preserve">The analysis emphasizes the continuity of supply between convenience stores and small supermarkets, highlighting competition dynamics and customer service strategies. </w:t>
      </w:r>
      <w:hyperlink r:id="rId87" w:history="1">
        <w:r>
          <w:rPr>
            <w:rStyle w:val="Hyperlink"/>
          </w:rPr>
          <w:t>[3]</w:t>
        </w:r>
      </w:hyperlink>
    </w:p>
    <w:p w14:paraId="63A69506" w14:textId="77777777" w:rsidR="00535CAF" w:rsidRDefault="00000000">
      <w:pPr>
        <w:spacing w:after="160"/>
      </w:pPr>
      <w:r>
        <w:t xml:space="preserve">The assessment of economic dependence considers factors like brand reputation, market share, and the distributor's turnover reliance on the supplier, which are evaluated on a case- by-case basis. </w:t>
      </w:r>
      <w:hyperlink r:id="rId88" w:history="1">
        <w:r>
          <w:rPr>
            <w:rStyle w:val="Hyperlink"/>
          </w:rPr>
          <w:t>[3]</w:t>
        </w:r>
      </w:hyperlink>
    </w:p>
    <w:p w14:paraId="08AFF4A7" w14:textId="77777777" w:rsidR="00535CAF" w:rsidRDefault="00000000">
      <w:pPr>
        <w:spacing w:after="160"/>
      </w:pPr>
      <w:r>
        <w:t xml:space="preserve">The Competition Authority's approach involves examining the conditions under which the market operates, taking into account the actual competitive landscape rather than just theoretical classifications. </w:t>
      </w:r>
      <w:hyperlink r:id="rId89" w:history="1">
        <w:r>
          <w:rPr>
            <w:rStyle w:val="Hyperlink"/>
          </w:rPr>
          <w:t>[3]</w:t>
        </w:r>
      </w:hyperlink>
    </w:p>
    <w:p w14:paraId="61496C9A" w14:textId="77777777" w:rsidR="00535CAF" w:rsidRDefault="00000000">
      <w:pPr>
        <w:spacing w:after="160"/>
      </w:pPr>
      <w:r>
        <w:t xml:space="preserve">The legal basis for evaluating practices is Article L. 420-2 of the Commercial Code, which addresses abuse of economic dependence, distinct from anti-competitive agreements. </w:t>
      </w:r>
      <w:hyperlink r:id="rId90" w:history="1">
        <w:r>
          <w:rPr>
            <w:rStyle w:val="Hyperlink"/>
          </w:rPr>
          <w:t>[3]</w:t>
        </w:r>
      </w:hyperlink>
    </w:p>
    <w:p w14:paraId="58D84A27" w14:textId="77777777" w:rsidR="00535CAF" w:rsidRDefault="00000000">
      <w:pPr>
        <w:spacing w:before="240" w:after="120"/>
      </w:pPr>
      <w:r>
        <w:rPr>
          <w:b/>
          <w:bCs/>
          <w:i/>
          <w:iCs/>
          <w:color w:val="1F4E5F"/>
        </w:rPr>
        <w:t>Theories of Harm</w:t>
      </w:r>
    </w:p>
    <w:p w14:paraId="7CA19DD2" w14:textId="77777777" w:rsidR="00535CAF" w:rsidRDefault="00000000">
      <w:pPr>
        <w:pStyle w:val="ListParagraph"/>
        <w:numPr>
          <w:ilvl w:val="0"/>
          <w:numId w:val="1"/>
        </w:numPr>
        <w:spacing w:after="120"/>
      </w:pPr>
      <w:r>
        <w:rPr>
          <w:b/>
          <w:bCs/>
        </w:rPr>
        <w:t xml:space="preserve">Abuse of Economic Dependence: </w:t>
      </w:r>
      <w:r>
        <w:t xml:space="preserve">This theory of harm suggests that Carrefour has exploited the economic dependence of its franchisees, particularly those of the Shopi, 8 à Huit, and Marché Plus brands. The claim is that Carrefour limited the pricing freedom of these franchisees, which distorted competition in the proximity retail distribution markets focused on food. The reasoning is based on the cumulative effects of these limitations, which have intensified since the merger between Carrefour and Promodès in 2000. This theory is supported by the assertion that such practices are prohibited under Article L. 420-2 of the Commercial Code </w:t>
      </w:r>
      <w:hyperlink r:id="rId91" w:history="1">
        <w:r>
          <w:rPr>
            <w:rStyle w:val="Hyperlink"/>
          </w:rPr>
          <w:t>[3]</w:t>
        </w:r>
      </w:hyperlink>
      <w:r>
        <w:t>.</w:t>
      </w:r>
    </w:p>
    <w:p w14:paraId="5F307175" w14:textId="77777777" w:rsidR="00535CAF" w:rsidRDefault="00000000">
      <w:pPr>
        <w:pStyle w:val="ListParagraph"/>
        <w:numPr>
          <w:ilvl w:val="0"/>
          <w:numId w:val="1"/>
        </w:numPr>
        <w:spacing w:after="120"/>
      </w:pPr>
      <w:r>
        <w:rPr>
          <w:b/>
          <w:bCs/>
        </w:rPr>
        <w:t xml:space="preserve">Unfair Conduct in the Investigation: </w:t>
      </w:r>
      <w:r>
        <w:t xml:space="preserve">Carrefour argues that the investigation conducted by the rapporteur was biased and unfair. It claims that the rapporteur did not adequately question the admissibility of the SEFAG referral and failed to address SEFAG's compliance with confidentiality. Carrefour contends that certain documents were obtained unfairly and that the investigation was conducted exclusively against it. However, the decision states that the rapporteur's discretion in conducting investigations does not imply bias, and the company had the opportunity to present its defense during the proceedings </w:t>
      </w:r>
      <w:hyperlink r:id="rId92" w:history="1">
        <w:r>
          <w:rPr>
            <w:rStyle w:val="Hyperlink"/>
          </w:rPr>
          <w:t>[3]</w:t>
        </w:r>
      </w:hyperlink>
      <w:r>
        <w:t>.</w:t>
      </w:r>
    </w:p>
    <w:p w14:paraId="607D6C32" w14:textId="77777777" w:rsidR="00535CAF" w:rsidRDefault="00000000">
      <w:pPr>
        <w:pStyle w:val="ListParagraph"/>
        <w:numPr>
          <w:ilvl w:val="0"/>
          <w:numId w:val="1"/>
        </w:numPr>
        <w:spacing w:after="120"/>
      </w:pPr>
      <w:r>
        <w:rPr>
          <w:b/>
          <w:bCs/>
        </w:rPr>
        <w:t xml:space="preserve">Non-Compliance with Rights of Defense: </w:t>
      </w:r>
      <w:r>
        <w:t xml:space="preserve">This theory posits that Carrefour's rights were not adequately protected during the investigation process. It highlights concerns regarding the separation of investigative and decision-making functions, particularly due to the involvement of a board member with direct interests in the case. However, the findings indicate that the mere transmission of documents by this board member does not raise legitimate doubts about the impartiality of the investigation, as Carrefour was able to discuss all relevant elements during the contradictory debate </w:t>
      </w:r>
      <w:hyperlink r:id="rId93" w:history="1">
        <w:r>
          <w:rPr>
            <w:rStyle w:val="Hyperlink"/>
          </w:rPr>
          <w:t>[3]</w:t>
        </w:r>
      </w:hyperlink>
      <w:r>
        <w:t>.</w:t>
      </w:r>
    </w:p>
    <w:p w14:paraId="46AC9A12" w14:textId="77777777" w:rsidR="00535CAF" w:rsidRDefault="00000000">
      <w:pPr>
        <w:spacing w:before="240" w:after="120"/>
      </w:pPr>
      <w:r>
        <w:rPr>
          <w:b/>
          <w:bCs/>
          <w:i/>
          <w:iCs/>
          <w:color w:val="1F4E5F"/>
        </w:rPr>
        <w:t>Legal &amp; Economic Tests</w:t>
      </w:r>
    </w:p>
    <w:p w14:paraId="669F918F" w14:textId="77777777" w:rsidR="00535CAF" w:rsidRDefault="00000000">
      <w:pPr>
        <w:pStyle w:val="ListParagraph"/>
        <w:numPr>
          <w:ilvl w:val="0"/>
          <w:numId w:val="1"/>
        </w:numPr>
        <w:spacing w:after="120"/>
      </w:pPr>
      <w:r>
        <w:rPr>
          <w:b/>
          <w:bCs/>
        </w:rPr>
        <w:t xml:space="preserve">Legal Basis of Grievances: </w:t>
      </w:r>
      <w:r>
        <w:t xml:space="preserve">The case examines the application of Article L. 420-2, paragraph 2 of the Commercial Code, which addresses the abuse of economic dependence. This legal test assesses whether Carrefour's practices disproportionately limited the pricing freedom of its franchisees, potentially distorting competition in the proximity retail distribution markets. The process involves evaluating the specific contractual clauses and their impact on franchisees' operational freedom. </w:t>
      </w:r>
      <w:hyperlink r:id="rId94" w:history="1">
        <w:r>
          <w:rPr>
            <w:rStyle w:val="Hyperlink"/>
          </w:rPr>
          <w:t>[3]</w:t>
        </w:r>
      </w:hyperlink>
    </w:p>
    <w:p w14:paraId="129FFFCE" w14:textId="77777777" w:rsidR="00535CAF" w:rsidRDefault="00000000">
      <w:pPr>
        <w:pStyle w:val="ListParagraph"/>
        <w:numPr>
          <w:ilvl w:val="0"/>
          <w:numId w:val="1"/>
        </w:numPr>
        <w:spacing w:after="120"/>
      </w:pPr>
      <w:r>
        <w:rPr>
          <w:b/>
          <w:bCs/>
        </w:rPr>
        <w:t xml:space="preserve">State of Economic Dependence: </w:t>
      </w:r>
      <w:r>
        <w:t xml:space="preserve">This test evaluates whether franchisees are in a state of economic dependence on Carrefour, which is characterized by the inability to find equivalent alternatives for their supply needs. The assessment considers factors such as the franchisees' reliance on Carrefour for their business viability and the absence of comparable suppliers. The process requires a case-by-case analysis of the relationships between Carrefour and its franchisees, rather than a general assessment across the entire market. </w:t>
      </w:r>
      <w:hyperlink r:id="rId95" w:history="1">
        <w:r>
          <w:rPr>
            <w:rStyle w:val="Hyperlink"/>
          </w:rPr>
          <w:t>[3]</w:t>
        </w:r>
      </w:hyperlink>
    </w:p>
    <w:p w14:paraId="1F25480C" w14:textId="77777777" w:rsidR="00535CAF" w:rsidRDefault="00000000">
      <w:pPr>
        <w:pStyle w:val="ListParagraph"/>
        <w:numPr>
          <w:ilvl w:val="0"/>
          <w:numId w:val="1"/>
        </w:numPr>
        <w:spacing w:after="120"/>
      </w:pPr>
      <w:r>
        <w:rPr>
          <w:b/>
          <w:bCs/>
        </w:rPr>
        <w:t xml:space="preserve">Relevant Markets Definition: </w:t>
      </w:r>
      <w:r>
        <w:t xml:space="preserve">The case identifies and defines the relevant markets affected by the practices in question, including the proximity food distribution market and the upstream supply markets. This involves analyzing market characteristics such as store size, sales techniques, and product offerings to determine how Carrefour's practices may impact competition within these markets. The process includes referencing established case law and competition authority decisions to delineate market boundaries. </w:t>
      </w:r>
      <w:hyperlink r:id="rId96" w:history="1">
        <w:r>
          <w:rPr>
            <w:rStyle w:val="Hyperlink"/>
          </w:rPr>
          <w:t>[3]</w:t>
        </w:r>
      </w:hyperlink>
    </w:p>
    <w:p w14:paraId="7449AF66" w14:textId="77777777" w:rsidR="00535CAF" w:rsidRDefault="00000000">
      <w:pPr>
        <w:spacing w:before="240" w:after="120"/>
      </w:pPr>
      <w:r>
        <w:rPr>
          <w:b/>
          <w:bCs/>
          <w:i/>
          <w:iCs/>
          <w:color w:val="1F4E5F"/>
        </w:rPr>
        <w:t>Remedies</w:t>
      </w:r>
    </w:p>
    <w:p w14:paraId="49DAE15A" w14:textId="77777777" w:rsidR="00535CAF" w:rsidRDefault="00000000">
      <w:pPr>
        <w:pStyle w:val="ListParagraph"/>
        <w:numPr>
          <w:ilvl w:val="0"/>
          <w:numId w:val="1"/>
        </w:numPr>
        <w:spacing w:after="120"/>
      </w:pPr>
      <w:r>
        <w:rPr>
          <w:b/>
          <w:bCs/>
        </w:rPr>
        <w:t xml:space="preserve">No specific remedies proposed or imposed: </w:t>
      </w:r>
      <w:r>
        <w:t xml:space="preserve">The document does not detail any specific remedies that were proposed or imposed in this case. The focus is primarily on the examination of the legal basis of the grievances and the procedural aspects of the investigation rather than on remedies. This indicates that the decision may have been more about clarifying the legal standing and the conduct of the investigation rather than prescribing specific corrective actions. </w:t>
      </w:r>
      <w:hyperlink r:id="rId97" w:history="1">
        <w:r>
          <w:rPr>
            <w:rStyle w:val="Hyperlink"/>
          </w:rPr>
          <w:t>[3]</w:t>
        </w:r>
      </w:hyperlink>
    </w:p>
    <w:p w14:paraId="6D0418ED" w14:textId="77777777" w:rsidR="00535CAF" w:rsidRDefault="00000000">
      <w:pPr>
        <w:pStyle w:val="ListParagraph"/>
        <w:numPr>
          <w:ilvl w:val="0"/>
          <w:numId w:val="1"/>
        </w:numPr>
        <w:spacing w:after="120"/>
      </w:pPr>
      <w:r>
        <w:rPr>
          <w:b/>
          <w:bCs/>
        </w:rPr>
        <w:t xml:space="preserve">Dismissal of Carrefour's arguments: </w:t>
      </w:r>
      <w:r>
        <w:t xml:space="preserve">Throughout the findings, Carrefour's arguments regarding the alleged unfairness in the investigation and the claims of economic dependence were dismissed. This dismissal serves as a form of remedy in itself, as it reinforces the authority's position on the legitimacy of the investigation and the admissibility of the SEFAG complaint. The reasoning behind this dismissal is based on established case law that supports the rapporteur's discretion in conducting investigations and the sufficiency of the procedural rights afforded to the parties involved. </w:t>
      </w:r>
      <w:hyperlink r:id="rId98" w:history="1">
        <w:r>
          <w:rPr>
            <w:rStyle w:val="Hyperlink"/>
          </w:rPr>
          <w:t>[3]</w:t>
        </w:r>
      </w:hyperlink>
    </w:p>
    <w:p w14:paraId="513D3721" w14:textId="77777777" w:rsidR="00535CAF" w:rsidRDefault="00000000">
      <w:pPr>
        <w:pStyle w:val="ListParagraph"/>
        <w:numPr>
          <w:ilvl w:val="0"/>
          <w:numId w:val="1"/>
        </w:numPr>
        <w:spacing w:after="120"/>
      </w:pPr>
      <w:r>
        <w:rPr>
          <w:b/>
          <w:bCs/>
        </w:rPr>
        <w:t xml:space="preserve">Clarification of legal standards: </w:t>
      </w:r>
      <w:r>
        <w:t xml:space="preserve">The decision clarifies the legal standards applicable to the grievances, particularly regarding the abuse of economic dependence under Article L. 420-2 of the Commercial Code. This clarification serves as a remedy by providing a framework for assessing similar cases in the future, ensuring that the practices denounced are evaluated under the correct legal provisions. The reasoning emphasizes that the practices in question are distinct from those covered by Community competition law, thus allowing for national laws to impose stricter regulations. </w:t>
      </w:r>
      <w:hyperlink r:id="rId99" w:history="1">
        <w:r>
          <w:rPr>
            <w:rStyle w:val="Hyperlink"/>
          </w:rPr>
          <w:t>[3]</w:t>
        </w:r>
      </w:hyperlink>
    </w:p>
    <w:p w14:paraId="3478D0B8" w14:textId="77777777" w:rsidR="00535CAF" w:rsidRDefault="00000000">
      <w:pPr>
        <w:spacing w:before="240" w:after="120"/>
      </w:pPr>
      <w:r>
        <w:rPr>
          <w:b/>
          <w:bCs/>
          <w:i/>
          <w:iCs/>
          <w:color w:val="1F4E5F"/>
        </w:rPr>
        <w:t>Conclusion</w:t>
      </w:r>
    </w:p>
    <w:p w14:paraId="19EBF39E" w14:textId="77777777" w:rsidR="00535CAF" w:rsidRDefault="00000000">
      <w:pPr>
        <w:pStyle w:val="ListParagraph"/>
        <w:numPr>
          <w:ilvl w:val="0"/>
          <w:numId w:val="1"/>
        </w:numPr>
        <w:spacing w:after="120"/>
      </w:pPr>
      <w:r>
        <w:t xml:space="preserve">The conclusion reached in this case was that it was not established that Carrefour violated the provisions of Article L. 420-2, paragraph 2, of the Commercial Code, which pertains to the abuse of economic dependence </w:t>
      </w:r>
      <w:hyperlink r:id="rId100" w:history="1">
        <w:r>
          <w:rPr>
            <w:rStyle w:val="Hyperlink"/>
          </w:rPr>
          <w:t>[3]</w:t>
        </w:r>
      </w:hyperlink>
      <w:r>
        <w:t>.</w:t>
      </w:r>
    </w:p>
    <w:p w14:paraId="0BEDC6E6" w14:textId="77777777" w:rsidR="00535CAF" w:rsidRDefault="00000000">
      <w:pPr>
        <w:pStyle w:val="ListParagraph"/>
        <w:numPr>
          <w:ilvl w:val="0"/>
          <w:numId w:val="1"/>
        </w:numPr>
        <w:spacing w:after="120"/>
      </w:pPr>
      <w:r>
        <w:t xml:space="preserve">The investigation found that the practices denounced by SEFAG, which included limiting franchisees' pricing freedom and imposing restrictive contractual clauses, did not substantiate claims of economic dependence </w:t>
      </w:r>
      <w:hyperlink r:id="rId101" w:history="1">
        <w:r>
          <w:rPr>
            <w:rStyle w:val="Hyperlink"/>
          </w:rPr>
          <w:t>[3]</w:t>
        </w:r>
      </w:hyperlink>
      <w:r>
        <w:t>.</w:t>
      </w:r>
    </w:p>
    <w:p w14:paraId="3BF41882" w14:textId="77777777" w:rsidR="00535CAF" w:rsidRDefault="00000000">
      <w:pPr>
        <w:pStyle w:val="ListParagraph"/>
        <w:numPr>
          <w:ilvl w:val="0"/>
          <w:numId w:val="1"/>
        </w:numPr>
        <w:spacing w:after="120"/>
      </w:pPr>
      <w:r>
        <w:t xml:space="preserve">The decision emphasized that the state of economic dependence must be assessed in concreto, and the evidence did not demonstrate a homogeneous position among franchisees within Carrefour's network, as they fell under seven different contractual regimes </w:t>
      </w:r>
      <w:hyperlink r:id="rId102" w:history="1">
        <w:r>
          <w:rPr>
            <w:rStyle w:val="Hyperlink"/>
          </w:rPr>
          <w:t>[3]</w:t>
        </w:r>
      </w:hyperlink>
      <w:r>
        <w:t>.</w:t>
      </w:r>
    </w:p>
    <w:p w14:paraId="1E5CFA7C" w14:textId="77777777" w:rsidR="00535CAF" w:rsidRDefault="00000000">
      <w:pPr>
        <w:pStyle w:val="ListParagraph"/>
        <w:numPr>
          <w:ilvl w:val="0"/>
          <w:numId w:val="1"/>
        </w:numPr>
        <w:spacing w:after="120"/>
      </w:pPr>
      <w:r>
        <w:t xml:space="preserve">Carrefour's argument regarding the alleged unfairness in the conduct of the investigation was dismissed, as the rapporteur was found to have acted impartially and within her discretion </w:t>
      </w:r>
      <w:hyperlink r:id="rId103" w:history="1">
        <w:r>
          <w:rPr>
            <w:rStyle w:val="Hyperlink"/>
          </w:rPr>
          <w:t>[3]</w:t>
        </w:r>
      </w:hyperlink>
      <w:r>
        <w:t>.</w:t>
      </w:r>
    </w:p>
    <w:p w14:paraId="700236EB" w14:textId="77777777" w:rsidR="00535CAF" w:rsidRDefault="00000000">
      <w:pPr>
        <w:pStyle w:val="ListParagraph"/>
        <w:numPr>
          <w:ilvl w:val="0"/>
          <w:numId w:val="1"/>
        </w:numPr>
        <w:spacing w:after="120"/>
      </w:pPr>
      <w:r>
        <w:t xml:space="preserve">No fines or specific remedies were imposed on Carrefour as the grievances were not substantiated, indicating that the Competition Authority found no grounds for punitive measures </w:t>
      </w:r>
      <w:hyperlink r:id="rId104" w:history="1">
        <w:r>
          <w:rPr>
            <w:rStyle w:val="Hyperlink"/>
          </w:rPr>
          <w:t>[3]</w:t>
        </w:r>
      </w:hyperlink>
      <w:r>
        <w:t>.</w:t>
      </w:r>
    </w:p>
    <w:p w14:paraId="2001C757" w14:textId="77777777" w:rsidR="00535CAF" w:rsidRDefault="00000000">
      <w:pPr>
        <w:pStyle w:val="ListParagraph"/>
        <w:numPr>
          <w:ilvl w:val="0"/>
          <w:numId w:val="1"/>
        </w:numPr>
        <w:spacing w:after="120"/>
      </w:pPr>
      <w:r>
        <w:t xml:space="preserve">The decision was deliberated by the Competition Authority's members, confirming that the investigation and subsequent findings were conducted in accordance with legal standards </w:t>
      </w:r>
      <w:hyperlink r:id="rId105" w:history="1">
        <w:r>
          <w:rPr>
            <w:rStyle w:val="Hyperlink"/>
          </w:rPr>
          <w:t>[3]</w:t>
        </w:r>
      </w:hyperlink>
      <w:r>
        <w:t>.</w:t>
      </w:r>
    </w:p>
    <w:p w14:paraId="7F4912B8" w14:textId="77777777" w:rsidR="00535CAF" w:rsidRDefault="00000000">
      <w:pPr>
        <w:spacing w:before="320" w:after="60"/>
      </w:pPr>
      <w:r>
        <w:rPr>
          <w:b/>
          <w:bCs/>
          <w:color w:val="808080"/>
          <w:spacing w:val="20"/>
          <w:sz w:val="18"/>
          <w:szCs w:val="18"/>
        </w:rPr>
        <w:t>MERGER</w:t>
      </w:r>
    </w:p>
    <w:p w14:paraId="31600CF0" w14:textId="77777777" w:rsidR="00535CAF" w:rsidRDefault="00000000">
      <w:pPr>
        <w:spacing w:before="200" w:after="160"/>
      </w:pPr>
      <w:r>
        <w:rPr>
          <w:b/>
          <w:bCs/>
          <w:color w:val="1F4E5F"/>
        </w:rPr>
        <w:t>Decision No. 25-DCC-280 regarding the joint control acquisition of the company VPM Distribution by the Carrefour group and the Vacher and Vidal consortium</w:t>
      </w:r>
    </w:p>
    <w:p w14:paraId="4CDD22D6" w14:textId="77777777" w:rsidR="00535CAF" w:rsidRDefault="00000000">
      <w:pPr>
        <w:spacing w:before="240" w:after="120"/>
      </w:pPr>
      <w:r>
        <w:rPr>
          <w:b/>
          <w:bCs/>
          <w:i/>
          <w:iCs/>
          <w:color w:val="1F4E5F"/>
        </w:rPr>
        <w:t>Case Background</w:t>
      </w:r>
    </w:p>
    <w:p w14:paraId="5A8E48CD" w14:textId="77777777" w:rsidR="00535CAF" w:rsidRDefault="00000000">
      <w:pPr>
        <w:spacing w:after="160"/>
      </w:pPr>
      <w:r>
        <w:t xml:space="preserve">The allegation made in this case concerns the joint control acquisition of the company VPM Distribution. </w:t>
      </w:r>
      <w:hyperlink r:id="rId106" w:history="1">
        <w:r>
          <w:rPr>
            <w:rStyle w:val="Hyperlink"/>
          </w:rPr>
          <w:t>[4]</w:t>
        </w:r>
      </w:hyperlink>
    </w:p>
    <w:p w14:paraId="1F8BD13E" w14:textId="77777777" w:rsidR="00535CAF" w:rsidRDefault="00000000">
      <w:pPr>
        <w:spacing w:after="160"/>
      </w:pPr>
      <w:r>
        <w:t xml:space="preserve">The companies involved in this case are the Carrefour group and the Vacher and Vidal consortium. </w:t>
      </w:r>
      <w:hyperlink r:id="rId107" w:history="1">
        <w:r>
          <w:rPr>
            <w:rStyle w:val="Hyperlink"/>
          </w:rPr>
          <w:t>[4]</w:t>
        </w:r>
      </w:hyperlink>
    </w:p>
    <w:p w14:paraId="51E6F929" w14:textId="77777777" w:rsidR="00535CAF" w:rsidRDefault="00000000">
      <w:pPr>
        <w:spacing w:after="160"/>
      </w:pPr>
      <w:r>
        <w:t xml:space="preserve">The case was initiated with the complete notification file sent on October 24, 2025. </w:t>
      </w:r>
      <w:hyperlink r:id="rId108" w:history="1">
        <w:r>
          <w:rPr>
            <w:rStyle w:val="Hyperlink"/>
          </w:rPr>
          <w:t>[4]</w:t>
        </w:r>
      </w:hyperlink>
    </w:p>
    <w:p w14:paraId="24F1783B" w14:textId="77777777" w:rsidR="00535CAF" w:rsidRDefault="00000000">
      <w:pPr>
        <w:spacing w:after="160"/>
      </w:pPr>
      <w:r>
        <w:t xml:space="preserve">The violation pertains to the acquisition of joint control, which is subject to the provisions of the Commercial Code relating to economic concentration. </w:t>
      </w:r>
      <w:hyperlink r:id="rId109" w:history="1">
        <w:r>
          <w:rPr>
            <w:rStyle w:val="Hyperlink"/>
          </w:rPr>
          <w:t>[4]</w:t>
        </w:r>
      </w:hyperlink>
    </w:p>
    <w:p w14:paraId="5E9E3D35" w14:textId="77777777" w:rsidR="00535CAF" w:rsidRDefault="00000000">
      <w:pPr>
        <w:spacing w:after="160"/>
      </w:pPr>
      <w:r>
        <w:t xml:space="preserve">The operation was formalized by an act dated October 20, 2025, and it was determined that the control thresholds were exceeded, necessitating regulatory scrutiny. </w:t>
      </w:r>
      <w:hyperlink r:id="rId110" w:history="1">
        <w:r>
          <w:rPr>
            <w:rStyle w:val="Hyperlink"/>
          </w:rPr>
          <w:t>[4]</w:t>
        </w:r>
      </w:hyperlink>
    </w:p>
    <w:p w14:paraId="779F08EC" w14:textId="77777777" w:rsidR="00535CAF" w:rsidRDefault="00000000">
      <w:pPr>
        <w:spacing w:after="160"/>
      </w:pPr>
      <w:r>
        <w:t xml:space="preserve">However, the investigation concluded that the operation is not likely to harm competition in the relevant markets, leading to its authorization. </w:t>
      </w:r>
      <w:hyperlink r:id="rId111" w:history="1">
        <w:r>
          <w:rPr>
            <w:rStyle w:val="Hyperlink"/>
          </w:rPr>
          <w:t>[4]</w:t>
        </w:r>
      </w:hyperlink>
    </w:p>
    <w:p w14:paraId="2B262A71" w14:textId="77777777" w:rsidR="00535CAF" w:rsidRDefault="00000000">
      <w:pPr>
        <w:spacing w:before="240" w:after="120"/>
      </w:pPr>
      <w:r>
        <w:rPr>
          <w:b/>
          <w:bCs/>
          <w:i/>
          <w:iCs/>
          <w:color w:val="1F4E5F"/>
        </w:rPr>
        <w:t>Case Progression</w:t>
      </w:r>
    </w:p>
    <w:p w14:paraId="7236E952" w14:textId="77777777" w:rsidR="00535CAF" w:rsidRDefault="00000000">
      <w:pPr>
        <w:pStyle w:val="ListParagraph"/>
        <w:numPr>
          <w:ilvl w:val="0"/>
          <w:numId w:val="1"/>
        </w:numPr>
        <w:spacing w:after="120"/>
      </w:pPr>
      <w:r>
        <w:rPr>
          <w:b/>
          <w:bCs/>
        </w:rPr>
        <w:t xml:space="preserve">Case Initiation: </w:t>
      </w:r>
      <w:r>
        <w:t xml:space="preserve">The case was initiated with the notification of the joint control acquisition of VPM Distribution by the Carrefour group and the Vacher and Vidal consortium, formalized on October 20, 2025. This step is crucial as it sets the stage for the review process. </w:t>
      </w:r>
      <w:hyperlink r:id="rId112" w:history="1">
        <w:r>
          <w:rPr>
            <w:rStyle w:val="Hyperlink"/>
          </w:rPr>
          <w:t>[4]</w:t>
        </w:r>
      </w:hyperlink>
    </w:p>
    <w:p w14:paraId="3FA1D870" w14:textId="77777777" w:rsidR="00535CAF" w:rsidRDefault="00000000">
      <w:pPr>
        <w:pStyle w:val="ListParagraph"/>
        <w:numPr>
          <w:ilvl w:val="0"/>
          <w:numId w:val="1"/>
        </w:numPr>
        <w:spacing w:after="120"/>
      </w:pPr>
      <w:r>
        <w:rPr>
          <w:b/>
          <w:bCs/>
        </w:rPr>
        <w:t xml:space="preserve">Preliminary Investigation: </w:t>
      </w:r>
      <w:r>
        <w:t xml:space="preserve">The Competition Authority reviewed the complete notification file submitted on October 24, 2025. It assessed whether the operation could harm competition in relevant markets. The investigation concluded that the operation did not pose a threat to competition, allowing it to proceed. </w:t>
      </w:r>
      <w:hyperlink r:id="rId113" w:history="1">
        <w:r>
          <w:rPr>
            <w:rStyle w:val="Hyperlink"/>
          </w:rPr>
          <w:t>[4]</w:t>
        </w:r>
      </w:hyperlink>
    </w:p>
    <w:p w14:paraId="3EF91F06" w14:textId="77777777" w:rsidR="00535CAF" w:rsidRDefault="00000000">
      <w:pPr>
        <w:pStyle w:val="ListParagraph"/>
        <w:numPr>
          <w:ilvl w:val="0"/>
          <w:numId w:val="1"/>
        </w:numPr>
        <w:spacing w:after="120"/>
      </w:pPr>
      <w:r>
        <w:rPr>
          <w:b/>
          <w:bCs/>
        </w:rPr>
        <w:t xml:space="preserve">Statement of Objections: </w:t>
      </w:r>
      <w:r>
        <w:t xml:space="preserve">In this case, no Statement of Objections was issued, indicating that the authority found no significant concerns regarding competition that would necessitate further scrutiny or objections. </w:t>
      </w:r>
      <w:hyperlink r:id="rId114" w:history="1">
        <w:r>
          <w:rPr>
            <w:rStyle w:val="Hyperlink"/>
          </w:rPr>
          <w:t>[4]</w:t>
        </w:r>
      </w:hyperlink>
    </w:p>
    <w:p w14:paraId="7627F6F4" w14:textId="77777777" w:rsidR="00535CAF" w:rsidRDefault="00000000">
      <w:pPr>
        <w:pStyle w:val="ListParagraph"/>
        <w:numPr>
          <w:ilvl w:val="0"/>
          <w:numId w:val="1"/>
        </w:numPr>
        <w:spacing w:after="120"/>
      </w:pPr>
      <w:r>
        <w:rPr>
          <w:b/>
          <w:bCs/>
        </w:rPr>
        <w:t xml:space="preserve">Defense Phase: </w:t>
      </w:r>
      <w:r>
        <w:t xml:space="preserve">Since there were no objections raised, there was no need for a defense phase, which typically involves written responses or oral hearings from the parties involved. This streamlined the process significantly. </w:t>
      </w:r>
      <w:hyperlink r:id="rId115" w:history="1">
        <w:r>
          <w:rPr>
            <w:rStyle w:val="Hyperlink"/>
          </w:rPr>
          <w:t>[4]</w:t>
        </w:r>
      </w:hyperlink>
    </w:p>
    <w:p w14:paraId="7639DD4F" w14:textId="77777777" w:rsidR="00535CAF" w:rsidRDefault="00000000">
      <w:pPr>
        <w:pStyle w:val="ListParagraph"/>
        <w:numPr>
          <w:ilvl w:val="0"/>
          <w:numId w:val="1"/>
        </w:numPr>
        <w:spacing w:after="120"/>
      </w:pPr>
      <w:r>
        <w:rPr>
          <w:b/>
          <w:bCs/>
        </w:rPr>
        <w:t xml:space="preserve">Commission Decision: </w:t>
      </w:r>
      <w:r>
        <w:t xml:space="preserve">The Competition Authority issued a decision authorizing the operation, confirming that it did not infringe upon competition laws. This decision was based on the assessment of the turnover and market impact of the companies involved. </w:t>
      </w:r>
      <w:hyperlink r:id="rId116" w:history="1">
        <w:r>
          <w:rPr>
            <w:rStyle w:val="Hyperlink"/>
          </w:rPr>
          <w:t>[4]</w:t>
        </w:r>
      </w:hyperlink>
    </w:p>
    <w:p w14:paraId="24EC047B" w14:textId="77777777" w:rsidR="00535CAF" w:rsidRDefault="00000000">
      <w:pPr>
        <w:pStyle w:val="ListParagraph"/>
        <w:numPr>
          <w:ilvl w:val="0"/>
          <w:numId w:val="1"/>
        </w:numPr>
        <w:spacing w:after="120"/>
      </w:pPr>
      <w:r>
        <w:rPr>
          <w:b/>
          <w:bCs/>
        </w:rPr>
        <w:t xml:space="preserve">Conclusion: </w:t>
      </w:r>
      <w:r>
        <w:t xml:space="preserve">The operation was authorized without any further appeals or commitments required, marking a swift resolution to the case. The decision reflects the authority's confidence that the acquisition would not adversely affect market competition. </w:t>
      </w:r>
      <w:hyperlink r:id="rId117" w:history="1">
        <w:r>
          <w:rPr>
            <w:rStyle w:val="Hyperlink"/>
          </w:rPr>
          <w:t>[4]</w:t>
        </w:r>
      </w:hyperlink>
    </w:p>
    <w:p w14:paraId="0D74A200" w14:textId="77777777" w:rsidR="00535CAF" w:rsidRDefault="00000000">
      <w:pPr>
        <w:spacing w:before="240" w:after="120"/>
      </w:pPr>
      <w:r>
        <w:rPr>
          <w:b/>
          <w:bCs/>
          <w:i/>
          <w:iCs/>
          <w:color w:val="1F4E5F"/>
        </w:rPr>
        <w:t>Market Definition</w:t>
      </w:r>
    </w:p>
    <w:p w14:paraId="4E77A022" w14:textId="77777777" w:rsidR="00535CAF" w:rsidRDefault="00000000">
      <w:pPr>
        <w:spacing w:after="160"/>
      </w:pPr>
      <w:r>
        <w:t xml:space="preserve">The market considered in this case was the supermarket-type business sector, specifically focusing on the operation of a supermarket with a sales area of 1,770 m² under the Carrefour Market brand. </w:t>
      </w:r>
      <w:hyperlink r:id="rId118" w:history="1">
        <w:r>
          <w:rPr>
            <w:rStyle w:val="Hyperlink"/>
          </w:rPr>
          <w:t>[4]</w:t>
        </w:r>
      </w:hyperlink>
    </w:p>
    <w:p w14:paraId="5E4712CA" w14:textId="77777777" w:rsidR="00535CAF" w:rsidRDefault="00000000">
      <w:pPr>
        <w:spacing w:after="160"/>
      </w:pPr>
      <w:r>
        <w:t xml:space="preserve">The process to define the market involved assessing the nature of the business activities of the company VPM Distribution and its operational context within the retail sector. </w:t>
      </w:r>
      <w:hyperlink r:id="rId119" w:history="1">
        <w:r>
          <w:rPr>
            <w:rStyle w:val="Hyperlink"/>
          </w:rPr>
          <w:t>[4]</w:t>
        </w:r>
      </w:hyperlink>
    </w:p>
    <w:p w14:paraId="67A8B270" w14:textId="77777777" w:rsidR="00535CAF" w:rsidRDefault="00000000">
      <w:pPr>
        <w:spacing w:after="160"/>
      </w:pPr>
      <w:r>
        <w:t xml:space="preserve">The analysis included evaluating the turnover of the companies involved to determine whether the operation fell under the jurisdiction of the European Union, which it did not. </w:t>
      </w:r>
      <w:hyperlink r:id="rId120" w:history="1">
        <w:r>
          <w:rPr>
            <w:rStyle w:val="Hyperlink"/>
          </w:rPr>
          <w:t>[4]</w:t>
        </w:r>
      </w:hyperlink>
    </w:p>
    <w:p w14:paraId="4DD25179" w14:textId="77777777" w:rsidR="00535CAF" w:rsidRDefault="00000000">
      <w:pPr>
        <w:spacing w:after="160"/>
      </w:pPr>
      <w:r>
        <w:t xml:space="preserve">The control thresholds specified in Article L. 430-2 of the Commercial Code were examined to confirm that they were exceeded, indicating that the operation was significant enough to warrant scrutiny under competition law. </w:t>
      </w:r>
      <w:hyperlink r:id="rId121" w:history="1">
        <w:r>
          <w:rPr>
            <w:rStyle w:val="Hyperlink"/>
          </w:rPr>
          <w:t>[4]</w:t>
        </w:r>
      </w:hyperlink>
    </w:p>
    <w:p w14:paraId="188C602F" w14:textId="77777777" w:rsidR="00535CAF" w:rsidRDefault="00000000">
      <w:pPr>
        <w:spacing w:after="160"/>
      </w:pPr>
      <w:r>
        <w:t xml:space="preserve">The Competition Authority reviewed the elements of the notification file to assess the potential impact of the acquisition on competition within the relevant markets. </w:t>
      </w:r>
      <w:hyperlink r:id="rId122" w:history="1">
        <w:r>
          <w:rPr>
            <w:rStyle w:val="Hyperlink"/>
          </w:rPr>
          <w:t>[4]</w:t>
        </w:r>
      </w:hyperlink>
    </w:p>
    <w:p w14:paraId="5C529AA7" w14:textId="77777777" w:rsidR="00535CAF" w:rsidRDefault="00000000">
      <w:pPr>
        <w:spacing w:after="160"/>
      </w:pPr>
      <w:r>
        <w:t xml:space="preserve">Ultimately, the decision concluded that the operation was not likely to harm competition, indicating a thorough evaluation of competitive dynamics in the market. </w:t>
      </w:r>
      <w:hyperlink r:id="rId123" w:history="1">
        <w:r>
          <w:rPr>
            <w:rStyle w:val="Hyperlink"/>
          </w:rPr>
          <w:t>[4]</w:t>
        </w:r>
      </w:hyperlink>
    </w:p>
    <w:p w14:paraId="6803DF9E" w14:textId="77777777" w:rsidR="00535CAF" w:rsidRDefault="00000000">
      <w:pPr>
        <w:spacing w:after="160"/>
      </w:pPr>
      <w:r>
        <w:t xml:space="preserve">The decision was formalized and authorized under the provisions of Articles L. 430-3 and following of the Commercial Code, reflecting compliance with legal requirements for economic concentration. </w:t>
      </w:r>
      <w:hyperlink r:id="rId124" w:history="1">
        <w:r>
          <w:rPr>
            <w:rStyle w:val="Hyperlink"/>
          </w:rPr>
          <w:t>[4]</w:t>
        </w:r>
      </w:hyperlink>
    </w:p>
    <w:p w14:paraId="77A6A043" w14:textId="77777777" w:rsidR="00535CAF" w:rsidRDefault="00000000">
      <w:pPr>
        <w:spacing w:before="240" w:after="120"/>
      </w:pPr>
      <w:r>
        <w:rPr>
          <w:b/>
          <w:bCs/>
          <w:i/>
          <w:iCs/>
          <w:color w:val="1F4E5F"/>
        </w:rPr>
        <w:t>Theories of Harm</w:t>
      </w:r>
    </w:p>
    <w:p w14:paraId="4E5F31CF" w14:textId="77777777" w:rsidR="00535CAF" w:rsidRDefault="00000000">
      <w:pPr>
        <w:pStyle w:val="ListParagraph"/>
        <w:numPr>
          <w:ilvl w:val="0"/>
          <w:numId w:val="1"/>
        </w:numPr>
        <w:spacing w:after="120"/>
      </w:pPr>
      <w:r>
        <w:rPr>
          <w:b/>
          <w:bCs/>
        </w:rPr>
        <w:t xml:space="preserve">Theory of Harm Related to Market Concentration: </w:t>
      </w:r>
      <w:r>
        <w:t xml:space="preserve">This theory examines whether the joint control acquisition could lead to a significant reduction in competition within the relevant market. In this case, it was determined that the operation does not harm competition in the relevant markets, as the turnover of the companies involved does not fall under the jurisdiction of the European Union, and the control thresholds are exceeded, indicating a level of market presence that does not threaten competitive dynamics. </w:t>
      </w:r>
      <w:hyperlink r:id="rId125" w:history="1">
        <w:r>
          <w:rPr>
            <w:rStyle w:val="Hyperlink"/>
          </w:rPr>
          <w:t>[4]</w:t>
        </w:r>
      </w:hyperlink>
    </w:p>
    <w:p w14:paraId="3506BBA0" w14:textId="77777777" w:rsidR="00535CAF" w:rsidRDefault="00000000">
      <w:pPr>
        <w:pStyle w:val="ListParagraph"/>
        <w:numPr>
          <w:ilvl w:val="0"/>
          <w:numId w:val="1"/>
        </w:numPr>
        <w:spacing w:after="120"/>
      </w:pPr>
      <w:r>
        <w:rPr>
          <w:b/>
          <w:bCs/>
        </w:rPr>
        <w:t xml:space="preserve">Theory of Harm Concerning Consumer Choice: </w:t>
      </w:r>
      <w:r>
        <w:t xml:space="preserve">This theory assesses whether the acquisition could limit consumer choices by reducing the number of competitors in the market. The decision indicates that the operation is not likely to harm competition, suggesting that consumer choice would remain intact despite the joint control acquisition. </w:t>
      </w:r>
      <w:hyperlink r:id="rId126" w:history="1">
        <w:r>
          <w:rPr>
            <w:rStyle w:val="Hyperlink"/>
          </w:rPr>
          <w:t>[4]</w:t>
        </w:r>
      </w:hyperlink>
    </w:p>
    <w:p w14:paraId="5E58B267" w14:textId="77777777" w:rsidR="00535CAF" w:rsidRDefault="00000000">
      <w:pPr>
        <w:pStyle w:val="ListParagraph"/>
        <w:numPr>
          <w:ilvl w:val="0"/>
          <w:numId w:val="1"/>
        </w:numPr>
        <w:spacing w:after="120"/>
      </w:pPr>
      <w:r>
        <w:rPr>
          <w:b/>
          <w:bCs/>
        </w:rPr>
        <w:t xml:space="preserve">Theory of Harm Related to Pricing Power: </w:t>
      </w:r>
      <w:r>
        <w:t xml:space="preserve">This theory looks at whether the acquisition could lead to increased pricing power for the companies involved, potentially resulting in higher prices for consumers. The decision concludes that the operation does not pose a risk to competition, implying that there would be no adverse effects on pricing power as a result of the acquisition. </w:t>
      </w:r>
      <w:hyperlink r:id="rId127" w:history="1">
        <w:r>
          <w:rPr>
            <w:rStyle w:val="Hyperlink"/>
          </w:rPr>
          <w:t>[4]</w:t>
        </w:r>
      </w:hyperlink>
    </w:p>
    <w:p w14:paraId="0BC10BFD" w14:textId="77777777" w:rsidR="00535CAF" w:rsidRDefault="00000000">
      <w:pPr>
        <w:spacing w:before="240" w:after="120"/>
      </w:pPr>
      <w:r>
        <w:rPr>
          <w:b/>
          <w:bCs/>
          <w:i/>
          <w:iCs/>
          <w:color w:val="1F4E5F"/>
        </w:rPr>
        <w:t>Legal &amp; Economic Tests</w:t>
      </w:r>
    </w:p>
    <w:p w14:paraId="07F591FA" w14:textId="77777777" w:rsidR="00535CAF" w:rsidRDefault="00000000">
      <w:pPr>
        <w:pStyle w:val="ListParagraph"/>
        <w:numPr>
          <w:ilvl w:val="0"/>
          <w:numId w:val="1"/>
        </w:numPr>
        <w:spacing w:after="120"/>
      </w:pPr>
      <w:r>
        <w:rPr>
          <w:b/>
          <w:bCs/>
        </w:rPr>
        <w:t xml:space="preserve">Jurisdictional Test: </w:t>
      </w:r>
      <w:r>
        <w:t xml:space="preserve">This test determines whether the merger falls under the jurisdiction of the relevant competition authority. In this case, it was established that the turnover achieved by the companies involved did not fall under the jurisdiction of the European Union, but the control thresholds were exceeded, making it subject to national competition law. This assessment ensures that only relevant cases are reviewed by the authority. </w:t>
      </w:r>
      <w:hyperlink r:id="rId128" w:history="1">
        <w:r>
          <w:rPr>
            <w:rStyle w:val="Hyperlink"/>
          </w:rPr>
          <w:t>[4]</w:t>
        </w:r>
      </w:hyperlink>
    </w:p>
    <w:p w14:paraId="72EDC59C" w14:textId="77777777" w:rsidR="00535CAF" w:rsidRDefault="00000000">
      <w:pPr>
        <w:pStyle w:val="ListParagraph"/>
        <w:numPr>
          <w:ilvl w:val="0"/>
          <w:numId w:val="1"/>
        </w:numPr>
        <w:spacing w:after="120"/>
      </w:pPr>
      <w:r>
        <w:rPr>
          <w:b/>
          <w:bCs/>
        </w:rPr>
        <w:t xml:space="preserve">Concentration Assessment: </w:t>
      </w:r>
      <w:r>
        <w:t xml:space="preserve">This test evaluates whether the operation constitutes a concentration as defined by the Commercial Code. The acquisition of joint control by the Carrefour group and the Vacher and Vidal consortium over VPM Distribution was confirmed to meet the criteria for concentration, as it involved the operation of a supermarket-type business. This assessment is crucial for determining the competitive implications of the merger. </w:t>
      </w:r>
      <w:hyperlink r:id="rId129" w:history="1">
        <w:r>
          <w:rPr>
            <w:rStyle w:val="Hyperlink"/>
          </w:rPr>
          <w:t>[4]</w:t>
        </w:r>
      </w:hyperlink>
    </w:p>
    <w:p w14:paraId="26C2EECE" w14:textId="77777777" w:rsidR="00535CAF" w:rsidRDefault="00000000">
      <w:pPr>
        <w:pStyle w:val="ListParagraph"/>
        <w:numPr>
          <w:ilvl w:val="0"/>
          <w:numId w:val="1"/>
        </w:numPr>
        <w:spacing w:after="120"/>
      </w:pPr>
      <w:r>
        <w:rPr>
          <w:b/>
          <w:bCs/>
        </w:rPr>
        <w:t xml:space="preserve">Competition Impact Analysis: </w:t>
      </w:r>
      <w:r>
        <w:t xml:space="preserve">This analysis examines whether the merger is likely to harm competition in the relevant markets. In this case, the authority concluded that the operation would not negatively impact competition, indicating that the merger would not create or strengthen a dominant position that could distort competition. This step is essential for ensuring that market dynamics remain healthy post-merger. </w:t>
      </w:r>
      <w:hyperlink r:id="rId130" w:history="1">
        <w:r>
          <w:rPr>
            <w:rStyle w:val="Hyperlink"/>
          </w:rPr>
          <w:t>[4]</w:t>
        </w:r>
      </w:hyperlink>
    </w:p>
    <w:p w14:paraId="1F501580" w14:textId="77777777" w:rsidR="00535CAF" w:rsidRDefault="00000000">
      <w:pPr>
        <w:spacing w:before="240" w:after="120"/>
      </w:pPr>
      <w:r>
        <w:rPr>
          <w:b/>
          <w:bCs/>
          <w:i/>
          <w:iCs/>
          <w:color w:val="1F4E5F"/>
        </w:rPr>
        <w:t>Remedies</w:t>
      </w:r>
    </w:p>
    <w:p w14:paraId="5E559FF9" w14:textId="77777777" w:rsidR="00535CAF" w:rsidRDefault="00000000">
      <w:pPr>
        <w:pStyle w:val="ListParagraph"/>
        <w:numPr>
          <w:ilvl w:val="0"/>
          <w:numId w:val="1"/>
        </w:numPr>
        <w:spacing w:after="120"/>
      </w:pPr>
      <w:r>
        <w:t xml:space="preserve">No remedies were proposed or imposed in this case, as the operation was determined not to harm competition in the relevant markets. This indicates that the authorities found no need for any corrective measures to ensure fair competition. </w:t>
      </w:r>
      <w:hyperlink r:id="rId131" w:history="1">
        <w:r>
          <w:rPr>
            <w:rStyle w:val="Hyperlink"/>
          </w:rPr>
          <w:t>[4]</w:t>
        </w:r>
      </w:hyperlink>
    </w:p>
    <w:p w14:paraId="15E6F072" w14:textId="77777777" w:rsidR="00535CAF" w:rsidRDefault="00000000">
      <w:pPr>
        <w:pStyle w:val="ListParagraph"/>
        <w:numPr>
          <w:ilvl w:val="0"/>
          <w:numId w:val="1"/>
        </w:numPr>
        <w:spacing w:after="120"/>
      </w:pPr>
      <w:r>
        <w:t xml:space="preserve">The decision authorized the joint control acquisition without any conditions, reflecting the assessment that the concentration would not negatively impact market dynamics. This suggests that the merger was viewed as beneficial or neutral in terms of competitive effects. </w:t>
      </w:r>
      <w:hyperlink r:id="rId132" w:history="1">
        <w:r>
          <w:rPr>
            <w:rStyle w:val="Hyperlink"/>
          </w:rPr>
          <w:t>[4]</w:t>
        </w:r>
      </w:hyperlink>
    </w:p>
    <w:p w14:paraId="57A308D9" w14:textId="77777777" w:rsidR="00535CAF" w:rsidRDefault="00000000">
      <w:pPr>
        <w:pStyle w:val="ListParagraph"/>
        <w:numPr>
          <w:ilvl w:val="0"/>
          <w:numId w:val="1"/>
        </w:numPr>
        <w:spacing w:after="120"/>
      </w:pPr>
      <w:r>
        <w:t xml:space="preserve">The absence of remedies implies that the authorities were satisfied with the competitive landscape and the nature of the transaction, indicating a thorough review process that concluded no further actions were necessary to protect market competition. </w:t>
      </w:r>
      <w:hyperlink r:id="rId133" w:history="1">
        <w:r>
          <w:rPr>
            <w:rStyle w:val="Hyperlink"/>
          </w:rPr>
          <w:t>[4]</w:t>
        </w:r>
      </w:hyperlink>
    </w:p>
    <w:p w14:paraId="249758F5" w14:textId="77777777" w:rsidR="00535CAF" w:rsidRDefault="00000000">
      <w:pPr>
        <w:spacing w:before="240" w:after="120"/>
      </w:pPr>
      <w:r>
        <w:rPr>
          <w:b/>
          <w:bCs/>
          <w:i/>
          <w:iCs/>
          <w:color w:val="1F4E5F"/>
        </w:rPr>
        <w:t>Conclusion</w:t>
      </w:r>
    </w:p>
    <w:p w14:paraId="5D3C6699" w14:textId="77777777" w:rsidR="00535CAF" w:rsidRDefault="00000000">
      <w:pPr>
        <w:pStyle w:val="ListParagraph"/>
        <w:numPr>
          <w:ilvl w:val="0"/>
          <w:numId w:val="1"/>
        </w:numPr>
        <w:spacing w:after="120"/>
      </w:pPr>
      <w:r>
        <w:t xml:space="preserve">The operation involving the joint control acquisition of VPM Distribution by the Carrefour group and the Vacher and Vidal consortium was authorized, indicating that it was deemed acceptable under competition law </w:t>
      </w:r>
      <w:hyperlink r:id="rId134" w:history="1">
        <w:r>
          <w:rPr>
            <w:rStyle w:val="Hyperlink"/>
          </w:rPr>
          <w:t>[4]</w:t>
        </w:r>
      </w:hyperlink>
      <w:r>
        <w:t>.</w:t>
      </w:r>
    </w:p>
    <w:p w14:paraId="7138F33D" w14:textId="77777777" w:rsidR="00535CAF" w:rsidRDefault="00000000">
      <w:pPr>
        <w:pStyle w:val="ListParagraph"/>
        <w:numPr>
          <w:ilvl w:val="0"/>
          <w:numId w:val="1"/>
        </w:numPr>
        <w:spacing w:after="120"/>
      </w:pPr>
      <w:r>
        <w:t xml:space="preserve">The acquisition was characterized as a concentration under Article L. 430-1 of the Commercial Code, which pertains to the control of economic concentrations </w:t>
      </w:r>
      <w:hyperlink r:id="rId135" w:history="1">
        <w:r>
          <w:rPr>
            <w:rStyle w:val="Hyperlink"/>
          </w:rPr>
          <w:t>[4]</w:t>
        </w:r>
      </w:hyperlink>
      <w:r>
        <w:t>.</w:t>
      </w:r>
    </w:p>
    <w:p w14:paraId="30D86E70" w14:textId="77777777" w:rsidR="00535CAF" w:rsidRDefault="00000000">
      <w:pPr>
        <w:pStyle w:val="ListParagraph"/>
        <w:numPr>
          <w:ilvl w:val="0"/>
          <w:numId w:val="1"/>
        </w:numPr>
        <w:spacing w:after="120"/>
      </w:pPr>
      <w:r>
        <w:t xml:space="preserve">The relevant market involved a supermarket-type business with a sales area of 1,770 m², specifically operated under the Carrefour Market brand in Boussac (23) </w:t>
      </w:r>
      <w:hyperlink r:id="rId136" w:history="1">
        <w:r>
          <w:rPr>
            <w:rStyle w:val="Hyperlink"/>
          </w:rPr>
          <w:t>[4]</w:t>
        </w:r>
      </w:hyperlink>
      <w:r>
        <w:t>.</w:t>
      </w:r>
    </w:p>
    <w:p w14:paraId="7A117B27" w14:textId="77777777" w:rsidR="00535CAF" w:rsidRDefault="00000000">
      <w:pPr>
        <w:pStyle w:val="ListParagraph"/>
        <w:numPr>
          <w:ilvl w:val="0"/>
          <w:numId w:val="1"/>
        </w:numPr>
        <w:spacing w:after="120"/>
      </w:pPr>
      <w:r>
        <w:t xml:space="preserve">The turnover of the companies involved did not meet the thresholds for jurisdiction under the European Union, but exceeded the control thresholds set out in Article L. 430-2 of the Commercial Code, making it subject to national regulations </w:t>
      </w:r>
      <w:hyperlink r:id="rId137" w:history="1">
        <w:r>
          <w:rPr>
            <w:rStyle w:val="Hyperlink"/>
          </w:rPr>
          <w:t>[4]</w:t>
        </w:r>
      </w:hyperlink>
      <w:r>
        <w:t>.</w:t>
      </w:r>
    </w:p>
    <w:p w14:paraId="0BAE776A" w14:textId="77777777" w:rsidR="00535CAF" w:rsidRDefault="00000000">
      <w:pPr>
        <w:pStyle w:val="ListParagraph"/>
        <w:numPr>
          <w:ilvl w:val="0"/>
          <w:numId w:val="1"/>
        </w:numPr>
        <w:spacing w:after="120"/>
      </w:pPr>
      <w:r>
        <w:t xml:space="preserve">The analysis concluded that the operation was not likely to harm competition in the relevant markets, which was a key factor in the decision to authorize the acquisition </w:t>
      </w:r>
      <w:hyperlink r:id="rId138" w:history="1">
        <w:r>
          <w:rPr>
            <w:rStyle w:val="Hyperlink"/>
          </w:rPr>
          <w:t>[4]</w:t>
        </w:r>
      </w:hyperlink>
      <w:r>
        <w:t>.</w:t>
      </w:r>
    </w:p>
    <w:p w14:paraId="3F27D4E1" w14:textId="77777777" w:rsidR="00535CAF" w:rsidRDefault="00000000">
      <w:pPr>
        <w:pStyle w:val="ListParagraph"/>
        <w:numPr>
          <w:ilvl w:val="0"/>
          <w:numId w:val="1"/>
        </w:numPr>
        <w:spacing w:after="120"/>
      </w:pPr>
      <w:r>
        <w:t xml:space="preserve">No remedies or fines were imposed as part of this decision, as the operation was found to be non-problematic in terms of competition </w:t>
      </w:r>
      <w:hyperlink r:id="rId139" w:history="1">
        <w:r>
          <w:rPr>
            <w:rStyle w:val="Hyperlink"/>
          </w:rPr>
          <w:t>[4]</w:t>
        </w:r>
      </w:hyperlink>
      <w:r>
        <w:t>.</w:t>
      </w:r>
    </w:p>
    <w:p w14:paraId="761E9E7E" w14:textId="77777777" w:rsidR="00535CAF" w:rsidRDefault="00000000">
      <w:pPr>
        <w:spacing w:before="200" w:after="160"/>
      </w:pPr>
      <w:r>
        <w:rPr>
          <w:b/>
          <w:bCs/>
          <w:color w:val="1F4E5F"/>
        </w:rPr>
        <w:t>Decision No. 25-DCC-300 regarding the exclusive control acquisition of the company La Crau Dis by the Carrefour group</w:t>
      </w:r>
    </w:p>
    <w:p w14:paraId="0FB3310D" w14:textId="77777777" w:rsidR="00535CAF" w:rsidRDefault="00000000">
      <w:pPr>
        <w:spacing w:before="240" w:after="120"/>
      </w:pPr>
      <w:r>
        <w:rPr>
          <w:b/>
          <w:bCs/>
          <w:i/>
          <w:iCs/>
          <w:color w:val="1F4E5F"/>
        </w:rPr>
        <w:t>Case Background</w:t>
      </w:r>
    </w:p>
    <w:p w14:paraId="686D7B23" w14:textId="77777777" w:rsidR="00535CAF" w:rsidRDefault="00000000">
      <w:pPr>
        <w:spacing w:after="160"/>
      </w:pPr>
      <w:r>
        <w:t xml:space="preserve">The allegation made in this case pertains to the acquisition of exclusive control by the Carrefour group over the company La Crau Dis. </w:t>
      </w:r>
      <w:hyperlink r:id="rId140" w:history="1">
        <w:r>
          <w:rPr>
            <w:rStyle w:val="Hyperlink"/>
          </w:rPr>
          <w:t>[5]</w:t>
        </w:r>
      </w:hyperlink>
    </w:p>
    <w:p w14:paraId="4B19EF7E" w14:textId="77777777" w:rsidR="00535CAF" w:rsidRDefault="00000000">
      <w:pPr>
        <w:spacing w:after="160"/>
      </w:pPr>
      <w:r>
        <w:t xml:space="preserve">The companies involved in this case are the Carrefour group and La Crau Dis, with the latter operating a supermarket-type business. </w:t>
      </w:r>
      <w:hyperlink r:id="rId141" w:history="1">
        <w:r>
          <w:rPr>
            <w:rStyle w:val="Hyperlink"/>
          </w:rPr>
          <w:t>[5]</w:t>
        </w:r>
      </w:hyperlink>
    </w:p>
    <w:p w14:paraId="3D057F54" w14:textId="77777777" w:rsidR="00535CAF" w:rsidRDefault="00000000">
      <w:pPr>
        <w:spacing w:after="160"/>
      </w:pPr>
      <w:r>
        <w:t xml:space="preserve">The case was initiated with the notification filed on November 4, 2025. </w:t>
      </w:r>
      <w:hyperlink r:id="rId142" w:history="1">
        <w:r>
          <w:rPr>
            <w:rStyle w:val="Hyperlink"/>
          </w:rPr>
          <w:t>[5]</w:t>
        </w:r>
      </w:hyperlink>
    </w:p>
    <w:p w14:paraId="16F28918" w14:textId="77777777" w:rsidR="00535CAF" w:rsidRDefault="00000000">
      <w:pPr>
        <w:spacing w:after="160"/>
      </w:pPr>
      <w:r>
        <w:t xml:space="preserve">The violation concerns the potential impact on competition due to the concentration of control, as defined under the Commercial Code. However, the decision concluded that the operation is not likely to harm competition in the relevant markets. </w:t>
      </w:r>
      <w:hyperlink r:id="rId143" w:history="1">
        <w:r>
          <w:rPr>
            <w:rStyle w:val="Hyperlink"/>
          </w:rPr>
          <w:t>[5]</w:t>
        </w:r>
      </w:hyperlink>
    </w:p>
    <w:p w14:paraId="71820D72" w14:textId="77777777" w:rsidR="00535CAF" w:rsidRDefault="00000000">
      <w:pPr>
        <w:spacing w:after="160"/>
      </w:pPr>
      <w:r>
        <w:t xml:space="preserve">The acquisition was formalized through a framework agreement dated November 4, 2025, and involved the Carrefour group acquiring control via its subsidiary CSF. </w:t>
      </w:r>
      <w:hyperlink r:id="rId144" w:history="1">
        <w:r>
          <w:rPr>
            <w:rStyle w:val="Hyperlink"/>
          </w:rPr>
          <w:t>[5]</w:t>
        </w:r>
      </w:hyperlink>
    </w:p>
    <w:p w14:paraId="254AC34E" w14:textId="77777777" w:rsidR="00535CAF" w:rsidRDefault="00000000">
      <w:pPr>
        <w:spacing w:before="240" w:after="120"/>
      </w:pPr>
      <w:r>
        <w:rPr>
          <w:b/>
          <w:bCs/>
          <w:i/>
          <w:iCs/>
          <w:color w:val="1F4E5F"/>
        </w:rPr>
        <w:t>Case Progression</w:t>
      </w:r>
    </w:p>
    <w:p w14:paraId="40334899" w14:textId="77777777" w:rsidR="00535CAF" w:rsidRDefault="00000000">
      <w:pPr>
        <w:pStyle w:val="ListParagraph"/>
        <w:numPr>
          <w:ilvl w:val="0"/>
          <w:numId w:val="1"/>
        </w:numPr>
        <w:spacing w:after="120"/>
      </w:pPr>
      <w:r>
        <w:rPr>
          <w:b/>
          <w:bCs/>
        </w:rPr>
        <w:t xml:space="preserve">Case Initiation: </w:t>
      </w:r>
      <w:r>
        <w:t xml:space="preserve">The case was initiated with the notification of the exclusive control acquisition by the Carrefour group of La Crau Dis, formalized by a framework agreement on November 4, 2025. This step is documented in the decision dated November 26, 2025 </w:t>
      </w:r>
      <w:hyperlink r:id="rId145" w:history="1">
        <w:r>
          <w:rPr>
            <w:rStyle w:val="Hyperlink"/>
          </w:rPr>
          <w:t>[5]</w:t>
        </w:r>
      </w:hyperlink>
      <w:r>
        <w:t>.</w:t>
      </w:r>
    </w:p>
    <w:p w14:paraId="0A74F771" w14:textId="77777777" w:rsidR="00535CAF" w:rsidRDefault="00000000">
      <w:pPr>
        <w:pStyle w:val="ListParagraph"/>
        <w:numPr>
          <w:ilvl w:val="0"/>
          <w:numId w:val="1"/>
        </w:numPr>
        <w:spacing w:after="120"/>
      </w:pPr>
      <w:r>
        <w:rPr>
          <w:b/>
          <w:bCs/>
        </w:rPr>
        <w:t xml:space="preserve">Preliminary Investigation: </w:t>
      </w:r>
      <w:r>
        <w:t xml:space="preserve">The investigation assessed whether the acquisition would harm competition in the relevant markets. The authority found that the operation did not pose a threat to competition, indicating that sufficient evidence was gathered to support this conclusion </w:t>
      </w:r>
      <w:hyperlink r:id="rId146" w:history="1">
        <w:r>
          <w:rPr>
            <w:rStyle w:val="Hyperlink"/>
          </w:rPr>
          <w:t>[5]</w:t>
        </w:r>
      </w:hyperlink>
      <w:r>
        <w:t>.</w:t>
      </w:r>
    </w:p>
    <w:p w14:paraId="44456612" w14:textId="77777777" w:rsidR="00535CAF" w:rsidRDefault="00000000">
      <w:pPr>
        <w:pStyle w:val="ListParagraph"/>
        <w:numPr>
          <w:ilvl w:val="0"/>
          <w:numId w:val="1"/>
        </w:numPr>
        <w:spacing w:after="120"/>
      </w:pPr>
      <w:r>
        <w:rPr>
          <w:b/>
          <w:bCs/>
        </w:rPr>
        <w:t xml:space="preserve">Statement of Objections: </w:t>
      </w:r>
      <w:r>
        <w:t xml:space="preserve">In this case, no Statement of Objections was issued, as the authority determined that the acquisition would not harm competition. This suggests that the preliminary findings were conclusive enough to bypass this step </w:t>
      </w:r>
      <w:hyperlink r:id="rId147" w:history="1">
        <w:r>
          <w:rPr>
            <w:rStyle w:val="Hyperlink"/>
          </w:rPr>
          <w:t>[5]</w:t>
        </w:r>
      </w:hyperlink>
      <w:r>
        <w:t>.</w:t>
      </w:r>
    </w:p>
    <w:p w14:paraId="356986F9" w14:textId="77777777" w:rsidR="00535CAF" w:rsidRDefault="00000000">
      <w:pPr>
        <w:pStyle w:val="ListParagraph"/>
        <w:numPr>
          <w:ilvl w:val="0"/>
          <w:numId w:val="1"/>
        </w:numPr>
        <w:spacing w:after="120"/>
      </w:pPr>
      <w:r>
        <w:rPr>
          <w:b/>
          <w:bCs/>
        </w:rPr>
        <w:t xml:space="preserve">Defense Phase: </w:t>
      </w:r>
      <w:r>
        <w:t xml:space="preserve">Since there were no objections raised, there was no need for a defense phase involving written responses or oral hearings. The absence of competition concerns led to a straightforward decision </w:t>
      </w:r>
      <w:hyperlink r:id="rId148" w:history="1">
        <w:r>
          <w:rPr>
            <w:rStyle w:val="Hyperlink"/>
          </w:rPr>
          <w:t>[5]</w:t>
        </w:r>
      </w:hyperlink>
      <w:r>
        <w:t>.</w:t>
      </w:r>
    </w:p>
    <w:p w14:paraId="2C6BCE68" w14:textId="77777777" w:rsidR="00535CAF" w:rsidRDefault="00000000">
      <w:pPr>
        <w:pStyle w:val="ListParagraph"/>
        <w:numPr>
          <w:ilvl w:val="0"/>
          <w:numId w:val="1"/>
        </w:numPr>
        <w:spacing w:after="120"/>
      </w:pPr>
      <w:r>
        <w:rPr>
          <w:b/>
          <w:bCs/>
        </w:rPr>
        <w:t xml:space="preserve">Commission Decision: </w:t>
      </w:r>
      <w:r>
        <w:t xml:space="preserve">The Competition Authority authorized the operation, concluding that it did not infringe upon competition laws. This decision was made based on the analysis of the companies' turnover and market impact </w:t>
      </w:r>
      <w:hyperlink r:id="rId149" w:history="1">
        <w:r>
          <w:rPr>
            <w:rStyle w:val="Hyperlink"/>
          </w:rPr>
          <w:t>[5]</w:t>
        </w:r>
      </w:hyperlink>
      <w:r>
        <w:t>.</w:t>
      </w:r>
    </w:p>
    <w:p w14:paraId="3EDA3E5A" w14:textId="77777777" w:rsidR="00535CAF" w:rsidRDefault="00000000">
      <w:pPr>
        <w:pStyle w:val="ListParagraph"/>
        <w:numPr>
          <w:ilvl w:val="0"/>
          <w:numId w:val="1"/>
        </w:numPr>
        <w:spacing w:after="120"/>
      </w:pPr>
      <w:r>
        <w:rPr>
          <w:b/>
          <w:bCs/>
        </w:rPr>
        <w:t xml:space="preserve">Final Outcome: </w:t>
      </w:r>
      <w:r>
        <w:t xml:space="preserve">The operation was authorized without any commitments or fines, marking the end of the case. The decision reflects a clear path through the regulatory process without complications </w:t>
      </w:r>
      <w:hyperlink r:id="rId150" w:history="1">
        <w:r>
          <w:rPr>
            <w:rStyle w:val="Hyperlink"/>
          </w:rPr>
          <w:t>[5]</w:t>
        </w:r>
      </w:hyperlink>
      <w:r>
        <w:t>.</w:t>
      </w:r>
    </w:p>
    <w:p w14:paraId="5596E2FA" w14:textId="77777777" w:rsidR="00535CAF" w:rsidRDefault="00000000">
      <w:pPr>
        <w:spacing w:before="240" w:after="120"/>
      </w:pPr>
      <w:r>
        <w:rPr>
          <w:b/>
          <w:bCs/>
          <w:i/>
          <w:iCs/>
          <w:color w:val="1F4E5F"/>
        </w:rPr>
        <w:t>Market Definition</w:t>
      </w:r>
    </w:p>
    <w:p w14:paraId="188E7A52" w14:textId="77777777" w:rsidR="00535CAF" w:rsidRDefault="00000000">
      <w:pPr>
        <w:spacing w:after="160"/>
      </w:pPr>
      <w:r>
        <w:t xml:space="preserve">The market considered in this case was the supermarket-type business sector, specifically focusing on the operations of La Crau Dis under the Carrefour Market brand. </w:t>
      </w:r>
      <w:hyperlink r:id="rId151" w:history="1">
        <w:r>
          <w:rPr>
            <w:rStyle w:val="Hyperlink"/>
          </w:rPr>
          <w:t>[5]</w:t>
        </w:r>
      </w:hyperlink>
    </w:p>
    <w:p w14:paraId="2CF76C0A" w14:textId="77777777" w:rsidR="00535CAF" w:rsidRDefault="00000000">
      <w:pPr>
        <w:spacing w:after="160"/>
      </w:pPr>
      <w:r>
        <w:t xml:space="preserve">The process to define the market involved assessing the nature of the business activities of La Crau Dis and its operational scale, which includes a sales area of 1,800 m². </w:t>
      </w:r>
      <w:hyperlink r:id="rId152" w:history="1">
        <w:r>
          <w:rPr>
            <w:rStyle w:val="Hyperlink"/>
          </w:rPr>
          <w:t>[5]</w:t>
        </w:r>
      </w:hyperlink>
    </w:p>
    <w:p w14:paraId="2AF883B7" w14:textId="77777777" w:rsidR="00535CAF" w:rsidRDefault="00000000">
      <w:pPr>
        <w:spacing w:after="160"/>
      </w:pPr>
      <w:r>
        <w:t xml:space="preserve">The Competition Authority evaluated the turnover of the involved companies to determine whether the operation fell under the jurisdiction of the European Union, which it did not. </w:t>
      </w:r>
      <w:hyperlink r:id="rId153" w:history="1">
        <w:r>
          <w:rPr>
            <w:rStyle w:val="Hyperlink"/>
          </w:rPr>
          <w:t>[5]</w:t>
        </w:r>
      </w:hyperlink>
    </w:p>
    <w:p w14:paraId="1AE1D348" w14:textId="77777777" w:rsidR="00535CAF" w:rsidRDefault="00000000">
      <w:pPr>
        <w:spacing w:after="160"/>
      </w:pPr>
      <w:r>
        <w:t xml:space="preserve">The control thresholds specified in Article L. 430-2 of the Commercial Code were examined to confirm that they were exceeded, indicating the operation's relevance to economic concentration regulations. </w:t>
      </w:r>
      <w:hyperlink r:id="rId154" w:history="1">
        <w:r>
          <w:rPr>
            <w:rStyle w:val="Hyperlink"/>
          </w:rPr>
          <w:t>[5]</w:t>
        </w:r>
      </w:hyperlink>
    </w:p>
    <w:p w14:paraId="647335CA" w14:textId="77777777" w:rsidR="00535CAF" w:rsidRDefault="00000000">
      <w:pPr>
        <w:spacing w:after="160"/>
      </w:pPr>
      <w:r>
        <w:t xml:space="preserve">The Authority analyzed the potential impact of the acquisition on competition within the relevant markets, concluding that it was not likely to harm competition. </w:t>
      </w:r>
      <w:hyperlink r:id="rId155" w:history="1">
        <w:r>
          <w:rPr>
            <w:rStyle w:val="Hyperlink"/>
          </w:rPr>
          <w:t>[5]</w:t>
        </w:r>
      </w:hyperlink>
    </w:p>
    <w:p w14:paraId="32E36EE9" w14:textId="77777777" w:rsidR="00535CAF" w:rsidRDefault="00000000">
      <w:pPr>
        <w:spacing w:after="160"/>
      </w:pPr>
      <w:r>
        <w:t xml:space="preserve">The decision-making process included a review of the complete notification file submitted by the Carrefour group, which provided necessary details about the acquisition. </w:t>
      </w:r>
      <w:hyperlink r:id="rId156" w:history="1">
        <w:r>
          <w:rPr>
            <w:rStyle w:val="Hyperlink"/>
          </w:rPr>
          <w:t>[5]</w:t>
        </w:r>
      </w:hyperlink>
    </w:p>
    <w:p w14:paraId="5A22A308" w14:textId="77777777" w:rsidR="00535CAF" w:rsidRDefault="00000000">
      <w:pPr>
        <w:spacing w:after="160"/>
      </w:pPr>
      <w:r>
        <w:t xml:space="preserve">The final decision authorized the operation, indicating that the analysis did not reveal any significant competitive concerns arising from the acquisition. </w:t>
      </w:r>
      <w:hyperlink r:id="rId157" w:history="1">
        <w:r>
          <w:rPr>
            <w:rStyle w:val="Hyperlink"/>
          </w:rPr>
          <w:t>[5]</w:t>
        </w:r>
      </w:hyperlink>
    </w:p>
    <w:p w14:paraId="7DD54132" w14:textId="77777777" w:rsidR="00535CAF" w:rsidRDefault="00000000">
      <w:pPr>
        <w:spacing w:before="240" w:after="120"/>
      </w:pPr>
      <w:r>
        <w:rPr>
          <w:b/>
          <w:bCs/>
          <w:i/>
          <w:iCs/>
          <w:color w:val="1F4E5F"/>
        </w:rPr>
        <w:t>Theories of Harm</w:t>
      </w:r>
    </w:p>
    <w:p w14:paraId="79330C74" w14:textId="77777777" w:rsidR="00535CAF" w:rsidRDefault="00000000">
      <w:pPr>
        <w:pStyle w:val="ListParagraph"/>
        <w:numPr>
          <w:ilvl w:val="0"/>
          <w:numId w:val="1"/>
        </w:numPr>
        <w:spacing w:after="120"/>
      </w:pPr>
      <w:r>
        <w:rPr>
          <w:b/>
          <w:bCs/>
        </w:rPr>
        <w:t xml:space="preserve">Theory of Harm Related to Market Concentration: </w:t>
      </w:r>
      <w:r>
        <w:t xml:space="preserve">This theory examines whether the acquisition could lead to a significant reduction in competition within the relevant market. In this case, it was determined that the operation does not harm competition in the relevant markets, as the turnover of the involved companies does not fall under the jurisdiction of the European Union, and the control thresholds are exceeded, indicating that the concentration does not pose a risk to market dynamics. </w:t>
      </w:r>
      <w:hyperlink r:id="rId158" w:history="1">
        <w:r>
          <w:rPr>
            <w:rStyle w:val="Hyperlink"/>
          </w:rPr>
          <w:t>[5]</w:t>
        </w:r>
      </w:hyperlink>
    </w:p>
    <w:p w14:paraId="3671B08F" w14:textId="77777777" w:rsidR="00535CAF" w:rsidRDefault="00000000">
      <w:pPr>
        <w:pStyle w:val="ListParagraph"/>
        <w:numPr>
          <w:ilvl w:val="0"/>
          <w:numId w:val="1"/>
        </w:numPr>
        <w:spacing w:after="120"/>
      </w:pPr>
      <w:r>
        <w:rPr>
          <w:b/>
          <w:bCs/>
        </w:rPr>
        <w:t xml:space="preserve">Theory of Harm Concerning Consumer Choice: </w:t>
      </w:r>
      <w:r>
        <w:t xml:space="preserve">This theory assesses whether the acquisition could limit consumer options by reducing the number of competitors in the market. The decision noted that the acquisition of La Crau Dis by the Carrefour group would not likely harm consumer choice, as the operation does not create a monopoly or significantly reduce the number of available alternatives for consumers. </w:t>
      </w:r>
      <w:hyperlink r:id="rId159" w:history="1">
        <w:r>
          <w:rPr>
            <w:rStyle w:val="Hyperlink"/>
          </w:rPr>
          <w:t>[5]</w:t>
        </w:r>
      </w:hyperlink>
    </w:p>
    <w:p w14:paraId="428F1F83" w14:textId="77777777" w:rsidR="00535CAF" w:rsidRDefault="00000000">
      <w:pPr>
        <w:pStyle w:val="ListParagraph"/>
        <w:numPr>
          <w:ilvl w:val="0"/>
          <w:numId w:val="1"/>
        </w:numPr>
        <w:spacing w:after="120"/>
      </w:pPr>
      <w:r>
        <w:rPr>
          <w:b/>
          <w:bCs/>
        </w:rPr>
        <w:t xml:space="preserve">Theory of Harm Related to Pricing Power: </w:t>
      </w:r>
      <w:r>
        <w:t xml:space="preserve">This theory looks at whether the acquisition could lead to increased pricing power for the acquiring company, potentially resulting in higher prices for consumers. The decision concluded that the operation is not likely to harm competition, implying that there would be no significant increase in pricing power as a result of the acquisition. </w:t>
      </w:r>
      <w:hyperlink r:id="rId160" w:history="1">
        <w:r>
          <w:rPr>
            <w:rStyle w:val="Hyperlink"/>
          </w:rPr>
          <w:t>[5]</w:t>
        </w:r>
      </w:hyperlink>
    </w:p>
    <w:p w14:paraId="07B8BBF6" w14:textId="77777777" w:rsidR="00535CAF" w:rsidRDefault="00000000">
      <w:pPr>
        <w:spacing w:before="240" w:after="120"/>
      </w:pPr>
      <w:r>
        <w:rPr>
          <w:b/>
          <w:bCs/>
          <w:i/>
          <w:iCs/>
          <w:color w:val="1F4E5F"/>
        </w:rPr>
        <w:t>Legal &amp; Economic Tests</w:t>
      </w:r>
    </w:p>
    <w:p w14:paraId="550F77E6" w14:textId="77777777" w:rsidR="00535CAF" w:rsidRDefault="00000000">
      <w:pPr>
        <w:pStyle w:val="ListParagraph"/>
        <w:numPr>
          <w:ilvl w:val="0"/>
          <w:numId w:val="1"/>
        </w:numPr>
        <w:spacing w:after="120"/>
      </w:pPr>
      <w:r>
        <w:rPr>
          <w:b/>
          <w:bCs/>
        </w:rPr>
        <w:t xml:space="preserve">Jurisdictional Test: </w:t>
      </w:r>
      <w:r>
        <w:t xml:space="preserve">This test determines whether the merger falls under the jurisdiction of the relevant competition authority. In this case, it was established that the turnover of the companies involved did not meet the thresholds for European Union jurisdiction, but exceeded the control thresholds specified in the Commercial Code. This means that while the EU did not have authority, the national competition authority did. </w:t>
      </w:r>
      <w:hyperlink r:id="rId161" w:history="1">
        <w:r>
          <w:rPr>
            <w:rStyle w:val="Hyperlink"/>
          </w:rPr>
          <w:t>[5]</w:t>
        </w:r>
      </w:hyperlink>
    </w:p>
    <w:p w14:paraId="4D77A0D9" w14:textId="77777777" w:rsidR="00535CAF" w:rsidRDefault="00000000">
      <w:pPr>
        <w:pStyle w:val="ListParagraph"/>
        <w:numPr>
          <w:ilvl w:val="0"/>
          <w:numId w:val="1"/>
        </w:numPr>
        <w:spacing w:after="120"/>
      </w:pPr>
      <w:r>
        <w:rPr>
          <w:b/>
          <w:bCs/>
        </w:rPr>
        <w:t xml:space="preserve">Concentration Assessment: </w:t>
      </w:r>
      <w:r>
        <w:t xml:space="preserve">This test evaluates whether the acquisition constitutes a concentration as defined by the Commercial Code. The acquisition of exclusive control by the Carrefour group over La Crau Dis was confirmed to meet the criteria for concentration, as it involved the acquisition of a business fund operating under the Carrefour Market brand. This assessment is crucial for determining the competitive implications of the merger. </w:t>
      </w:r>
      <w:hyperlink r:id="rId162" w:history="1">
        <w:r>
          <w:rPr>
            <w:rStyle w:val="Hyperlink"/>
          </w:rPr>
          <w:t>[5]</w:t>
        </w:r>
      </w:hyperlink>
    </w:p>
    <w:p w14:paraId="01628D10" w14:textId="77777777" w:rsidR="00535CAF" w:rsidRDefault="00000000">
      <w:pPr>
        <w:pStyle w:val="ListParagraph"/>
        <w:numPr>
          <w:ilvl w:val="0"/>
          <w:numId w:val="1"/>
        </w:numPr>
        <w:spacing w:after="120"/>
      </w:pPr>
      <w:r>
        <w:rPr>
          <w:b/>
          <w:bCs/>
        </w:rPr>
        <w:t xml:space="preserve">Competition Impact Analysis: </w:t>
      </w:r>
      <w:r>
        <w:t xml:space="preserve">This test assesses whether the merger is likely to harm competition in the relevant markets. The analysis concluded that the operation would not harm competition, indicating that the merger would not create or strengthen a dominant position that could significantly impede effective competition. This is a key consideration in merger assessments to ensure market fairness. </w:t>
      </w:r>
      <w:hyperlink r:id="rId163" w:history="1">
        <w:r>
          <w:rPr>
            <w:rStyle w:val="Hyperlink"/>
          </w:rPr>
          <w:t>[5]</w:t>
        </w:r>
      </w:hyperlink>
    </w:p>
    <w:p w14:paraId="3CCA4553" w14:textId="77777777" w:rsidR="00535CAF" w:rsidRDefault="00000000">
      <w:pPr>
        <w:spacing w:before="240" w:after="120"/>
      </w:pPr>
      <w:r>
        <w:rPr>
          <w:b/>
          <w:bCs/>
          <w:i/>
          <w:iCs/>
          <w:color w:val="1F4E5F"/>
        </w:rPr>
        <w:t>Remedies</w:t>
      </w:r>
    </w:p>
    <w:p w14:paraId="36D268EE" w14:textId="77777777" w:rsidR="00535CAF" w:rsidRDefault="00000000">
      <w:pPr>
        <w:pStyle w:val="ListParagraph"/>
        <w:numPr>
          <w:ilvl w:val="0"/>
          <w:numId w:val="1"/>
        </w:numPr>
        <w:spacing w:after="120"/>
      </w:pPr>
      <w:r>
        <w:t xml:space="preserve">No remedies were proposed or imposed in this case, as the operation was authorized without any conditions. The decision indicates that the acquisition of exclusive control by the Carrefour group over La Crau Dis is not likely to harm competition in the relevant markets. This suggests that the Competition Authority found no need for any remedial measures to ensure competitive practices. </w:t>
      </w:r>
      <w:hyperlink r:id="rId164" w:history="1">
        <w:r>
          <w:rPr>
            <w:rStyle w:val="Hyperlink"/>
          </w:rPr>
          <w:t>[5]</w:t>
        </w:r>
      </w:hyperlink>
    </w:p>
    <w:p w14:paraId="4110475B" w14:textId="77777777" w:rsidR="00535CAF" w:rsidRDefault="00000000">
      <w:pPr>
        <w:pStyle w:val="ListParagraph"/>
        <w:numPr>
          <w:ilvl w:val="0"/>
          <w:numId w:val="1"/>
        </w:numPr>
        <w:spacing w:after="120"/>
      </w:pPr>
      <w:r>
        <w:t xml:space="preserve">The absence of remedies implies that the Competition Authority assessed the merger and determined it would not negatively impact market dynamics or consumer choice. This decision reflects a thorough evaluation of the competitive landscape surrounding the involved companies. </w:t>
      </w:r>
      <w:hyperlink r:id="rId165" w:history="1">
        <w:r>
          <w:rPr>
            <w:rStyle w:val="Hyperlink"/>
          </w:rPr>
          <w:t>[5]</w:t>
        </w:r>
      </w:hyperlink>
    </w:p>
    <w:p w14:paraId="288E402F" w14:textId="77777777" w:rsidR="00535CAF" w:rsidRDefault="00000000">
      <w:pPr>
        <w:pStyle w:val="ListParagraph"/>
        <w:numPr>
          <w:ilvl w:val="0"/>
          <w:numId w:val="1"/>
        </w:numPr>
        <w:spacing w:after="120"/>
      </w:pPr>
      <w:r>
        <w:t xml:space="preserve">The authorization of the operation underlines the authority's confidence in the competitive effects of the merger, indicating that the transaction aligns with the principles of maintaining fair competition as outlined in the Commercial Code. </w:t>
      </w:r>
      <w:hyperlink r:id="rId166" w:history="1">
        <w:r>
          <w:rPr>
            <w:rStyle w:val="Hyperlink"/>
          </w:rPr>
          <w:t>[5]</w:t>
        </w:r>
      </w:hyperlink>
    </w:p>
    <w:p w14:paraId="7441018B" w14:textId="77777777" w:rsidR="00535CAF" w:rsidRDefault="00000000">
      <w:pPr>
        <w:spacing w:before="240" w:after="120"/>
      </w:pPr>
      <w:r>
        <w:rPr>
          <w:b/>
          <w:bCs/>
          <w:i/>
          <w:iCs/>
          <w:color w:val="1F4E5F"/>
        </w:rPr>
        <w:t>Conclusion</w:t>
      </w:r>
    </w:p>
    <w:p w14:paraId="7CE533B8" w14:textId="77777777" w:rsidR="00535CAF" w:rsidRDefault="00000000">
      <w:pPr>
        <w:pStyle w:val="ListParagraph"/>
        <w:numPr>
          <w:ilvl w:val="0"/>
          <w:numId w:val="1"/>
        </w:numPr>
        <w:spacing w:after="120"/>
      </w:pPr>
      <w:r>
        <w:t xml:space="preserve">The decision authorized the acquisition of exclusive control of La Crau Dis by the Carrefour group, as formalized by a framework agreement dated November 4, 2025 </w:t>
      </w:r>
      <w:hyperlink r:id="rId167" w:history="1">
        <w:r>
          <w:rPr>
            <w:rStyle w:val="Hyperlink"/>
          </w:rPr>
          <w:t>[5]</w:t>
        </w:r>
      </w:hyperlink>
      <w:r>
        <w:t>.</w:t>
      </w:r>
    </w:p>
    <w:p w14:paraId="7FFE0E5B" w14:textId="77777777" w:rsidR="00535CAF" w:rsidRDefault="00000000">
      <w:pPr>
        <w:pStyle w:val="ListParagraph"/>
        <w:numPr>
          <w:ilvl w:val="0"/>
          <w:numId w:val="1"/>
        </w:numPr>
        <w:spacing w:after="120"/>
      </w:pPr>
      <w:r>
        <w:t xml:space="preserve">The operation was classified as a concentration under Article L. 430-1 of the Commercial Code, indicating that it involved a significant change in control over the company </w:t>
      </w:r>
      <w:hyperlink r:id="rId168" w:history="1">
        <w:r>
          <w:rPr>
            <w:rStyle w:val="Hyperlink"/>
          </w:rPr>
          <w:t>[5]</w:t>
        </w:r>
      </w:hyperlink>
      <w:r>
        <w:t>.</w:t>
      </w:r>
    </w:p>
    <w:p w14:paraId="5079A448" w14:textId="77777777" w:rsidR="00535CAF" w:rsidRDefault="00000000">
      <w:pPr>
        <w:pStyle w:val="ListParagraph"/>
        <w:numPr>
          <w:ilvl w:val="0"/>
          <w:numId w:val="1"/>
        </w:numPr>
        <w:spacing w:after="120"/>
      </w:pPr>
      <w:r>
        <w:t xml:space="preserve">The turnover of the involved companies did not fall under the jurisdiction of the European Union, but the control thresholds were exceeded, making the operation subject to national competition law </w:t>
      </w:r>
      <w:hyperlink r:id="rId169" w:history="1">
        <w:r>
          <w:rPr>
            <w:rStyle w:val="Hyperlink"/>
          </w:rPr>
          <w:t>[5]</w:t>
        </w:r>
      </w:hyperlink>
      <w:r>
        <w:t>.</w:t>
      </w:r>
    </w:p>
    <w:p w14:paraId="65A0354C" w14:textId="77777777" w:rsidR="00535CAF" w:rsidRDefault="00000000">
      <w:pPr>
        <w:pStyle w:val="ListParagraph"/>
        <w:numPr>
          <w:ilvl w:val="0"/>
          <w:numId w:val="1"/>
        </w:numPr>
        <w:spacing w:after="120"/>
      </w:pPr>
      <w:r>
        <w:t xml:space="preserve">The analysis concluded that the operation was not likely to harm competition in the relevant markets, suggesting that it would not create or strengthen a dominant position </w:t>
      </w:r>
      <w:hyperlink r:id="rId170" w:history="1">
        <w:r>
          <w:rPr>
            <w:rStyle w:val="Hyperlink"/>
          </w:rPr>
          <w:t>[5]</w:t>
        </w:r>
      </w:hyperlink>
      <w:r>
        <w:t>.</w:t>
      </w:r>
    </w:p>
    <w:p w14:paraId="4E2987F7" w14:textId="77777777" w:rsidR="00535CAF" w:rsidRDefault="00000000">
      <w:pPr>
        <w:pStyle w:val="ListParagraph"/>
        <w:numPr>
          <w:ilvl w:val="0"/>
          <w:numId w:val="1"/>
        </w:numPr>
        <w:spacing w:after="120"/>
      </w:pPr>
      <w:r>
        <w:t xml:space="preserve">No remedies or fines were imposed as part of the decision, indicating that the authority found no need for corrective measures </w:t>
      </w:r>
      <w:hyperlink r:id="rId171" w:history="1">
        <w:r>
          <w:rPr>
            <w:rStyle w:val="Hyperlink"/>
          </w:rPr>
          <w:t>[5]</w:t>
        </w:r>
      </w:hyperlink>
      <w:r>
        <w:t>.</w:t>
      </w:r>
    </w:p>
    <w:p w14:paraId="2A51E307" w14:textId="77777777" w:rsidR="00535CAF" w:rsidRDefault="00000000">
      <w:pPr>
        <w:pStyle w:val="ListParagraph"/>
        <w:numPr>
          <w:ilvl w:val="0"/>
          <w:numId w:val="1"/>
        </w:numPr>
        <w:spacing w:after="120"/>
      </w:pPr>
      <w:r>
        <w:t xml:space="preserve">The operation was officially authorized under notification number 25-317, reflecting the authority's approval of the merger </w:t>
      </w:r>
      <w:hyperlink r:id="rId172" w:history="1">
        <w:r>
          <w:rPr>
            <w:rStyle w:val="Hyperlink"/>
          </w:rPr>
          <w:t>[5]</w:t>
        </w:r>
      </w:hyperlink>
      <w:r>
        <w:t>.</w:t>
      </w:r>
    </w:p>
    <w:p w14:paraId="227F4448" w14:textId="77777777" w:rsidR="00535CAF" w:rsidRDefault="00000000">
      <w:pPr>
        <w:spacing w:before="200" w:after="160"/>
      </w:pPr>
      <w:r>
        <w:rPr>
          <w:b/>
          <w:bCs/>
          <w:color w:val="1F4E5F"/>
        </w:rPr>
        <w:t>Decision No. 26-DCC-20 regarding the exclusive control acquisition of five business assets of the Auchan group by the Carrefour group</w:t>
      </w:r>
    </w:p>
    <w:p w14:paraId="076B559A" w14:textId="77777777" w:rsidR="00535CAF" w:rsidRDefault="00000000">
      <w:pPr>
        <w:spacing w:before="240" w:after="120"/>
      </w:pPr>
      <w:r>
        <w:rPr>
          <w:b/>
          <w:bCs/>
          <w:i/>
          <w:iCs/>
          <w:color w:val="1F4E5F"/>
        </w:rPr>
        <w:t>Case Background</w:t>
      </w:r>
    </w:p>
    <w:p w14:paraId="3BBFA773" w14:textId="77777777" w:rsidR="00535CAF" w:rsidRDefault="00000000">
      <w:pPr>
        <w:spacing w:after="160"/>
      </w:pPr>
      <w:r>
        <w:t xml:space="preserve">The allegation made in this case concerns the exclusive control acquisition of five business assets by the Carrefour group from the Auchan group. </w:t>
      </w:r>
      <w:hyperlink r:id="rId173" w:history="1">
        <w:r>
          <w:rPr>
            <w:rStyle w:val="Hyperlink"/>
          </w:rPr>
          <w:t>[6]</w:t>
        </w:r>
      </w:hyperlink>
    </w:p>
    <w:p w14:paraId="4287AA96" w14:textId="77777777" w:rsidR="00535CAF" w:rsidRDefault="00000000">
      <w:pPr>
        <w:spacing w:after="160"/>
      </w:pPr>
      <w:r>
        <w:t xml:space="preserve">The companies involved in this case are the Carrefour group and the Auchan group. </w:t>
      </w:r>
      <w:hyperlink r:id="rId174" w:history="1">
        <w:r>
          <w:rPr>
            <w:rStyle w:val="Hyperlink"/>
          </w:rPr>
          <w:t>[6]</w:t>
        </w:r>
      </w:hyperlink>
    </w:p>
    <w:p w14:paraId="69A82517" w14:textId="77777777" w:rsidR="00535CAF" w:rsidRDefault="00000000">
      <w:pPr>
        <w:spacing w:after="160"/>
      </w:pPr>
      <w:r>
        <w:t xml:space="preserve">The year of case initiation is 2025, with the complete notification file submitted on December 23, 2025. </w:t>
      </w:r>
      <w:hyperlink r:id="rId175" w:history="1">
        <w:r>
          <w:rPr>
            <w:rStyle w:val="Hyperlink"/>
          </w:rPr>
          <w:t>[6]</w:t>
        </w:r>
      </w:hyperlink>
    </w:p>
    <w:p w14:paraId="72A3D312" w14:textId="77777777" w:rsidR="00535CAF" w:rsidRDefault="00000000">
      <w:pPr>
        <w:spacing w:after="160"/>
      </w:pPr>
      <w:r>
        <w:t xml:space="preserve">The violation pertains to the acquisition of business assets that constitutes a concentration under the Commercial Code, specifically Articles L. 430-1 to L. 430-7. This acquisition was formalized through four asset transfer agreements and a promise of business asset transfer. </w:t>
      </w:r>
      <w:hyperlink r:id="rId176" w:history="1">
        <w:r>
          <w:rPr>
            <w:rStyle w:val="Hyperlink"/>
          </w:rPr>
          <w:t>[6]</w:t>
        </w:r>
      </w:hyperlink>
    </w:p>
    <w:p w14:paraId="11E55313" w14:textId="77777777" w:rsidR="00535CAF" w:rsidRDefault="00000000">
      <w:pPr>
        <w:spacing w:after="160"/>
      </w:pPr>
      <w:r>
        <w:t xml:space="preserve">The operation was conducted in two successive concentrations, with the first completed on June 1, 2025, involving four assets under the "myAuchan" brand, and the second involving a supermarket-type asset under the "Auchan Supermarché" brand. </w:t>
      </w:r>
      <w:hyperlink r:id="rId177" w:history="1">
        <w:r>
          <w:rPr>
            <w:rStyle w:val="Hyperlink"/>
          </w:rPr>
          <w:t>[6]</w:t>
        </w:r>
      </w:hyperlink>
    </w:p>
    <w:p w14:paraId="25B0CB5B" w14:textId="77777777" w:rsidR="00535CAF" w:rsidRDefault="00000000">
      <w:pPr>
        <w:spacing w:before="240" w:after="120"/>
      </w:pPr>
      <w:r>
        <w:rPr>
          <w:b/>
          <w:bCs/>
          <w:i/>
          <w:iCs/>
          <w:color w:val="1F4E5F"/>
        </w:rPr>
        <w:t>Case Progression</w:t>
      </w:r>
    </w:p>
    <w:p w14:paraId="0A763888" w14:textId="77777777" w:rsidR="00535CAF" w:rsidRDefault="00000000">
      <w:pPr>
        <w:pStyle w:val="ListParagraph"/>
        <w:numPr>
          <w:ilvl w:val="0"/>
          <w:numId w:val="1"/>
        </w:numPr>
        <w:spacing w:after="120"/>
      </w:pPr>
      <w:r>
        <w:rPr>
          <w:b/>
          <w:bCs/>
        </w:rPr>
        <w:t xml:space="preserve">Case Initiation: </w:t>
      </w:r>
      <w:r>
        <w:t xml:space="preserve">The case was initiated with the submission of a complete notification file by the Carrefour group on December 23, 2025, regarding their acquisition of exclusive control over five business assets of the Auchan group </w:t>
      </w:r>
      <w:hyperlink r:id="rId178" w:history="1">
        <w:r>
          <w:rPr>
            <w:rStyle w:val="Hyperlink"/>
          </w:rPr>
          <w:t>[6]</w:t>
        </w:r>
      </w:hyperlink>
      <w:r>
        <w:t>.</w:t>
      </w:r>
    </w:p>
    <w:p w14:paraId="74635E0B" w14:textId="77777777" w:rsidR="00535CAF" w:rsidRDefault="00000000">
      <w:pPr>
        <w:pStyle w:val="ListParagraph"/>
        <w:numPr>
          <w:ilvl w:val="0"/>
          <w:numId w:val="1"/>
        </w:numPr>
        <w:spacing w:after="120"/>
      </w:pPr>
      <w:r>
        <w:rPr>
          <w:b/>
          <w:bCs/>
        </w:rPr>
        <w:t xml:space="preserve">Preliminary Investigation: </w:t>
      </w:r>
      <w:r>
        <w:t xml:space="preserve">The investigation assessed whether the acquisition would harm competition in the relevant markets. Given the revenues generated by the companies involved, it was determined that the operation did not fall under EU jurisdiction, but it exceeded the control thresholds set by the Commercial Code </w:t>
      </w:r>
      <w:hyperlink r:id="rId179" w:history="1">
        <w:r>
          <w:rPr>
            <w:rStyle w:val="Hyperlink"/>
          </w:rPr>
          <w:t>[6]</w:t>
        </w:r>
      </w:hyperlink>
      <w:r>
        <w:t>.</w:t>
      </w:r>
    </w:p>
    <w:p w14:paraId="231BC562" w14:textId="77777777" w:rsidR="00535CAF" w:rsidRDefault="00000000">
      <w:pPr>
        <w:pStyle w:val="ListParagraph"/>
        <w:numPr>
          <w:ilvl w:val="0"/>
          <w:numId w:val="1"/>
        </w:numPr>
        <w:spacing w:after="120"/>
      </w:pPr>
      <w:r>
        <w:rPr>
          <w:b/>
          <w:bCs/>
        </w:rPr>
        <w:t xml:space="preserve">Statement of Objections: </w:t>
      </w:r>
      <w:r>
        <w:t xml:space="preserve">No Statement of Objections was issued in this case, as the investigation concluded that the operation was not likely to harm competition </w:t>
      </w:r>
      <w:hyperlink r:id="rId180" w:history="1">
        <w:r>
          <w:rPr>
            <w:rStyle w:val="Hyperlink"/>
          </w:rPr>
          <w:t>[6]</w:t>
        </w:r>
      </w:hyperlink>
      <w:r>
        <w:t>.</w:t>
      </w:r>
    </w:p>
    <w:p w14:paraId="7B6FFDF7" w14:textId="77777777" w:rsidR="00535CAF" w:rsidRDefault="00000000">
      <w:pPr>
        <w:pStyle w:val="ListParagraph"/>
        <w:numPr>
          <w:ilvl w:val="0"/>
          <w:numId w:val="1"/>
        </w:numPr>
        <w:spacing w:after="120"/>
      </w:pPr>
      <w:r>
        <w:rPr>
          <w:b/>
          <w:bCs/>
        </w:rPr>
        <w:t xml:space="preserve">Defense Phase: </w:t>
      </w:r>
      <w:r>
        <w:t xml:space="preserve">There was no formal defense phase, as the operation was authorized without any objections or need for a written response or oral hearing </w:t>
      </w:r>
      <w:hyperlink r:id="rId181" w:history="1">
        <w:r>
          <w:rPr>
            <w:rStyle w:val="Hyperlink"/>
          </w:rPr>
          <w:t>[6]</w:t>
        </w:r>
      </w:hyperlink>
      <w:r>
        <w:t>.</w:t>
      </w:r>
    </w:p>
    <w:p w14:paraId="126EE3DF" w14:textId="77777777" w:rsidR="00535CAF" w:rsidRDefault="00000000">
      <w:pPr>
        <w:pStyle w:val="ListParagraph"/>
        <w:numPr>
          <w:ilvl w:val="0"/>
          <w:numId w:val="1"/>
        </w:numPr>
        <w:spacing w:after="120"/>
      </w:pPr>
      <w:r>
        <w:rPr>
          <w:b/>
          <w:bCs/>
        </w:rPr>
        <w:t xml:space="preserve">Commission Decision: </w:t>
      </w:r>
      <w:r>
        <w:t xml:space="preserve">The Competition Authority authorized the operation, concluding that it did not pose a risk to competition in the relevant markets, thus closing the case without any infringement findings </w:t>
      </w:r>
      <w:hyperlink r:id="rId182" w:history="1">
        <w:r>
          <w:rPr>
            <w:rStyle w:val="Hyperlink"/>
          </w:rPr>
          <w:t>[6]</w:t>
        </w:r>
      </w:hyperlink>
      <w:r>
        <w:t>.</w:t>
      </w:r>
    </w:p>
    <w:p w14:paraId="43288E4B" w14:textId="77777777" w:rsidR="00535CAF" w:rsidRDefault="00000000">
      <w:pPr>
        <w:pStyle w:val="ListParagraph"/>
        <w:numPr>
          <w:ilvl w:val="0"/>
          <w:numId w:val="1"/>
        </w:numPr>
        <w:spacing w:after="120"/>
      </w:pPr>
      <w:r>
        <w:rPr>
          <w:b/>
          <w:bCs/>
        </w:rPr>
        <w:t xml:space="preserve">Final Outcome: </w:t>
      </w:r>
      <w:r>
        <w:t xml:space="preserve">The operation was officially authorized by the President of the Competition Authority, Benoît Cœuré, marking the end of the case with no further appeals or legal proceedings anticipated </w:t>
      </w:r>
      <w:hyperlink r:id="rId183" w:history="1">
        <w:r>
          <w:rPr>
            <w:rStyle w:val="Hyperlink"/>
          </w:rPr>
          <w:t>[6]</w:t>
        </w:r>
      </w:hyperlink>
      <w:r>
        <w:t>.</w:t>
      </w:r>
    </w:p>
    <w:p w14:paraId="05E7BA80" w14:textId="77777777" w:rsidR="00535CAF" w:rsidRDefault="00000000">
      <w:pPr>
        <w:spacing w:before="240" w:after="120"/>
      </w:pPr>
      <w:r>
        <w:rPr>
          <w:b/>
          <w:bCs/>
          <w:i/>
          <w:iCs/>
          <w:color w:val="1F4E5F"/>
        </w:rPr>
        <w:t>Market Definition</w:t>
      </w:r>
    </w:p>
    <w:p w14:paraId="25EA7F84" w14:textId="77777777" w:rsidR="00535CAF" w:rsidRDefault="00000000">
      <w:pPr>
        <w:spacing w:after="160"/>
      </w:pPr>
      <w:r>
        <w:t xml:space="preserve">The market considered in this case involved food retail business assets operated under the Auchan group brands, specifically focusing on the acquisition of these assets by the Carrefour group. </w:t>
      </w:r>
      <w:hyperlink r:id="rId184" w:history="1">
        <w:r>
          <w:rPr>
            <w:rStyle w:val="Hyperlink"/>
          </w:rPr>
          <w:t>[6]</w:t>
        </w:r>
      </w:hyperlink>
    </w:p>
    <w:p w14:paraId="302ABB94" w14:textId="77777777" w:rsidR="00535CAF" w:rsidRDefault="00000000">
      <w:pPr>
        <w:spacing w:after="160"/>
      </w:pPr>
      <w:r>
        <w:t xml:space="preserve">The process to define the relevant market included analyzing the nature of the business assets being acquired and their operational locations, which were primarily in Paris and Aubagne. </w:t>
      </w:r>
      <w:hyperlink r:id="rId185" w:history="1">
        <w:r>
          <w:rPr>
            <w:rStyle w:val="Hyperlink"/>
          </w:rPr>
          <w:t>[6]</w:t>
        </w:r>
      </w:hyperlink>
    </w:p>
    <w:p w14:paraId="726AE152" w14:textId="77777777" w:rsidR="00535CAF" w:rsidRDefault="00000000">
      <w:pPr>
        <w:spacing w:after="160"/>
      </w:pPr>
      <w:r>
        <w:t xml:space="preserve">The assessment involved determining whether the acquisition would harm competition in the relevant markets, which was evaluated based on the revenues generated by the companies involved. </w:t>
      </w:r>
      <w:hyperlink r:id="rId186" w:history="1">
        <w:r>
          <w:rPr>
            <w:rStyle w:val="Hyperlink"/>
          </w:rPr>
          <w:t>[6]</w:t>
        </w:r>
      </w:hyperlink>
    </w:p>
    <w:p w14:paraId="09530EB6" w14:textId="77777777" w:rsidR="00535CAF" w:rsidRDefault="00000000">
      <w:pPr>
        <w:spacing w:after="160"/>
      </w:pPr>
      <w:r>
        <w:t xml:space="preserve">The Competition Authority referenced specific articles from the Commercial Code, particularly Articles L. 430-1 to L. 430-7, to frame the legal context of the market definition and competition assessment. </w:t>
      </w:r>
      <w:hyperlink r:id="rId187" w:history="1">
        <w:r>
          <w:rPr>
            <w:rStyle w:val="Hyperlink"/>
          </w:rPr>
          <w:t>[6]</w:t>
        </w:r>
      </w:hyperlink>
    </w:p>
    <w:p w14:paraId="526822C6" w14:textId="77777777" w:rsidR="00535CAF" w:rsidRDefault="00000000">
      <w:pPr>
        <w:spacing w:after="160"/>
      </w:pPr>
      <w:r>
        <w:t xml:space="preserve">The decision indicated that the operation did not fall under the jurisdiction of the European Union due to the revenues generated, which helped in defining the scope of the market and the applicable regulations. </w:t>
      </w:r>
      <w:hyperlink r:id="rId188" w:history="1">
        <w:r>
          <w:rPr>
            <w:rStyle w:val="Hyperlink"/>
          </w:rPr>
          <w:t>[6]</w:t>
        </w:r>
      </w:hyperlink>
    </w:p>
    <w:p w14:paraId="000AEACA" w14:textId="77777777" w:rsidR="00535CAF" w:rsidRDefault="00000000">
      <w:pPr>
        <w:spacing w:after="160"/>
      </w:pPr>
      <w:r>
        <w:t xml:space="preserve">Techniques used in the analysis included reviewing the asset transfer agreements and the promise of business asset transfer to understand the implications of the acquisition on market competition. </w:t>
      </w:r>
      <w:hyperlink r:id="rId189" w:history="1">
        <w:r>
          <w:rPr>
            <w:rStyle w:val="Hyperlink"/>
          </w:rPr>
          <w:t>[6]</w:t>
        </w:r>
      </w:hyperlink>
    </w:p>
    <w:p w14:paraId="3DDDE73A" w14:textId="77777777" w:rsidR="00535CAF" w:rsidRDefault="00000000">
      <w:pPr>
        <w:spacing w:after="160"/>
      </w:pPr>
      <w:r>
        <w:t xml:space="preserve">Ultimately, the conclusion drawn was that the operation was not likely to harm competition in the relevant markets, leading to the authorization of the acquisition. </w:t>
      </w:r>
      <w:hyperlink r:id="rId190" w:history="1">
        <w:r>
          <w:rPr>
            <w:rStyle w:val="Hyperlink"/>
          </w:rPr>
          <w:t>[6]</w:t>
        </w:r>
      </w:hyperlink>
    </w:p>
    <w:p w14:paraId="04FC7D7B" w14:textId="77777777" w:rsidR="00535CAF" w:rsidRDefault="00000000">
      <w:pPr>
        <w:spacing w:before="240" w:after="120"/>
      </w:pPr>
      <w:r>
        <w:rPr>
          <w:b/>
          <w:bCs/>
          <w:i/>
          <w:iCs/>
          <w:color w:val="1F4E5F"/>
        </w:rPr>
        <w:t>Theories of Harm</w:t>
      </w:r>
    </w:p>
    <w:p w14:paraId="65669DE4" w14:textId="77777777" w:rsidR="00535CAF" w:rsidRDefault="00000000">
      <w:pPr>
        <w:pStyle w:val="ListParagraph"/>
        <w:numPr>
          <w:ilvl w:val="0"/>
          <w:numId w:val="1"/>
        </w:numPr>
        <w:spacing w:after="120"/>
      </w:pPr>
      <w:r>
        <w:rPr>
          <w:b/>
          <w:bCs/>
        </w:rPr>
        <w:t xml:space="preserve">Theory of Harm Related to Market Concentration: </w:t>
      </w:r>
      <w:r>
        <w:t xml:space="preserve">This theory examines whether the acquisition could lead to a significant reduction in competition within the relevant markets. In this case, it was determined that the operation does not harm competition, as the acquisition of five business assets does not create a monopoly or significantly lessen competition in the food retail sector. This conclusion is supported by the assessment of the revenues generated by the companies involved, indicating that the operation does not exceed the jurisdictional thresholds of the European Union. </w:t>
      </w:r>
      <w:hyperlink r:id="rId191" w:history="1">
        <w:r>
          <w:rPr>
            <w:rStyle w:val="Hyperlink"/>
          </w:rPr>
          <w:t>[6]</w:t>
        </w:r>
      </w:hyperlink>
    </w:p>
    <w:p w14:paraId="2CC4153D" w14:textId="77777777" w:rsidR="00535CAF" w:rsidRDefault="00000000">
      <w:pPr>
        <w:pStyle w:val="ListParagraph"/>
        <w:numPr>
          <w:ilvl w:val="0"/>
          <w:numId w:val="1"/>
        </w:numPr>
        <w:spacing w:after="120"/>
      </w:pPr>
      <w:r>
        <w:rPr>
          <w:b/>
          <w:bCs/>
        </w:rPr>
        <w:t xml:space="preserve">Theory of Harm Concerning Consumer Choice: </w:t>
      </w:r>
      <w:r>
        <w:t xml:space="preserve">This theory considers whether the acquisition might limit consumer choices by reducing the number of competitors in the market. The decision noted that the operation is not likely to harm competition, implying that consumer choice would remain intact despite the consolidation of assets under the Carrefour group. The analysis suggests that the presence of multiple brands and retailers in the market would continue to provide consumers with various options. </w:t>
      </w:r>
      <w:hyperlink r:id="rId192" w:history="1">
        <w:r>
          <w:rPr>
            <w:rStyle w:val="Hyperlink"/>
          </w:rPr>
          <w:t>[6]</w:t>
        </w:r>
      </w:hyperlink>
    </w:p>
    <w:p w14:paraId="796F7DBA" w14:textId="77777777" w:rsidR="00535CAF" w:rsidRDefault="00000000">
      <w:pPr>
        <w:pStyle w:val="ListParagraph"/>
        <w:numPr>
          <w:ilvl w:val="0"/>
          <w:numId w:val="1"/>
        </w:numPr>
        <w:spacing w:after="120"/>
      </w:pPr>
      <w:r>
        <w:rPr>
          <w:b/>
          <w:bCs/>
        </w:rPr>
        <w:t xml:space="preserve">Theory of Harm Related to Pricing Power: </w:t>
      </w:r>
      <w:r>
        <w:t xml:space="preserve">This theory evaluates whether the acquisition could lead to increased pricing power for the acquiring entity, potentially resulting in higher prices for consumers. The decision concluded that the operation would not lead to a significant increase in pricing power for the Carrefour group, as the competitive dynamics in the market would remain robust, preventing any adverse effects on pricing. </w:t>
      </w:r>
      <w:hyperlink r:id="rId193" w:history="1">
        <w:r>
          <w:rPr>
            <w:rStyle w:val="Hyperlink"/>
          </w:rPr>
          <w:t>[6]</w:t>
        </w:r>
      </w:hyperlink>
    </w:p>
    <w:p w14:paraId="45374E18" w14:textId="77777777" w:rsidR="00535CAF" w:rsidRDefault="00000000">
      <w:pPr>
        <w:spacing w:before="240" w:after="120"/>
      </w:pPr>
      <w:r>
        <w:rPr>
          <w:b/>
          <w:bCs/>
          <w:i/>
          <w:iCs/>
          <w:color w:val="1F4E5F"/>
        </w:rPr>
        <w:t>Legal &amp; Economic Tests</w:t>
      </w:r>
    </w:p>
    <w:p w14:paraId="75BBBC91" w14:textId="77777777" w:rsidR="00535CAF" w:rsidRDefault="00000000">
      <w:pPr>
        <w:pStyle w:val="ListParagraph"/>
        <w:numPr>
          <w:ilvl w:val="0"/>
          <w:numId w:val="1"/>
        </w:numPr>
        <w:spacing w:after="120"/>
      </w:pPr>
      <w:r>
        <w:rPr>
          <w:b/>
          <w:bCs/>
        </w:rPr>
        <w:t xml:space="preserve">Concentration Definition Test: </w:t>
      </w:r>
      <w:r>
        <w:t xml:space="preserve">This test determines whether the transaction constitutes a concentration as defined by Article L. 430-1 of the Commercial Code. In this case, the acquisition of exclusive control by the Carrefour group over five business assets of the Auchan group was assessed to confirm it meets the legal criteria for a concentration. The process involved reviewing the nature of the transaction and the entities involved to ensure it aligns with the legal definition. </w:t>
      </w:r>
      <w:hyperlink r:id="rId194" w:history="1">
        <w:r>
          <w:rPr>
            <w:rStyle w:val="Hyperlink"/>
          </w:rPr>
          <w:t>[6]</w:t>
        </w:r>
      </w:hyperlink>
    </w:p>
    <w:p w14:paraId="3E3DFC50" w14:textId="77777777" w:rsidR="00535CAF" w:rsidRDefault="00000000">
      <w:pPr>
        <w:pStyle w:val="ListParagraph"/>
        <w:numPr>
          <w:ilvl w:val="0"/>
          <w:numId w:val="1"/>
        </w:numPr>
        <w:spacing w:after="120"/>
      </w:pPr>
      <w:r>
        <w:rPr>
          <w:b/>
          <w:bCs/>
        </w:rPr>
        <w:t xml:space="preserve">Jurisdictional Threshold Test: </w:t>
      </w:r>
      <w:r>
        <w:t xml:space="preserve">This test evaluates whether the transaction falls under the jurisdiction of the European Union based on the revenues generated by the companies involved. In this instance, it was determined that the revenues exceeded the control thresholds outlined in Article L. 430-2, indicating that the operation is subject to national competition law rather than EU law. The process included analyzing the financial data of the involved parties to ascertain jurisdiction. </w:t>
      </w:r>
      <w:hyperlink r:id="rId195" w:history="1">
        <w:r>
          <w:rPr>
            <w:rStyle w:val="Hyperlink"/>
          </w:rPr>
          <w:t>[6]</w:t>
        </w:r>
      </w:hyperlink>
    </w:p>
    <w:p w14:paraId="6B0569CB" w14:textId="77777777" w:rsidR="00535CAF" w:rsidRDefault="00000000">
      <w:pPr>
        <w:pStyle w:val="ListParagraph"/>
        <w:numPr>
          <w:ilvl w:val="0"/>
          <w:numId w:val="1"/>
        </w:numPr>
        <w:spacing w:after="120"/>
      </w:pPr>
      <w:r>
        <w:rPr>
          <w:b/>
          <w:bCs/>
        </w:rPr>
        <w:t xml:space="preserve">Competition Harm Assessment: </w:t>
      </w:r>
      <w:r>
        <w:t xml:space="preserve">This assessment examines whether the transaction is likely to harm competition in the relevant markets. The authority reviewed the competitive landscape and potential market impacts of the acquisition. In this case, it was concluded that the operation would not harm competition, allowing for the authorization of the transaction. The process involved evaluating market shares, competitive dynamics, and potential barriers to entry. </w:t>
      </w:r>
      <w:hyperlink r:id="rId196" w:history="1">
        <w:r>
          <w:rPr>
            <w:rStyle w:val="Hyperlink"/>
          </w:rPr>
          <w:t>[6]</w:t>
        </w:r>
      </w:hyperlink>
    </w:p>
    <w:p w14:paraId="49B87DB1" w14:textId="77777777" w:rsidR="00535CAF" w:rsidRDefault="00000000">
      <w:pPr>
        <w:spacing w:before="240" w:after="120"/>
      </w:pPr>
      <w:r>
        <w:rPr>
          <w:b/>
          <w:bCs/>
          <w:i/>
          <w:iCs/>
          <w:color w:val="1F4E5F"/>
        </w:rPr>
        <w:t>Remedies</w:t>
      </w:r>
    </w:p>
    <w:p w14:paraId="45BACD56" w14:textId="77777777" w:rsidR="00535CAF" w:rsidRDefault="00000000">
      <w:pPr>
        <w:pStyle w:val="ListParagraph"/>
        <w:numPr>
          <w:ilvl w:val="0"/>
          <w:numId w:val="1"/>
        </w:numPr>
        <w:spacing w:after="120"/>
      </w:pPr>
      <w:r>
        <w:t xml:space="preserve">No remedies were proposed or imposed in this case, as the operation was determined not to harm competition in the relevant markets. This indicates that the Competition Authority found no need for corrective measures to ensure fair competition. </w:t>
      </w:r>
      <w:hyperlink r:id="rId197" w:history="1">
        <w:r>
          <w:rPr>
            <w:rStyle w:val="Hyperlink"/>
          </w:rPr>
          <w:t>[6]</w:t>
        </w:r>
      </w:hyperlink>
    </w:p>
    <w:p w14:paraId="2A643482" w14:textId="77777777" w:rsidR="00535CAF" w:rsidRDefault="00000000">
      <w:pPr>
        <w:pStyle w:val="ListParagraph"/>
        <w:numPr>
          <w:ilvl w:val="0"/>
          <w:numId w:val="1"/>
        </w:numPr>
        <w:spacing w:after="120"/>
      </w:pPr>
      <w:r>
        <w:t xml:space="preserve">The decision authorized the acquisition of exclusive control by the Carrefour group over the specified business assets without any conditions. This means that the authority did not identify any potential anti-competitive effects that would require mitigation. </w:t>
      </w:r>
      <w:hyperlink r:id="rId198" w:history="1">
        <w:r>
          <w:rPr>
            <w:rStyle w:val="Hyperlink"/>
          </w:rPr>
          <w:t>[6]</w:t>
        </w:r>
      </w:hyperlink>
    </w:p>
    <w:p w14:paraId="613F3804" w14:textId="77777777" w:rsidR="00535CAF" w:rsidRDefault="00000000">
      <w:pPr>
        <w:pStyle w:val="ListParagraph"/>
        <w:numPr>
          <w:ilvl w:val="0"/>
          <w:numId w:val="1"/>
        </w:numPr>
        <w:spacing w:after="120"/>
      </w:pPr>
      <w:r>
        <w:t xml:space="preserve">The absence of remedies suggests that the transaction was viewed as beneficial or neutral in terms of market competition, allowing Carrefour to proceed with the acquisition without any restrictions. This reflects the authority's assessment of the competitive landscape following the merger. </w:t>
      </w:r>
      <w:hyperlink r:id="rId199" w:history="1">
        <w:r>
          <w:rPr>
            <w:rStyle w:val="Hyperlink"/>
          </w:rPr>
          <w:t>[6]</w:t>
        </w:r>
      </w:hyperlink>
    </w:p>
    <w:p w14:paraId="5154D4A8" w14:textId="77777777" w:rsidR="00535CAF" w:rsidRDefault="00000000">
      <w:pPr>
        <w:spacing w:before="240" w:after="120"/>
      </w:pPr>
      <w:r>
        <w:rPr>
          <w:b/>
          <w:bCs/>
          <w:i/>
          <w:iCs/>
          <w:color w:val="1F4E5F"/>
        </w:rPr>
        <w:t>Conclusion</w:t>
      </w:r>
    </w:p>
    <w:p w14:paraId="3E6F1DC1" w14:textId="77777777" w:rsidR="00535CAF" w:rsidRDefault="00000000">
      <w:pPr>
        <w:pStyle w:val="ListParagraph"/>
        <w:numPr>
          <w:ilvl w:val="0"/>
          <w:numId w:val="1"/>
        </w:numPr>
        <w:spacing w:after="120"/>
      </w:pPr>
      <w:r>
        <w:t xml:space="preserve">The operation involving the Carrefour group acquiring exclusive control of five business assets from the Auchan group was authorized, indicating that it was deemed not likely to harm competition in the relevant markets </w:t>
      </w:r>
      <w:hyperlink r:id="rId200" w:history="1">
        <w:r>
          <w:rPr>
            <w:rStyle w:val="Hyperlink"/>
          </w:rPr>
          <w:t>[6]</w:t>
        </w:r>
      </w:hyperlink>
      <w:r>
        <w:t>.</w:t>
      </w:r>
    </w:p>
    <w:p w14:paraId="47D53E18" w14:textId="77777777" w:rsidR="00535CAF" w:rsidRDefault="00000000">
      <w:pPr>
        <w:pStyle w:val="ListParagraph"/>
        <w:numPr>
          <w:ilvl w:val="0"/>
          <w:numId w:val="1"/>
        </w:numPr>
        <w:spacing w:after="120"/>
      </w:pPr>
      <w:r>
        <w:t xml:space="preserve">The acquisition consisted of two successive concentrations: the first involved four business assets under the "myAuchan" brand located in Paris, completed on June 1, 2025, and the second involved a supermarket-type asset under the "Auchan Supermarché" brand located in Aubagne </w:t>
      </w:r>
      <w:hyperlink r:id="rId201" w:history="1">
        <w:r>
          <w:rPr>
            <w:rStyle w:val="Hyperlink"/>
          </w:rPr>
          <w:t>[6]</w:t>
        </w:r>
      </w:hyperlink>
      <w:r>
        <w:t>.</w:t>
      </w:r>
    </w:p>
    <w:p w14:paraId="5ABBF569" w14:textId="77777777" w:rsidR="00535CAF" w:rsidRDefault="00000000">
      <w:pPr>
        <w:pStyle w:val="ListParagraph"/>
        <w:numPr>
          <w:ilvl w:val="0"/>
          <w:numId w:val="1"/>
        </w:numPr>
        <w:spacing w:after="120"/>
      </w:pPr>
      <w:r>
        <w:t xml:space="preserve">The operation was classified as a concentration under Article L. 430-1 of the Commercial Code, which pertains to economic concentration </w:t>
      </w:r>
      <w:hyperlink r:id="rId202" w:history="1">
        <w:r>
          <w:rPr>
            <w:rStyle w:val="Hyperlink"/>
          </w:rPr>
          <w:t>[6]</w:t>
        </w:r>
      </w:hyperlink>
      <w:r>
        <w:t>.</w:t>
      </w:r>
    </w:p>
    <w:p w14:paraId="77C29D0D" w14:textId="77777777" w:rsidR="00535CAF" w:rsidRDefault="00000000">
      <w:pPr>
        <w:pStyle w:val="ListParagraph"/>
        <w:numPr>
          <w:ilvl w:val="0"/>
          <w:numId w:val="1"/>
        </w:numPr>
        <w:spacing w:after="120"/>
      </w:pPr>
      <w:r>
        <w:t xml:space="preserve">The revenues generated by the companies involved in the operation did not fall under the jurisdiction of the European Union, but the control thresholds specified in Article L. 430-2 of the Commercial Code were exceeded, making the operation subject to national competition law provisions </w:t>
      </w:r>
      <w:hyperlink r:id="rId203" w:history="1">
        <w:r>
          <w:rPr>
            <w:rStyle w:val="Hyperlink"/>
          </w:rPr>
          <w:t>[6]</w:t>
        </w:r>
      </w:hyperlink>
      <w:r>
        <w:t>.</w:t>
      </w:r>
    </w:p>
    <w:p w14:paraId="000FE8BF" w14:textId="77777777" w:rsidR="00535CAF" w:rsidRDefault="00000000">
      <w:pPr>
        <w:pStyle w:val="ListParagraph"/>
        <w:numPr>
          <w:ilvl w:val="0"/>
          <w:numId w:val="1"/>
        </w:numPr>
        <w:spacing w:after="120"/>
      </w:pPr>
      <w:r>
        <w:t xml:space="preserve">No test results, remedies, or fines were mentioned in the decision, indicating that the operation was straightforwardly authorized without any conditions or penalties </w:t>
      </w:r>
      <w:hyperlink r:id="rId204" w:history="1">
        <w:r>
          <w:rPr>
            <w:rStyle w:val="Hyperlink"/>
          </w:rPr>
          <w:t>[6]</w:t>
        </w:r>
      </w:hyperlink>
      <w:r>
        <w:t>.</w:t>
      </w:r>
    </w:p>
    <w:p w14:paraId="7D60A5F3" w14:textId="77777777" w:rsidR="00535CAF" w:rsidRDefault="00000000">
      <w:pPr>
        <w:spacing w:before="280" w:after="120"/>
      </w:pPr>
      <w:r>
        <w:rPr>
          <w:b/>
          <w:bCs/>
          <w:color w:val="1F4E5F"/>
        </w:rPr>
        <w:t>Cited Sources</w:t>
      </w:r>
    </w:p>
    <w:p w14:paraId="7FCB4ED1" w14:textId="77777777" w:rsidR="00535CAF" w:rsidRDefault="00000000">
      <w:pPr>
        <w:pStyle w:val="ListParagraph"/>
        <w:numPr>
          <w:ilvl w:val="0"/>
          <w:numId w:val="2"/>
        </w:numPr>
        <w:spacing w:after="100"/>
      </w:pPr>
      <w:hyperlink r:id="rId205" w:history="1">
        <w:r>
          <w:rPr>
            <w:rStyle w:val="Hyperlink"/>
          </w:rPr>
          <w:t>20-DSA-245: Carrefour and Tesco</w:t>
        </w:r>
      </w:hyperlink>
    </w:p>
    <w:p w14:paraId="359B9300" w14:textId="77777777" w:rsidR="00535CAF" w:rsidRDefault="00000000">
      <w:pPr>
        <w:pStyle w:val="ListParagraph"/>
        <w:numPr>
          <w:ilvl w:val="0"/>
          <w:numId w:val="2"/>
        </w:numPr>
        <w:spacing w:after="100"/>
      </w:pPr>
      <w:hyperlink r:id="rId206" w:history="1">
        <w:r>
          <w:rPr>
            <w:rStyle w:val="Hyperlink"/>
          </w:rPr>
          <w:t>Relative des pratiques mises en œuvre dans le secteur de la distribution des produits - Case Number: Not specified - Involved Companies: ITME, LCB, Synadis Bio, Carrefour, Greenweez, ITM AI, CSF.</w:t>
        </w:r>
      </w:hyperlink>
    </w:p>
    <w:p w14:paraId="2C633035" w14:textId="77777777" w:rsidR="00535CAF" w:rsidRDefault="00000000">
      <w:pPr>
        <w:pStyle w:val="ListParagraph"/>
        <w:numPr>
          <w:ilvl w:val="0"/>
          <w:numId w:val="2"/>
        </w:numPr>
        <w:spacing w:after="100"/>
      </w:pPr>
      <w:hyperlink r:id="rId207" w:history="1">
        <w:r>
          <w:rPr>
            <w:rStyle w:val="Hyperlink"/>
          </w:rPr>
          <w:t>Decision No. 10-D-08 regarding practices implemented by Carrefour in the sector of proximity general food trade.</w:t>
        </w:r>
      </w:hyperlink>
    </w:p>
    <w:p w14:paraId="743D267C" w14:textId="77777777" w:rsidR="00535CAF" w:rsidRDefault="00000000">
      <w:pPr>
        <w:pStyle w:val="ListParagraph"/>
        <w:numPr>
          <w:ilvl w:val="0"/>
          <w:numId w:val="2"/>
        </w:numPr>
        <w:spacing w:after="100"/>
      </w:pPr>
      <w:hyperlink r:id="rId208" w:history="1">
        <w:r>
          <w:rPr>
            <w:rStyle w:val="Hyperlink"/>
          </w:rPr>
          <w:t>Decision No. 25-DCC-280 regarding the joint control acquisition of the company VPM Distribution by the Carrefour group and the Vacher and Vidal consortium</w:t>
        </w:r>
      </w:hyperlink>
    </w:p>
    <w:p w14:paraId="68FA5CF4" w14:textId="77777777" w:rsidR="00535CAF" w:rsidRDefault="00000000">
      <w:pPr>
        <w:pStyle w:val="ListParagraph"/>
        <w:numPr>
          <w:ilvl w:val="0"/>
          <w:numId w:val="2"/>
        </w:numPr>
        <w:spacing w:after="100"/>
      </w:pPr>
      <w:hyperlink r:id="rId209" w:history="1">
        <w:r>
          <w:rPr>
            <w:rStyle w:val="Hyperlink"/>
          </w:rPr>
          <w:t>Decision No. 25-DCC-300 regarding the exclusive control acquisition of the company La Crau Dis by the Carrefour group</w:t>
        </w:r>
      </w:hyperlink>
    </w:p>
    <w:p w14:paraId="67CCEADC" w14:textId="77777777" w:rsidR="00535CAF" w:rsidRDefault="00000000">
      <w:pPr>
        <w:pStyle w:val="ListParagraph"/>
        <w:numPr>
          <w:ilvl w:val="0"/>
          <w:numId w:val="2"/>
        </w:numPr>
        <w:spacing w:after="100"/>
      </w:pPr>
      <w:hyperlink r:id="rId210" w:history="1">
        <w:r>
          <w:rPr>
            <w:rStyle w:val="Hyperlink"/>
          </w:rPr>
          <w:t>Decision No. 26-DCC-20 regarding the exclusive control acquisition of five business assets of the Auchan group by the Carrefour group</w:t>
        </w:r>
      </w:hyperlink>
    </w:p>
    <w:sectPr w:rsidR="00535CAF">
      <w:headerReference w:type="default" r:id="rId211"/>
      <w:footerReference w:type="default" r:id="rId212"/>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5306" w14:textId="77777777" w:rsidR="004D7CCC" w:rsidRDefault="004D7CCC">
      <w:r>
        <w:separator/>
      </w:r>
    </w:p>
  </w:endnote>
  <w:endnote w:type="continuationSeparator" w:id="0">
    <w:p w14:paraId="2F69F2A9" w14:textId="77777777" w:rsidR="004D7CCC" w:rsidRDefault="004D7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C6E3D" w14:textId="77777777" w:rsidR="00535CAF"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B7646">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DC960" w14:textId="77777777" w:rsidR="004D7CCC" w:rsidRDefault="004D7CCC">
      <w:r>
        <w:separator/>
      </w:r>
    </w:p>
  </w:footnote>
  <w:footnote w:type="continuationSeparator" w:id="0">
    <w:p w14:paraId="619755A6" w14:textId="77777777" w:rsidR="004D7CCC" w:rsidRDefault="004D7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42C2" w14:textId="77777777" w:rsidR="00535CAF"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D38E9"/>
    <w:multiLevelType w:val="hybridMultilevel"/>
    <w:tmpl w:val="214E2A1C"/>
    <w:lvl w:ilvl="0" w:tplc="CA0A7176">
      <w:start w:val="1"/>
      <w:numFmt w:val="decimal"/>
      <w:lvlText w:val="[%1]"/>
      <w:lvlJc w:val="left"/>
      <w:pPr>
        <w:ind w:left="450" w:hanging="300"/>
      </w:pPr>
    </w:lvl>
    <w:lvl w:ilvl="1" w:tplc="144CE9EE">
      <w:numFmt w:val="decimal"/>
      <w:lvlText w:val=""/>
      <w:lvlJc w:val="left"/>
    </w:lvl>
    <w:lvl w:ilvl="2" w:tplc="10C470CA">
      <w:numFmt w:val="decimal"/>
      <w:lvlText w:val=""/>
      <w:lvlJc w:val="left"/>
    </w:lvl>
    <w:lvl w:ilvl="3" w:tplc="6A688636">
      <w:numFmt w:val="decimal"/>
      <w:lvlText w:val=""/>
      <w:lvlJc w:val="left"/>
    </w:lvl>
    <w:lvl w:ilvl="4" w:tplc="2640D356">
      <w:numFmt w:val="decimal"/>
      <w:lvlText w:val=""/>
      <w:lvlJc w:val="left"/>
    </w:lvl>
    <w:lvl w:ilvl="5" w:tplc="1954FEA8">
      <w:numFmt w:val="decimal"/>
      <w:lvlText w:val=""/>
      <w:lvlJc w:val="left"/>
    </w:lvl>
    <w:lvl w:ilvl="6" w:tplc="2F38FFAC">
      <w:numFmt w:val="decimal"/>
      <w:lvlText w:val=""/>
      <w:lvlJc w:val="left"/>
    </w:lvl>
    <w:lvl w:ilvl="7" w:tplc="F65A6222">
      <w:numFmt w:val="decimal"/>
      <w:lvlText w:val=""/>
      <w:lvlJc w:val="left"/>
    </w:lvl>
    <w:lvl w:ilvl="8" w:tplc="35880216">
      <w:numFmt w:val="decimal"/>
      <w:lvlText w:val=""/>
      <w:lvlJc w:val="left"/>
    </w:lvl>
  </w:abstractNum>
  <w:abstractNum w:abstractNumId="1" w15:restartNumberingAfterBreak="0">
    <w:nsid w:val="68FE1E7D"/>
    <w:multiLevelType w:val="hybridMultilevel"/>
    <w:tmpl w:val="D17408A6"/>
    <w:lvl w:ilvl="0" w:tplc="0C0EB9BA">
      <w:start w:val="1"/>
      <w:numFmt w:val="bullet"/>
      <w:lvlText w:val="●"/>
      <w:lvlJc w:val="left"/>
      <w:pPr>
        <w:ind w:left="720" w:hanging="360"/>
      </w:pPr>
    </w:lvl>
    <w:lvl w:ilvl="1" w:tplc="A86837C2">
      <w:start w:val="1"/>
      <w:numFmt w:val="bullet"/>
      <w:lvlText w:val="○"/>
      <w:lvlJc w:val="left"/>
      <w:pPr>
        <w:ind w:left="1440" w:hanging="360"/>
      </w:pPr>
    </w:lvl>
    <w:lvl w:ilvl="2" w:tplc="86A6F2CE">
      <w:start w:val="1"/>
      <w:numFmt w:val="bullet"/>
      <w:lvlText w:val="■"/>
      <w:lvlJc w:val="left"/>
      <w:pPr>
        <w:ind w:left="2160" w:hanging="360"/>
      </w:pPr>
    </w:lvl>
    <w:lvl w:ilvl="3" w:tplc="7D7470E8">
      <w:start w:val="1"/>
      <w:numFmt w:val="bullet"/>
      <w:lvlText w:val="●"/>
      <w:lvlJc w:val="left"/>
      <w:pPr>
        <w:ind w:left="2880" w:hanging="360"/>
      </w:pPr>
    </w:lvl>
    <w:lvl w:ilvl="4" w:tplc="EA487732">
      <w:start w:val="1"/>
      <w:numFmt w:val="bullet"/>
      <w:lvlText w:val="○"/>
      <w:lvlJc w:val="left"/>
      <w:pPr>
        <w:ind w:left="3600" w:hanging="360"/>
      </w:pPr>
    </w:lvl>
    <w:lvl w:ilvl="5" w:tplc="2452B814">
      <w:start w:val="1"/>
      <w:numFmt w:val="bullet"/>
      <w:lvlText w:val="■"/>
      <w:lvlJc w:val="left"/>
      <w:pPr>
        <w:ind w:left="4320" w:hanging="360"/>
      </w:pPr>
    </w:lvl>
    <w:lvl w:ilvl="6" w:tplc="4BDA81DE">
      <w:start w:val="1"/>
      <w:numFmt w:val="bullet"/>
      <w:lvlText w:val="●"/>
      <w:lvlJc w:val="left"/>
      <w:pPr>
        <w:ind w:left="5040" w:hanging="360"/>
      </w:pPr>
    </w:lvl>
    <w:lvl w:ilvl="7" w:tplc="9D5C3F7C">
      <w:start w:val="1"/>
      <w:numFmt w:val="bullet"/>
      <w:lvlText w:val="●"/>
      <w:lvlJc w:val="left"/>
      <w:pPr>
        <w:ind w:left="5760" w:hanging="360"/>
      </w:pPr>
    </w:lvl>
    <w:lvl w:ilvl="8" w:tplc="D520E7BE">
      <w:start w:val="1"/>
      <w:numFmt w:val="bullet"/>
      <w:lvlText w:val="●"/>
      <w:lvlJc w:val="left"/>
      <w:pPr>
        <w:ind w:left="6480" w:hanging="360"/>
      </w:pPr>
    </w:lvl>
  </w:abstractNum>
  <w:num w:numId="1" w16cid:durableId="1040474751">
    <w:abstractNumId w:val="1"/>
    <w:lvlOverride w:ilvl="0">
      <w:startOverride w:val="1"/>
    </w:lvlOverride>
  </w:num>
  <w:num w:numId="2" w16cid:durableId="886140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CAF"/>
    <w:rsid w:val="004D7CCC"/>
    <w:rsid w:val="00535CAF"/>
    <w:rsid w:val="007849D7"/>
    <w:rsid w:val="008B76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D901"/>
  <w15:docId w15:val="{ABCB84DB-3F4F-4D1E-8C00-B01023E9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autoritedelaconcurrence.fr/fr/decision-de-controle-des-concentrations/relative-la-prise-de-controle-conjoint-de-la-societe-vpm" TargetMode="External"/><Relationship Id="rId21" Type="http://schemas.openxmlformats.org/officeDocument/2006/relationships/hyperlink" Target="https://www.autoritedelaconcurrence.fr/fr/decision/relative-des-pratiques-mises-en-oeuvre-dans-le-secteur-de-la-grande-distribution-0" TargetMode="External"/><Relationship Id="rId42" Type="http://schemas.openxmlformats.org/officeDocument/2006/relationships/hyperlink" Target="https://www.autoritedelaconcurrence.fr/fr/decision/relative-des-pratiques-mises-en-oeuvre-dans-le-secteur-de-la-distribution-des-produits-7" TargetMode="External"/><Relationship Id="rId63" Type="http://schemas.openxmlformats.org/officeDocument/2006/relationships/hyperlink" Target="https://www.autoritedelaconcurrence.fr/fr/decision/relative-des-pratiques-mises-en-oeuvre-dans-le-secteur-de-la-distribution-des-produits-7" TargetMode="External"/><Relationship Id="rId84" Type="http://schemas.openxmlformats.org/officeDocument/2006/relationships/hyperlink" Target="https://www.autoritedelaconcurrence.fr/fr/decision/relative-des-pratiques-mises-en-oeuvre-par-carrefour-dans-le-secteur-du-commerce" TargetMode="External"/><Relationship Id="rId138" Type="http://schemas.openxmlformats.org/officeDocument/2006/relationships/hyperlink" Target="https://www.autoritedelaconcurrence.fr/fr/decision-de-controle-des-concentrations/relative-la-prise-de-controle-conjoint-de-la-societe-vpm" TargetMode="External"/><Relationship Id="rId159" Type="http://schemas.openxmlformats.org/officeDocument/2006/relationships/hyperlink" Target="https://www.autoritedelaconcurrence.fr/fr/decision-de-controle-des-concentrations/relative-la-prise-de-controle-exclusif-de-la-societe-la-4" TargetMode="External"/><Relationship Id="rId170" Type="http://schemas.openxmlformats.org/officeDocument/2006/relationships/hyperlink" Target="https://www.autoritedelaconcurrence.fr/fr/decision-de-controle-des-concentrations/relative-la-prise-de-controle-exclusif-de-la-societe-la-4" TargetMode="External"/><Relationship Id="rId191" Type="http://schemas.openxmlformats.org/officeDocument/2006/relationships/hyperlink" Target="https://www.autoritedelaconcurrence.fr/fr/decision-de-controle-des-concentrations/relative-la-prise-de-controle-exclusif-de-cinq-fonds-de-4" TargetMode="External"/><Relationship Id="rId205" Type="http://schemas.openxmlformats.org/officeDocument/2006/relationships/hyperlink" Target="https://www.autoritedelaconcurrence.fr/fr/decision/relative-des-pratiques-mises-en-oeuvre-dans-le-secteur-de-la-grande-distribution-0" TargetMode="External"/><Relationship Id="rId107" Type="http://schemas.openxmlformats.org/officeDocument/2006/relationships/hyperlink" Target="https://www.autoritedelaconcurrence.fr/fr/decision-de-controle-des-concentrations/relative-la-prise-de-controle-conjoint-de-la-societe-vpm" TargetMode="External"/><Relationship Id="rId11" Type="http://schemas.openxmlformats.org/officeDocument/2006/relationships/hyperlink" Target="https://www.autoritedelaconcurrence.fr/fr/decision/relative-des-pratiques-mises-en-oeuvre-dans-le-secteur-de-la-grande-distribution-0" TargetMode="External"/><Relationship Id="rId32" Type="http://schemas.openxmlformats.org/officeDocument/2006/relationships/hyperlink" Target="https://www.autoritedelaconcurrence.fr/fr/decision/relative-des-pratiques-mises-en-oeuvre-dans-le-secteur-de-la-grande-distribution-0" TargetMode="External"/><Relationship Id="rId53" Type="http://schemas.openxmlformats.org/officeDocument/2006/relationships/hyperlink" Target="https://www.autoritedelaconcurrence.fr/fr/decision/relative-des-pratiques-mises-en-oeuvre-dans-le-secteur-de-la-distribution-des-produits-7" TargetMode="External"/><Relationship Id="rId74" Type="http://schemas.openxmlformats.org/officeDocument/2006/relationships/hyperlink" Target="https://www.autoritedelaconcurrence.fr/fr/decision/relative-des-pratiques-mises-en-oeuvre-par-carrefour-dans-le-secteur-du-commerce" TargetMode="External"/><Relationship Id="rId128" Type="http://schemas.openxmlformats.org/officeDocument/2006/relationships/hyperlink" Target="https://www.autoritedelaconcurrence.fr/fr/decision-de-controle-des-concentrations/relative-la-prise-de-controle-conjoint-de-la-societe-vpm" TargetMode="External"/><Relationship Id="rId149" Type="http://schemas.openxmlformats.org/officeDocument/2006/relationships/hyperlink" Target="https://www.autoritedelaconcurrence.fr/fr/decision-de-controle-des-concentrations/relative-la-prise-de-controle-exclusif-de-la-societe-la-4" TargetMode="External"/><Relationship Id="rId5" Type="http://schemas.openxmlformats.org/officeDocument/2006/relationships/footnotes" Target="footnotes.xml"/><Relationship Id="rId95" Type="http://schemas.openxmlformats.org/officeDocument/2006/relationships/hyperlink" Target="https://www.autoritedelaconcurrence.fr/fr/decision/relative-des-pratiques-mises-en-oeuvre-par-carrefour-dans-le-secteur-du-commerce" TargetMode="External"/><Relationship Id="rId160" Type="http://schemas.openxmlformats.org/officeDocument/2006/relationships/hyperlink" Target="https://www.autoritedelaconcurrence.fr/fr/decision-de-controle-des-concentrations/relative-la-prise-de-controle-exclusif-de-la-societe-la-4" TargetMode="External"/><Relationship Id="rId181" Type="http://schemas.openxmlformats.org/officeDocument/2006/relationships/hyperlink" Target="https://www.autoritedelaconcurrence.fr/fr/decision-de-controle-des-concentrations/relative-la-prise-de-controle-exclusif-de-cinq-fonds-de-4" TargetMode="External"/><Relationship Id="rId22" Type="http://schemas.openxmlformats.org/officeDocument/2006/relationships/hyperlink" Target="https://www.autoritedelaconcurrence.fr/fr/decision/relative-des-pratiques-mises-en-oeuvre-dans-le-secteur-de-la-grande-distribution-0" TargetMode="External"/><Relationship Id="rId43" Type="http://schemas.openxmlformats.org/officeDocument/2006/relationships/hyperlink" Target="https://www.autoritedelaconcurrence.fr/fr/decision/relative-des-pratiques-mises-en-oeuvre-dans-le-secteur-de-la-distribution-des-produits-7" TargetMode="External"/><Relationship Id="rId64" Type="http://schemas.openxmlformats.org/officeDocument/2006/relationships/hyperlink" Target="https://www.autoritedelaconcurrence.fr/fr/decision/relative-des-pratiques-mises-en-oeuvre-dans-le-secteur-de-la-distribution-des-produits-7" TargetMode="External"/><Relationship Id="rId118" Type="http://schemas.openxmlformats.org/officeDocument/2006/relationships/hyperlink" Target="https://www.autoritedelaconcurrence.fr/fr/decision-de-controle-des-concentrations/relative-la-prise-de-controle-conjoint-de-la-societe-vpm" TargetMode="External"/><Relationship Id="rId139" Type="http://schemas.openxmlformats.org/officeDocument/2006/relationships/hyperlink" Target="https://www.autoritedelaconcurrence.fr/fr/decision-de-controle-des-concentrations/relative-la-prise-de-controle-conjoint-de-la-societe-vpm" TargetMode="External"/><Relationship Id="rId85" Type="http://schemas.openxmlformats.org/officeDocument/2006/relationships/hyperlink" Target="https://www.autoritedelaconcurrence.fr/fr/decision/relative-des-pratiques-mises-en-oeuvre-par-carrefour-dans-le-secteur-du-commerce" TargetMode="External"/><Relationship Id="rId150" Type="http://schemas.openxmlformats.org/officeDocument/2006/relationships/hyperlink" Target="https://www.autoritedelaconcurrence.fr/fr/decision-de-controle-des-concentrations/relative-la-prise-de-controle-exclusif-de-la-societe-la-4" TargetMode="External"/><Relationship Id="rId171" Type="http://schemas.openxmlformats.org/officeDocument/2006/relationships/hyperlink" Target="https://www.autoritedelaconcurrence.fr/fr/decision-de-controle-des-concentrations/relative-la-prise-de-controle-exclusif-de-la-societe-la-4" TargetMode="External"/><Relationship Id="rId192" Type="http://schemas.openxmlformats.org/officeDocument/2006/relationships/hyperlink" Target="https://www.autoritedelaconcurrence.fr/fr/decision-de-controle-des-concentrations/relative-la-prise-de-controle-exclusif-de-cinq-fonds-de-4" TargetMode="External"/><Relationship Id="rId206" Type="http://schemas.openxmlformats.org/officeDocument/2006/relationships/hyperlink" Target="https://www.autoritedelaconcurrence.fr/fr/decision/relative-des-pratiques-mises-en-oeuvre-dans-le-secteur-de-la-distribution-des-produits-7" TargetMode="External"/><Relationship Id="rId12" Type="http://schemas.openxmlformats.org/officeDocument/2006/relationships/hyperlink" Target="https://www.autoritedelaconcurrence.fr/fr/decision/relative-des-pratiques-mises-en-oeuvre-dans-le-secteur-de-la-grande-distribution-0" TargetMode="External"/><Relationship Id="rId33" Type="http://schemas.openxmlformats.org/officeDocument/2006/relationships/hyperlink" Target="https://www.autoritedelaconcurrence.fr/fr/decision/relative-des-pratiques-mises-en-oeuvre-dans-le-secteur-de-la-grande-distribution-0" TargetMode="External"/><Relationship Id="rId108" Type="http://schemas.openxmlformats.org/officeDocument/2006/relationships/hyperlink" Target="https://www.autoritedelaconcurrence.fr/fr/decision-de-controle-des-concentrations/relative-la-prise-de-controle-conjoint-de-la-societe-vpm" TargetMode="External"/><Relationship Id="rId129" Type="http://schemas.openxmlformats.org/officeDocument/2006/relationships/hyperlink" Target="https://www.autoritedelaconcurrence.fr/fr/decision-de-controle-des-concentrations/relative-la-prise-de-controle-conjoint-de-la-societe-vpm" TargetMode="External"/><Relationship Id="rId54" Type="http://schemas.openxmlformats.org/officeDocument/2006/relationships/hyperlink" Target="https://www.autoritedelaconcurrence.fr/fr/decision/relative-des-pratiques-mises-en-oeuvre-dans-le-secteur-de-la-distribution-des-produits-7" TargetMode="External"/><Relationship Id="rId75" Type="http://schemas.openxmlformats.org/officeDocument/2006/relationships/hyperlink" Target="https://www.autoritedelaconcurrence.fr/fr/decision/relative-des-pratiques-mises-en-oeuvre-par-carrefour-dans-le-secteur-du-commerce" TargetMode="External"/><Relationship Id="rId96" Type="http://schemas.openxmlformats.org/officeDocument/2006/relationships/hyperlink" Target="https://www.autoritedelaconcurrence.fr/fr/decision/relative-des-pratiques-mises-en-oeuvre-par-carrefour-dans-le-secteur-du-commerce" TargetMode="External"/><Relationship Id="rId140" Type="http://schemas.openxmlformats.org/officeDocument/2006/relationships/hyperlink" Target="https://www.autoritedelaconcurrence.fr/fr/decision-de-controle-des-concentrations/relative-la-prise-de-controle-exclusif-de-la-societe-la-4" TargetMode="External"/><Relationship Id="rId161" Type="http://schemas.openxmlformats.org/officeDocument/2006/relationships/hyperlink" Target="https://www.autoritedelaconcurrence.fr/fr/decision-de-controle-des-concentrations/relative-la-prise-de-controle-exclusif-de-la-societe-la-4" TargetMode="External"/><Relationship Id="rId182" Type="http://schemas.openxmlformats.org/officeDocument/2006/relationships/hyperlink" Target="https://www.autoritedelaconcurrence.fr/fr/decision-de-controle-des-concentrations/relative-la-prise-de-controle-exclusif-de-cinq-fonds-de-4" TargetMode="External"/><Relationship Id="rId6" Type="http://schemas.openxmlformats.org/officeDocument/2006/relationships/endnotes" Target="endnotes.xml"/><Relationship Id="rId23" Type="http://schemas.openxmlformats.org/officeDocument/2006/relationships/hyperlink" Target="https://www.autoritedelaconcurrence.fr/fr/decision/relative-des-pratiques-mises-en-oeuvre-dans-le-secteur-de-la-grande-distribution-0" TargetMode="External"/><Relationship Id="rId119" Type="http://schemas.openxmlformats.org/officeDocument/2006/relationships/hyperlink" Target="https://www.autoritedelaconcurrence.fr/fr/decision-de-controle-des-concentrations/relative-la-prise-de-controle-conjoint-de-la-societe-vpm" TargetMode="External"/><Relationship Id="rId44" Type="http://schemas.openxmlformats.org/officeDocument/2006/relationships/hyperlink" Target="https://www.autoritedelaconcurrence.fr/fr/decision/relative-des-pratiques-mises-en-oeuvre-dans-le-secteur-de-la-distribution-des-produits-7" TargetMode="External"/><Relationship Id="rId65" Type="http://schemas.openxmlformats.org/officeDocument/2006/relationships/hyperlink" Target="https://www.autoritedelaconcurrence.fr/fr/decision/relative-des-pratiques-mises-en-oeuvre-dans-le-secteur-de-la-distribution-des-produits-7" TargetMode="External"/><Relationship Id="rId86" Type="http://schemas.openxmlformats.org/officeDocument/2006/relationships/hyperlink" Target="https://www.autoritedelaconcurrence.fr/fr/decision/relative-des-pratiques-mises-en-oeuvre-par-carrefour-dans-le-secteur-du-commerce" TargetMode="External"/><Relationship Id="rId130" Type="http://schemas.openxmlformats.org/officeDocument/2006/relationships/hyperlink" Target="https://www.autoritedelaconcurrence.fr/fr/decision-de-controle-des-concentrations/relative-la-prise-de-controle-conjoint-de-la-societe-vpm" TargetMode="External"/><Relationship Id="rId151" Type="http://schemas.openxmlformats.org/officeDocument/2006/relationships/hyperlink" Target="https://www.autoritedelaconcurrence.fr/fr/decision-de-controle-des-concentrations/relative-la-prise-de-controle-exclusif-de-la-societe-la-4" TargetMode="External"/><Relationship Id="rId172" Type="http://schemas.openxmlformats.org/officeDocument/2006/relationships/hyperlink" Target="https://www.autoritedelaconcurrence.fr/fr/decision-de-controle-des-concentrations/relative-la-prise-de-controle-exclusif-de-la-societe-la-4" TargetMode="External"/><Relationship Id="rId193" Type="http://schemas.openxmlformats.org/officeDocument/2006/relationships/hyperlink" Target="https://www.autoritedelaconcurrence.fr/fr/decision-de-controle-des-concentrations/relative-la-prise-de-controle-exclusif-de-cinq-fonds-de-4" TargetMode="External"/><Relationship Id="rId207" Type="http://schemas.openxmlformats.org/officeDocument/2006/relationships/hyperlink" Target="https://www.autoritedelaconcurrence.fr/fr/decision/relative-des-pratiques-mises-en-oeuvre-par-carrefour-dans-le-secteur-du-commerce" TargetMode="External"/><Relationship Id="rId13" Type="http://schemas.openxmlformats.org/officeDocument/2006/relationships/hyperlink" Target="https://www.autoritedelaconcurrence.fr/fr/decision/relative-des-pratiques-mises-en-oeuvre-dans-le-secteur-de-la-grande-distribution-0" TargetMode="External"/><Relationship Id="rId109" Type="http://schemas.openxmlformats.org/officeDocument/2006/relationships/hyperlink" Target="https://www.autoritedelaconcurrence.fr/fr/decision-de-controle-des-concentrations/relative-la-prise-de-controle-conjoint-de-la-societe-vpm" TargetMode="External"/><Relationship Id="rId34" Type="http://schemas.openxmlformats.org/officeDocument/2006/relationships/hyperlink" Target="https://www.autoritedelaconcurrence.fr/fr/decision/relative-des-pratiques-mises-en-oeuvre-dans-le-secteur-de-la-grande-distribution-0" TargetMode="External"/><Relationship Id="rId55" Type="http://schemas.openxmlformats.org/officeDocument/2006/relationships/hyperlink" Target="https://www.autoritedelaconcurrence.fr/fr/decision/relative-des-pratiques-mises-en-oeuvre-dans-le-secteur-de-la-distribution-des-produits-7" TargetMode="External"/><Relationship Id="rId76" Type="http://schemas.openxmlformats.org/officeDocument/2006/relationships/hyperlink" Target="https://www.autoritedelaconcurrence.fr/fr/decision/relative-des-pratiques-mises-en-oeuvre-par-carrefour-dans-le-secteur-du-commerce" TargetMode="External"/><Relationship Id="rId97" Type="http://schemas.openxmlformats.org/officeDocument/2006/relationships/hyperlink" Target="https://www.autoritedelaconcurrence.fr/fr/decision/relative-des-pratiques-mises-en-oeuvre-par-carrefour-dans-le-secteur-du-commerce" TargetMode="External"/><Relationship Id="rId120" Type="http://schemas.openxmlformats.org/officeDocument/2006/relationships/hyperlink" Target="https://www.autoritedelaconcurrence.fr/fr/decision-de-controle-des-concentrations/relative-la-prise-de-controle-conjoint-de-la-societe-vpm" TargetMode="External"/><Relationship Id="rId141" Type="http://schemas.openxmlformats.org/officeDocument/2006/relationships/hyperlink" Target="https://www.autoritedelaconcurrence.fr/fr/decision-de-controle-des-concentrations/relative-la-prise-de-controle-exclusif-de-la-societe-la-4" TargetMode="External"/><Relationship Id="rId7" Type="http://schemas.openxmlformats.org/officeDocument/2006/relationships/hyperlink" Target="https://www.autoritedelaconcurrence.fr/fr/decision/relative-des-pratiques-mises-en-oeuvre-dans-le-secteur-de-la-grande-distribution-0" TargetMode="External"/><Relationship Id="rId162" Type="http://schemas.openxmlformats.org/officeDocument/2006/relationships/hyperlink" Target="https://www.autoritedelaconcurrence.fr/fr/decision-de-controle-des-concentrations/relative-la-prise-de-controle-exclusif-de-la-societe-la-4" TargetMode="External"/><Relationship Id="rId183" Type="http://schemas.openxmlformats.org/officeDocument/2006/relationships/hyperlink" Target="https://www.autoritedelaconcurrence.fr/fr/decision-de-controle-des-concentrations/relative-la-prise-de-controle-exclusif-de-cinq-fonds-de-4" TargetMode="External"/><Relationship Id="rId24" Type="http://schemas.openxmlformats.org/officeDocument/2006/relationships/hyperlink" Target="https://www.autoritedelaconcurrence.fr/fr/decision/relative-des-pratiques-mises-en-oeuvre-dans-le-secteur-de-la-grande-distribution-0" TargetMode="External"/><Relationship Id="rId45" Type="http://schemas.openxmlformats.org/officeDocument/2006/relationships/hyperlink" Target="https://www.autoritedelaconcurrence.fr/fr/decision/relative-des-pratiques-mises-en-oeuvre-dans-le-secteur-de-la-distribution-des-produits-7" TargetMode="External"/><Relationship Id="rId66" Type="http://schemas.openxmlformats.org/officeDocument/2006/relationships/hyperlink" Target="https://www.autoritedelaconcurrence.fr/fr/decision/relative-des-pratiques-mises-en-oeuvre-dans-le-secteur-de-la-distribution-des-produits-7" TargetMode="External"/><Relationship Id="rId87" Type="http://schemas.openxmlformats.org/officeDocument/2006/relationships/hyperlink" Target="https://www.autoritedelaconcurrence.fr/fr/decision/relative-des-pratiques-mises-en-oeuvre-par-carrefour-dans-le-secteur-du-commerce" TargetMode="External"/><Relationship Id="rId110" Type="http://schemas.openxmlformats.org/officeDocument/2006/relationships/hyperlink" Target="https://www.autoritedelaconcurrence.fr/fr/decision-de-controle-des-concentrations/relative-la-prise-de-controle-conjoint-de-la-societe-vpm" TargetMode="External"/><Relationship Id="rId131" Type="http://schemas.openxmlformats.org/officeDocument/2006/relationships/hyperlink" Target="https://www.autoritedelaconcurrence.fr/fr/decision-de-controle-des-concentrations/relative-la-prise-de-controle-conjoint-de-la-societe-vpm" TargetMode="External"/><Relationship Id="rId152" Type="http://schemas.openxmlformats.org/officeDocument/2006/relationships/hyperlink" Target="https://www.autoritedelaconcurrence.fr/fr/decision-de-controle-des-concentrations/relative-la-prise-de-controle-exclusif-de-la-societe-la-4" TargetMode="External"/><Relationship Id="rId173" Type="http://schemas.openxmlformats.org/officeDocument/2006/relationships/hyperlink" Target="https://www.autoritedelaconcurrence.fr/fr/decision-de-controle-des-concentrations/relative-la-prise-de-controle-exclusif-de-cinq-fonds-de-4" TargetMode="External"/><Relationship Id="rId194" Type="http://schemas.openxmlformats.org/officeDocument/2006/relationships/hyperlink" Target="https://www.autoritedelaconcurrence.fr/fr/decision-de-controle-des-concentrations/relative-la-prise-de-controle-exclusif-de-cinq-fonds-de-4" TargetMode="External"/><Relationship Id="rId208" Type="http://schemas.openxmlformats.org/officeDocument/2006/relationships/hyperlink" Target="https://www.autoritedelaconcurrence.fr/fr/decision-de-controle-des-concentrations/relative-la-prise-de-controle-conjoint-de-la-societe-vpm" TargetMode="External"/><Relationship Id="rId19" Type="http://schemas.openxmlformats.org/officeDocument/2006/relationships/hyperlink" Target="https://www.autoritedelaconcurrence.fr/fr/decision/relative-des-pratiques-mises-en-oeuvre-dans-le-secteur-de-la-grande-distribution-0" TargetMode="External"/><Relationship Id="rId14" Type="http://schemas.openxmlformats.org/officeDocument/2006/relationships/hyperlink" Target="https://www.autoritedelaconcurrence.fr/fr/decision/relative-des-pratiques-mises-en-oeuvre-dans-le-secteur-de-la-grande-distribution-0" TargetMode="External"/><Relationship Id="rId30" Type="http://schemas.openxmlformats.org/officeDocument/2006/relationships/hyperlink" Target="https://www.autoritedelaconcurrence.fr/fr/decision/relative-des-pratiques-mises-en-oeuvre-dans-le-secteur-de-la-grande-distribution-0" TargetMode="External"/><Relationship Id="rId35" Type="http://schemas.openxmlformats.org/officeDocument/2006/relationships/hyperlink" Target="https://www.autoritedelaconcurrence.fr/fr/decision/relative-des-pratiques-mises-en-oeuvre-dans-le-secteur-de-la-grande-distribution-0" TargetMode="External"/><Relationship Id="rId56" Type="http://schemas.openxmlformats.org/officeDocument/2006/relationships/hyperlink" Target="https://www.autoritedelaconcurrence.fr/fr/decision/relative-des-pratiques-mises-en-oeuvre-dans-le-secteur-de-la-distribution-des-produits-7" TargetMode="External"/><Relationship Id="rId77" Type="http://schemas.openxmlformats.org/officeDocument/2006/relationships/hyperlink" Target="https://www.autoritedelaconcurrence.fr/fr/decision/relative-des-pratiques-mises-en-oeuvre-par-carrefour-dans-le-secteur-du-commerce" TargetMode="External"/><Relationship Id="rId100" Type="http://schemas.openxmlformats.org/officeDocument/2006/relationships/hyperlink" Target="https://www.autoritedelaconcurrence.fr/fr/decision/relative-des-pratiques-mises-en-oeuvre-par-carrefour-dans-le-secteur-du-commerce" TargetMode="External"/><Relationship Id="rId105" Type="http://schemas.openxmlformats.org/officeDocument/2006/relationships/hyperlink" Target="https://www.autoritedelaconcurrence.fr/fr/decision/relative-des-pratiques-mises-en-oeuvre-par-carrefour-dans-le-secteur-du-commerce" TargetMode="External"/><Relationship Id="rId126" Type="http://schemas.openxmlformats.org/officeDocument/2006/relationships/hyperlink" Target="https://www.autoritedelaconcurrence.fr/fr/decision-de-controle-des-concentrations/relative-la-prise-de-controle-conjoint-de-la-societe-vpm" TargetMode="External"/><Relationship Id="rId147" Type="http://schemas.openxmlformats.org/officeDocument/2006/relationships/hyperlink" Target="https://www.autoritedelaconcurrence.fr/fr/decision-de-controle-des-concentrations/relative-la-prise-de-controle-exclusif-de-la-societe-la-4" TargetMode="External"/><Relationship Id="rId168" Type="http://schemas.openxmlformats.org/officeDocument/2006/relationships/hyperlink" Target="https://www.autoritedelaconcurrence.fr/fr/decision-de-controle-des-concentrations/relative-la-prise-de-controle-exclusif-de-la-societe-la-4" TargetMode="External"/><Relationship Id="rId8" Type="http://schemas.openxmlformats.org/officeDocument/2006/relationships/hyperlink" Target="https://www.autoritedelaconcurrence.fr/fr/decision/relative-des-pratiques-mises-en-oeuvre-dans-le-secteur-de-la-grande-distribution-0" TargetMode="External"/><Relationship Id="rId51" Type="http://schemas.openxmlformats.org/officeDocument/2006/relationships/hyperlink" Target="https://www.autoritedelaconcurrence.fr/fr/decision/relative-des-pratiques-mises-en-oeuvre-dans-le-secteur-de-la-distribution-des-produits-7" TargetMode="External"/><Relationship Id="rId72" Type="http://schemas.openxmlformats.org/officeDocument/2006/relationships/hyperlink" Target="https://www.autoritedelaconcurrence.fr/fr/decision/relative-des-pratiques-mises-en-oeuvre-dans-le-secteur-de-la-distribution-des-produits-7" TargetMode="External"/><Relationship Id="rId93" Type="http://schemas.openxmlformats.org/officeDocument/2006/relationships/hyperlink" Target="https://www.autoritedelaconcurrence.fr/fr/decision/relative-des-pratiques-mises-en-oeuvre-par-carrefour-dans-le-secteur-du-commerce" TargetMode="External"/><Relationship Id="rId98" Type="http://schemas.openxmlformats.org/officeDocument/2006/relationships/hyperlink" Target="https://www.autoritedelaconcurrence.fr/fr/decision/relative-des-pratiques-mises-en-oeuvre-par-carrefour-dans-le-secteur-du-commerce" TargetMode="External"/><Relationship Id="rId121" Type="http://schemas.openxmlformats.org/officeDocument/2006/relationships/hyperlink" Target="https://www.autoritedelaconcurrence.fr/fr/decision-de-controle-des-concentrations/relative-la-prise-de-controle-conjoint-de-la-societe-vpm" TargetMode="External"/><Relationship Id="rId142" Type="http://schemas.openxmlformats.org/officeDocument/2006/relationships/hyperlink" Target="https://www.autoritedelaconcurrence.fr/fr/decision-de-controle-des-concentrations/relative-la-prise-de-controle-exclusif-de-la-societe-la-4" TargetMode="External"/><Relationship Id="rId163" Type="http://schemas.openxmlformats.org/officeDocument/2006/relationships/hyperlink" Target="https://www.autoritedelaconcurrence.fr/fr/decision-de-controle-des-concentrations/relative-la-prise-de-controle-exclusif-de-la-societe-la-4" TargetMode="External"/><Relationship Id="rId184" Type="http://schemas.openxmlformats.org/officeDocument/2006/relationships/hyperlink" Target="https://www.autoritedelaconcurrence.fr/fr/decision-de-controle-des-concentrations/relative-la-prise-de-controle-exclusif-de-cinq-fonds-de-4" TargetMode="External"/><Relationship Id="rId189" Type="http://schemas.openxmlformats.org/officeDocument/2006/relationships/hyperlink" Target="https://www.autoritedelaconcurrence.fr/fr/decision-de-controle-des-concentrations/relative-la-prise-de-controle-exclusif-de-cinq-fonds-de-4" TargetMode="External"/><Relationship Id="rId3" Type="http://schemas.openxmlformats.org/officeDocument/2006/relationships/settings" Target="settings.xml"/><Relationship Id="rId214" Type="http://schemas.openxmlformats.org/officeDocument/2006/relationships/theme" Target="theme/theme1.xml"/><Relationship Id="rId25" Type="http://schemas.openxmlformats.org/officeDocument/2006/relationships/hyperlink" Target="https://www.autoritedelaconcurrence.fr/fr/decision/relative-des-pratiques-mises-en-oeuvre-dans-le-secteur-de-la-grande-distribution-0" TargetMode="External"/><Relationship Id="rId46" Type="http://schemas.openxmlformats.org/officeDocument/2006/relationships/hyperlink" Target="https://www.autoritedelaconcurrence.fr/fr/decision/relative-des-pratiques-mises-en-oeuvre-dans-le-secteur-de-la-distribution-des-produits-7" TargetMode="External"/><Relationship Id="rId67" Type="http://schemas.openxmlformats.org/officeDocument/2006/relationships/hyperlink" Target="https://www.autoritedelaconcurrence.fr/fr/decision/relative-des-pratiques-mises-en-oeuvre-dans-le-secteur-de-la-distribution-des-produits-7" TargetMode="External"/><Relationship Id="rId116" Type="http://schemas.openxmlformats.org/officeDocument/2006/relationships/hyperlink" Target="https://www.autoritedelaconcurrence.fr/fr/decision-de-controle-des-concentrations/relative-la-prise-de-controle-conjoint-de-la-societe-vpm" TargetMode="External"/><Relationship Id="rId137" Type="http://schemas.openxmlformats.org/officeDocument/2006/relationships/hyperlink" Target="https://www.autoritedelaconcurrence.fr/fr/decision-de-controle-des-concentrations/relative-la-prise-de-controle-conjoint-de-la-societe-vpm" TargetMode="External"/><Relationship Id="rId158" Type="http://schemas.openxmlformats.org/officeDocument/2006/relationships/hyperlink" Target="https://www.autoritedelaconcurrence.fr/fr/decision-de-controle-des-concentrations/relative-la-prise-de-controle-exclusif-de-la-societe-la-4" TargetMode="External"/><Relationship Id="rId20" Type="http://schemas.openxmlformats.org/officeDocument/2006/relationships/hyperlink" Target="https://www.autoritedelaconcurrence.fr/fr/decision/relative-des-pratiques-mises-en-oeuvre-dans-le-secteur-de-la-grande-distribution-0" TargetMode="External"/><Relationship Id="rId41" Type="http://schemas.openxmlformats.org/officeDocument/2006/relationships/hyperlink" Target="https://www.autoritedelaconcurrence.fr/fr/decision/relative-des-pratiques-mises-en-oeuvre-dans-le-secteur-de-la-distribution-des-produits-7" TargetMode="External"/><Relationship Id="rId62" Type="http://schemas.openxmlformats.org/officeDocument/2006/relationships/hyperlink" Target="https://www.autoritedelaconcurrence.fr/fr/decision/relative-des-pratiques-mises-en-oeuvre-dans-le-secteur-de-la-distribution-des-produits-7" TargetMode="External"/><Relationship Id="rId83" Type="http://schemas.openxmlformats.org/officeDocument/2006/relationships/hyperlink" Target="https://www.autoritedelaconcurrence.fr/fr/decision/relative-des-pratiques-mises-en-oeuvre-par-carrefour-dans-le-secteur-du-commerce" TargetMode="External"/><Relationship Id="rId88" Type="http://schemas.openxmlformats.org/officeDocument/2006/relationships/hyperlink" Target="https://www.autoritedelaconcurrence.fr/fr/decision/relative-des-pratiques-mises-en-oeuvre-par-carrefour-dans-le-secteur-du-commerce" TargetMode="External"/><Relationship Id="rId111" Type="http://schemas.openxmlformats.org/officeDocument/2006/relationships/hyperlink" Target="https://www.autoritedelaconcurrence.fr/fr/decision-de-controle-des-concentrations/relative-la-prise-de-controle-conjoint-de-la-societe-vpm" TargetMode="External"/><Relationship Id="rId132" Type="http://schemas.openxmlformats.org/officeDocument/2006/relationships/hyperlink" Target="https://www.autoritedelaconcurrence.fr/fr/decision-de-controle-des-concentrations/relative-la-prise-de-controle-conjoint-de-la-societe-vpm" TargetMode="External"/><Relationship Id="rId153" Type="http://schemas.openxmlformats.org/officeDocument/2006/relationships/hyperlink" Target="https://www.autoritedelaconcurrence.fr/fr/decision-de-controle-des-concentrations/relative-la-prise-de-controle-exclusif-de-la-societe-la-4" TargetMode="External"/><Relationship Id="rId174" Type="http://schemas.openxmlformats.org/officeDocument/2006/relationships/hyperlink" Target="https://www.autoritedelaconcurrence.fr/fr/decision-de-controle-des-concentrations/relative-la-prise-de-controle-exclusif-de-cinq-fonds-de-4" TargetMode="External"/><Relationship Id="rId179" Type="http://schemas.openxmlformats.org/officeDocument/2006/relationships/hyperlink" Target="https://www.autoritedelaconcurrence.fr/fr/decision-de-controle-des-concentrations/relative-la-prise-de-controle-exclusif-de-cinq-fonds-de-4" TargetMode="External"/><Relationship Id="rId195" Type="http://schemas.openxmlformats.org/officeDocument/2006/relationships/hyperlink" Target="https://www.autoritedelaconcurrence.fr/fr/decision-de-controle-des-concentrations/relative-la-prise-de-controle-exclusif-de-cinq-fonds-de-4" TargetMode="External"/><Relationship Id="rId209" Type="http://schemas.openxmlformats.org/officeDocument/2006/relationships/hyperlink" Target="https://www.autoritedelaconcurrence.fr/fr/decision-de-controle-des-concentrations/relative-la-prise-de-controle-exclusif-de-la-societe-la-4" TargetMode="External"/><Relationship Id="rId190" Type="http://schemas.openxmlformats.org/officeDocument/2006/relationships/hyperlink" Target="https://www.autoritedelaconcurrence.fr/fr/decision-de-controle-des-concentrations/relative-la-prise-de-controle-exclusif-de-cinq-fonds-de-4" TargetMode="External"/><Relationship Id="rId204" Type="http://schemas.openxmlformats.org/officeDocument/2006/relationships/hyperlink" Target="https://www.autoritedelaconcurrence.fr/fr/decision-de-controle-des-concentrations/relative-la-prise-de-controle-exclusif-de-cinq-fonds-de-4" TargetMode="External"/><Relationship Id="rId15" Type="http://schemas.openxmlformats.org/officeDocument/2006/relationships/hyperlink" Target="https://www.autoritedelaconcurrence.fr/fr/decision/relative-des-pratiques-mises-en-oeuvre-dans-le-secteur-de-la-grande-distribution-0" TargetMode="External"/><Relationship Id="rId36" Type="http://schemas.openxmlformats.org/officeDocument/2006/relationships/hyperlink" Target="https://www.autoritedelaconcurrence.fr/fr/decision/relative-des-pratiques-mises-en-oeuvre-dans-le-secteur-de-la-grande-distribution-0" TargetMode="External"/><Relationship Id="rId57" Type="http://schemas.openxmlformats.org/officeDocument/2006/relationships/hyperlink" Target="https://www.autoritedelaconcurrence.fr/fr/decision/relative-des-pratiques-mises-en-oeuvre-dans-le-secteur-de-la-distribution-des-produits-7" TargetMode="External"/><Relationship Id="rId106" Type="http://schemas.openxmlformats.org/officeDocument/2006/relationships/hyperlink" Target="https://www.autoritedelaconcurrence.fr/fr/decision-de-controle-des-concentrations/relative-la-prise-de-controle-conjoint-de-la-societe-vpm" TargetMode="External"/><Relationship Id="rId127" Type="http://schemas.openxmlformats.org/officeDocument/2006/relationships/hyperlink" Target="https://www.autoritedelaconcurrence.fr/fr/decision-de-controle-des-concentrations/relative-la-prise-de-controle-conjoint-de-la-societe-vpm" TargetMode="External"/><Relationship Id="rId10" Type="http://schemas.openxmlformats.org/officeDocument/2006/relationships/hyperlink" Target="https://www.autoritedelaconcurrence.fr/fr/decision/relative-des-pratiques-mises-en-oeuvre-dans-le-secteur-de-la-grande-distribution-0" TargetMode="External"/><Relationship Id="rId31" Type="http://schemas.openxmlformats.org/officeDocument/2006/relationships/hyperlink" Target="https://www.autoritedelaconcurrence.fr/fr/decision/relative-des-pratiques-mises-en-oeuvre-dans-le-secteur-de-la-grande-distribution-0" TargetMode="External"/><Relationship Id="rId52" Type="http://schemas.openxmlformats.org/officeDocument/2006/relationships/hyperlink" Target="https://www.autoritedelaconcurrence.fr/fr/decision/relative-des-pratiques-mises-en-oeuvre-dans-le-secteur-de-la-distribution-des-produits-7" TargetMode="External"/><Relationship Id="rId73" Type="http://schemas.openxmlformats.org/officeDocument/2006/relationships/hyperlink" Target="https://www.autoritedelaconcurrence.fr/fr/decision/relative-des-pratiques-mises-en-oeuvre-dans-le-secteur-de-la-distribution-des-produits-7" TargetMode="External"/><Relationship Id="rId78" Type="http://schemas.openxmlformats.org/officeDocument/2006/relationships/hyperlink" Target="https://www.autoritedelaconcurrence.fr/fr/decision/relative-des-pratiques-mises-en-oeuvre-par-carrefour-dans-le-secteur-du-commerce" TargetMode="External"/><Relationship Id="rId94" Type="http://schemas.openxmlformats.org/officeDocument/2006/relationships/hyperlink" Target="https://www.autoritedelaconcurrence.fr/fr/decision/relative-des-pratiques-mises-en-oeuvre-par-carrefour-dans-le-secteur-du-commerce" TargetMode="External"/><Relationship Id="rId99" Type="http://schemas.openxmlformats.org/officeDocument/2006/relationships/hyperlink" Target="https://www.autoritedelaconcurrence.fr/fr/decision/relative-des-pratiques-mises-en-oeuvre-par-carrefour-dans-le-secteur-du-commerce" TargetMode="External"/><Relationship Id="rId101" Type="http://schemas.openxmlformats.org/officeDocument/2006/relationships/hyperlink" Target="https://www.autoritedelaconcurrence.fr/fr/decision/relative-des-pratiques-mises-en-oeuvre-par-carrefour-dans-le-secteur-du-commerce" TargetMode="External"/><Relationship Id="rId122" Type="http://schemas.openxmlformats.org/officeDocument/2006/relationships/hyperlink" Target="https://www.autoritedelaconcurrence.fr/fr/decision-de-controle-des-concentrations/relative-la-prise-de-controle-conjoint-de-la-societe-vpm" TargetMode="External"/><Relationship Id="rId143" Type="http://schemas.openxmlformats.org/officeDocument/2006/relationships/hyperlink" Target="https://www.autoritedelaconcurrence.fr/fr/decision-de-controle-des-concentrations/relative-la-prise-de-controle-exclusif-de-la-societe-la-4" TargetMode="External"/><Relationship Id="rId148" Type="http://schemas.openxmlformats.org/officeDocument/2006/relationships/hyperlink" Target="https://www.autoritedelaconcurrence.fr/fr/decision-de-controle-des-concentrations/relative-la-prise-de-controle-exclusif-de-la-societe-la-4" TargetMode="External"/><Relationship Id="rId164" Type="http://schemas.openxmlformats.org/officeDocument/2006/relationships/hyperlink" Target="https://www.autoritedelaconcurrence.fr/fr/decision-de-controle-des-concentrations/relative-la-prise-de-controle-exclusif-de-la-societe-la-4" TargetMode="External"/><Relationship Id="rId169" Type="http://schemas.openxmlformats.org/officeDocument/2006/relationships/hyperlink" Target="https://www.autoritedelaconcurrence.fr/fr/decision-de-controle-des-concentrations/relative-la-prise-de-controle-exclusif-de-la-societe-la-4" TargetMode="External"/><Relationship Id="rId185" Type="http://schemas.openxmlformats.org/officeDocument/2006/relationships/hyperlink" Target="https://www.autoritedelaconcurrence.fr/fr/decision-de-controle-des-concentrations/relative-la-prise-de-controle-exclusif-de-cinq-fonds-de-4" TargetMode="External"/><Relationship Id="rId4" Type="http://schemas.openxmlformats.org/officeDocument/2006/relationships/webSettings" Target="webSettings.xml"/><Relationship Id="rId9" Type="http://schemas.openxmlformats.org/officeDocument/2006/relationships/hyperlink" Target="https://www.autoritedelaconcurrence.fr/fr/decision/relative-des-pratiques-mises-en-oeuvre-dans-le-secteur-de-la-grande-distribution-0" TargetMode="External"/><Relationship Id="rId180" Type="http://schemas.openxmlformats.org/officeDocument/2006/relationships/hyperlink" Target="https://www.autoritedelaconcurrence.fr/fr/decision-de-controle-des-concentrations/relative-la-prise-de-controle-exclusif-de-cinq-fonds-de-4" TargetMode="External"/><Relationship Id="rId210" Type="http://schemas.openxmlformats.org/officeDocument/2006/relationships/hyperlink" Target="https://www.autoritedelaconcurrence.fr/fr/decision-de-controle-des-concentrations/relative-la-prise-de-controle-exclusif-de-cinq-fonds-de-4" TargetMode="External"/><Relationship Id="rId26" Type="http://schemas.openxmlformats.org/officeDocument/2006/relationships/hyperlink" Target="https://www.autoritedelaconcurrence.fr/fr/decision/relative-des-pratiques-mises-en-oeuvre-dans-le-secteur-de-la-grande-distribution-0" TargetMode="External"/><Relationship Id="rId47" Type="http://schemas.openxmlformats.org/officeDocument/2006/relationships/hyperlink" Target="https://www.autoritedelaconcurrence.fr/fr/decision/relative-des-pratiques-mises-en-oeuvre-dans-le-secteur-de-la-distribution-des-produits-7" TargetMode="External"/><Relationship Id="rId68" Type="http://schemas.openxmlformats.org/officeDocument/2006/relationships/hyperlink" Target="https://www.autoritedelaconcurrence.fr/fr/decision/relative-des-pratiques-mises-en-oeuvre-dans-le-secteur-de-la-distribution-des-produits-7" TargetMode="External"/><Relationship Id="rId89" Type="http://schemas.openxmlformats.org/officeDocument/2006/relationships/hyperlink" Target="https://www.autoritedelaconcurrence.fr/fr/decision/relative-des-pratiques-mises-en-oeuvre-par-carrefour-dans-le-secteur-du-commerce" TargetMode="External"/><Relationship Id="rId112" Type="http://schemas.openxmlformats.org/officeDocument/2006/relationships/hyperlink" Target="https://www.autoritedelaconcurrence.fr/fr/decision-de-controle-des-concentrations/relative-la-prise-de-controle-conjoint-de-la-societe-vpm" TargetMode="External"/><Relationship Id="rId133" Type="http://schemas.openxmlformats.org/officeDocument/2006/relationships/hyperlink" Target="https://www.autoritedelaconcurrence.fr/fr/decision-de-controle-des-concentrations/relative-la-prise-de-controle-conjoint-de-la-societe-vpm" TargetMode="External"/><Relationship Id="rId154" Type="http://schemas.openxmlformats.org/officeDocument/2006/relationships/hyperlink" Target="https://www.autoritedelaconcurrence.fr/fr/decision-de-controle-des-concentrations/relative-la-prise-de-controle-exclusif-de-la-societe-la-4" TargetMode="External"/><Relationship Id="rId175" Type="http://schemas.openxmlformats.org/officeDocument/2006/relationships/hyperlink" Target="https://www.autoritedelaconcurrence.fr/fr/decision-de-controle-des-concentrations/relative-la-prise-de-controle-exclusif-de-cinq-fonds-de-4" TargetMode="External"/><Relationship Id="rId196" Type="http://schemas.openxmlformats.org/officeDocument/2006/relationships/hyperlink" Target="https://www.autoritedelaconcurrence.fr/fr/decision-de-controle-des-concentrations/relative-la-prise-de-controle-exclusif-de-cinq-fonds-de-4" TargetMode="External"/><Relationship Id="rId200" Type="http://schemas.openxmlformats.org/officeDocument/2006/relationships/hyperlink" Target="https://www.autoritedelaconcurrence.fr/fr/decision-de-controle-des-concentrations/relative-la-prise-de-controle-exclusif-de-cinq-fonds-de-4" TargetMode="External"/><Relationship Id="rId16" Type="http://schemas.openxmlformats.org/officeDocument/2006/relationships/hyperlink" Target="https://www.autoritedelaconcurrence.fr/fr/decision/relative-des-pratiques-mises-en-oeuvre-dans-le-secteur-de-la-grande-distribution-0" TargetMode="External"/><Relationship Id="rId37" Type="http://schemas.openxmlformats.org/officeDocument/2006/relationships/hyperlink" Target="https://www.autoritedelaconcurrence.fr/fr/decision/relative-des-pratiques-mises-en-oeuvre-dans-le-secteur-de-la-grande-distribution-0" TargetMode="External"/><Relationship Id="rId58" Type="http://schemas.openxmlformats.org/officeDocument/2006/relationships/hyperlink" Target="https://www.autoritedelaconcurrence.fr/fr/decision/relative-des-pratiques-mises-en-oeuvre-dans-le-secteur-de-la-distribution-des-produits-7" TargetMode="External"/><Relationship Id="rId79" Type="http://schemas.openxmlformats.org/officeDocument/2006/relationships/hyperlink" Target="https://www.autoritedelaconcurrence.fr/fr/decision/relative-des-pratiques-mises-en-oeuvre-par-carrefour-dans-le-secteur-du-commerce" TargetMode="External"/><Relationship Id="rId102" Type="http://schemas.openxmlformats.org/officeDocument/2006/relationships/hyperlink" Target="https://www.autoritedelaconcurrence.fr/fr/decision/relative-des-pratiques-mises-en-oeuvre-par-carrefour-dans-le-secteur-du-commerce" TargetMode="External"/><Relationship Id="rId123" Type="http://schemas.openxmlformats.org/officeDocument/2006/relationships/hyperlink" Target="https://www.autoritedelaconcurrence.fr/fr/decision-de-controle-des-concentrations/relative-la-prise-de-controle-conjoint-de-la-societe-vpm" TargetMode="External"/><Relationship Id="rId144" Type="http://schemas.openxmlformats.org/officeDocument/2006/relationships/hyperlink" Target="https://www.autoritedelaconcurrence.fr/fr/decision-de-controle-des-concentrations/relative-la-prise-de-controle-exclusif-de-la-societe-la-4" TargetMode="External"/><Relationship Id="rId90" Type="http://schemas.openxmlformats.org/officeDocument/2006/relationships/hyperlink" Target="https://www.autoritedelaconcurrence.fr/fr/decision/relative-des-pratiques-mises-en-oeuvre-par-carrefour-dans-le-secteur-du-commerce" TargetMode="External"/><Relationship Id="rId165" Type="http://schemas.openxmlformats.org/officeDocument/2006/relationships/hyperlink" Target="https://www.autoritedelaconcurrence.fr/fr/decision-de-controle-des-concentrations/relative-la-prise-de-controle-exclusif-de-la-societe-la-4" TargetMode="External"/><Relationship Id="rId186" Type="http://schemas.openxmlformats.org/officeDocument/2006/relationships/hyperlink" Target="https://www.autoritedelaconcurrence.fr/fr/decision-de-controle-des-concentrations/relative-la-prise-de-controle-exclusif-de-cinq-fonds-de-4" TargetMode="External"/><Relationship Id="rId211" Type="http://schemas.openxmlformats.org/officeDocument/2006/relationships/header" Target="header1.xml"/><Relationship Id="rId27" Type="http://schemas.openxmlformats.org/officeDocument/2006/relationships/hyperlink" Target="https://www.autoritedelaconcurrence.fr/fr/decision/relative-des-pratiques-mises-en-oeuvre-dans-le-secteur-de-la-grande-distribution-0" TargetMode="External"/><Relationship Id="rId48" Type="http://schemas.openxmlformats.org/officeDocument/2006/relationships/hyperlink" Target="https://www.autoritedelaconcurrence.fr/fr/decision/relative-des-pratiques-mises-en-oeuvre-dans-le-secteur-de-la-distribution-des-produits-7" TargetMode="External"/><Relationship Id="rId69" Type="http://schemas.openxmlformats.org/officeDocument/2006/relationships/hyperlink" Target="https://www.autoritedelaconcurrence.fr/fr/decision/relative-des-pratiques-mises-en-oeuvre-dans-le-secteur-de-la-distribution-des-produits-7" TargetMode="External"/><Relationship Id="rId113" Type="http://schemas.openxmlformats.org/officeDocument/2006/relationships/hyperlink" Target="https://www.autoritedelaconcurrence.fr/fr/decision-de-controle-des-concentrations/relative-la-prise-de-controle-conjoint-de-la-societe-vpm" TargetMode="External"/><Relationship Id="rId134" Type="http://schemas.openxmlformats.org/officeDocument/2006/relationships/hyperlink" Target="https://www.autoritedelaconcurrence.fr/fr/decision-de-controle-des-concentrations/relative-la-prise-de-controle-conjoint-de-la-societe-vpm" TargetMode="External"/><Relationship Id="rId80" Type="http://schemas.openxmlformats.org/officeDocument/2006/relationships/hyperlink" Target="https://www.autoritedelaconcurrence.fr/fr/decision/relative-des-pratiques-mises-en-oeuvre-par-carrefour-dans-le-secteur-du-commerce" TargetMode="External"/><Relationship Id="rId155" Type="http://schemas.openxmlformats.org/officeDocument/2006/relationships/hyperlink" Target="https://www.autoritedelaconcurrence.fr/fr/decision-de-controle-des-concentrations/relative-la-prise-de-controle-exclusif-de-la-societe-la-4" TargetMode="External"/><Relationship Id="rId176" Type="http://schemas.openxmlformats.org/officeDocument/2006/relationships/hyperlink" Target="https://www.autoritedelaconcurrence.fr/fr/decision-de-controle-des-concentrations/relative-la-prise-de-controle-exclusif-de-cinq-fonds-de-4" TargetMode="External"/><Relationship Id="rId197" Type="http://schemas.openxmlformats.org/officeDocument/2006/relationships/hyperlink" Target="https://www.autoritedelaconcurrence.fr/fr/decision-de-controle-des-concentrations/relative-la-prise-de-controle-exclusif-de-cinq-fonds-de-4" TargetMode="External"/><Relationship Id="rId201" Type="http://schemas.openxmlformats.org/officeDocument/2006/relationships/hyperlink" Target="https://www.autoritedelaconcurrence.fr/fr/decision-de-controle-des-concentrations/relative-la-prise-de-controle-exclusif-de-cinq-fonds-de-4" TargetMode="External"/><Relationship Id="rId17" Type="http://schemas.openxmlformats.org/officeDocument/2006/relationships/hyperlink" Target="https://www.autoritedelaconcurrence.fr/fr/decision/relative-des-pratiques-mises-en-oeuvre-dans-le-secteur-de-la-grande-distribution-0" TargetMode="External"/><Relationship Id="rId38" Type="http://schemas.openxmlformats.org/officeDocument/2006/relationships/hyperlink" Target="https://www.autoritedelaconcurrence.fr/fr/decision/relative-des-pratiques-mises-en-oeuvre-dans-le-secteur-de-la-grande-distribution-0" TargetMode="External"/><Relationship Id="rId59" Type="http://schemas.openxmlformats.org/officeDocument/2006/relationships/hyperlink" Target="https://www.autoritedelaconcurrence.fr/fr/decision/relative-des-pratiques-mises-en-oeuvre-dans-le-secteur-de-la-distribution-des-produits-7" TargetMode="External"/><Relationship Id="rId103" Type="http://schemas.openxmlformats.org/officeDocument/2006/relationships/hyperlink" Target="https://www.autoritedelaconcurrence.fr/fr/decision/relative-des-pratiques-mises-en-oeuvre-par-carrefour-dans-le-secteur-du-commerce" TargetMode="External"/><Relationship Id="rId124" Type="http://schemas.openxmlformats.org/officeDocument/2006/relationships/hyperlink" Target="https://www.autoritedelaconcurrence.fr/fr/decision-de-controle-des-concentrations/relative-la-prise-de-controle-conjoint-de-la-societe-vpm" TargetMode="External"/><Relationship Id="rId70" Type="http://schemas.openxmlformats.org/officeDocument/2006/relationships/hyperlink" Target="https://www.autoritedelaconcurrence.fr/fr/decision/relative-des-pratiques-mises-en-oeuvre-dans-le-secteur-de-la-distribution-des-produits-7" TargetMode="External"/><Relationship Id="rId91" Type="http://schemas.openxmlformats.org/officeDocument/2006/relationships/hyperlink" Target="https://www.autoritedelaconcurrence.fr/fr/decision/relative-des-pratiques-mises-en-oeuvre-par-carrefour-dans-le-secteur-du-commerce" TargetMode="External"/><Relationship Id="rId145" Type="http://schemas.openxmlformats.org/officeDocument/2006/relationships/hyperlink" Target="https://www.autoritedelaconcurrence.fr/fr/decision-de-controle-des-concentrations/relative-la-prise-de-controle-exclusif-de-la-societe-la-4" TargetMode="External"/><Relationship Id="rId166" Type="http://schemas.openxmlformats.org/officeDocument/2006/relationships/hyperlink" Target="https://www.autoritedelaconcurrence.fr/fr/decision-de-controle-des-concentrations/relative-la-prise-de-controle-exclusif-de-la-societe-la-4" TargetMode="External"/><Relationship Id="rId187" Type="http://schemas.openxmlformats.org/officeDocument/2006/relationships/hyperlink" Target="https://www.autoritedelaconcurrence.fr/fr/decision-de-controle-des-concentrations/relative-la-prise-de-controle-exclusif-de-cinq-fonds-de-4" TargetMode="External"/><Relationship Id="rId1" Type="http://schemas.openxmlformats.org/officeDocument/2006/relationships/numbering" Target="numbering.xml"/><Relationship Id="rId212" Type="http://schemas.openxmlformats.org/officeDocument/2006/relationships/footer" Target="footer1.xml"/><Relationship Id="rId28" Type="http://schemas.openxmlformats.org/officeDocument/2006/relationships/hyperlink" Target="https://www.autoritedelaconcurrence.fr/fr/decision/relative-des-pratiques-mises-en-oeuvre-dans-le-secteur-de-la-grande-distribution-0" TargetMode="External"/><Relationship Id="rId49" Type="http://schemas.openxmlformats.org/officeDocument/2006/relationships/hyperlink" Target="https://www.autoritedelaconcurrence.fr/fr/decision/relative-des-pratiques-mises-en-oeuvre-dans-le-secteur-de-la-distribution-des-produits-7" TargetMode="External"/><Relationship Id="rId114" Type="http://schemas.openxmlformats.org/officeDocument/2006/relationships/hyperlink" Target="https://www.autoritedelaconcurrence.fr/fr/decision-de-controle-des-concentrations/relative-la-prise-de-controle-conjoint-de-la-societe-vpm" TargetMode="External"/><Relationship Id="rId60" Type="http://schemas.openxmlformats.org/officeDocument/2006/relationships/hyperlink" Target="https://www.autoritedelaconcurrence.fr/fr/decision/relative-des-pratiques-mises-en-oeuvre-dans-le-secteur-de-la-distribution-des-produits-7" TargetMode="External"/><Relationship Id="rId81" Type="http://schemas.openxmlformats.org/officeDocument/2006/relationships/hyperlink" Target="https://www.autoritedelaconcurrence.fr/fr/decision/relative-des-pratiques-mises-en-oeuvre-par-carrefour-dans-le-secteur-du-commerce" TargetMode="External"/><Relationship Id="rId135" Type="http://schemas.openxmlformats.org/officeDocument/2006/relationships/hyperlink" Target="https://www.autoritedelaconcurrence.fr/fr/decision-de-controle-des-concentrations/relative-la-prise-de-controle-conjoint-de-la-societe-vpm" TargetMode="External"/><Relationship Id="rId156" Type="http://schemas.openxmlformats.org/officeDocument/2006/relationships/hyperlink" Target="https://www.autoritedelaconcurrence.fr/fr/decision-de-controle-des-concentrations/relative-la-prise-de-controle-exclusif-de-la-societe-la-4" TargetMode="External"/><Relationship Id="rId177" Type="http://schemas.openxmlformats.org/officeDocument/2006/relationships/hyperlink" Target="https://www.autoritedelaconcurrence.fr/fr/decision-de-controle-des-concentrations/relative-la-prise-de-controle-exclusif-de-cinq-fonds-de-4" TargetMode="External"/><Relationship Id="rId198" Type="http://schemas.openxmlformats.org/officeDocument/2006/relationships/hyperlink" Target="https://www.autoritedelaconcurrence.fr/fr/decision-de-controle-des-concentrations/relative-la-prise-de-controle-exclusif-de-cinq-fonds-de-4" TargetMode="External"/><Relationship Id="rId202" Type="http://schemas.openxmlformats.org/officeDocument/2006/relationships/hyperlink" Target="https://www.autoritedelaconcurrence.fr/fr/decision-de-controle-des-concentrations/relative-la-prise-de-controle-exclusif-de-cinq-fonds-de-4" TargetMode="External"/><Relationship Id="rId18" Type="http://schemas.openxmlformats.org/officeDocument/2006/relationships/hyperlink" Target="https://www.autoritedelaconcurrence.fr/fr/decision/relative-des-pratiques-mises-en-oeuvre-dans-le-secteur-de-la-grande-distribution-0" TargetMode="External"/><Relationship Id="rId39" Type="http://schemas.openxmlformats.org/officeDocument/2006/relationships/hyperlink" Target="https://www.autoritedelaconcurrence.fr/fr/decision/relative-des-pratiques-mises-en-oeuvre-dans-le-secteur-de-la-grande-distribution-0" TargetMode="External"/><Relationship Id="rId50" Type="http://schemas.openxmlformats.org/officeDocument/2006/relationships/hyperlink" Target="https://www.autoritedelaconcurrence.fr/fr/decision/relative-des-pratiques-mises-en-oeuvre-dans-le-secteur-de-la-distribution-des-produits-7" TargetMode="External"/><Relationship Id="rId104" Type="http://schemas.openxmlformats.org/officeDocument/2006/relationships/hyperlink" Target="https://www.autoritedelaconcurrence.fr/fr/decision/relative-des-pratiques-mises-en-oeuvre-par-carrefour-dans-le-secteur-du-commerce" TargetMode="External"/><Relationship Id="rId125" Type="http://schemas.openxmlformats.org/officeDocument/2006/relationships/hyperlink" Target="https://www.autoritedelaconcurrence.fr/fr/decision-de-controle-des-concentrations/relative-la-prise-de-controle-conjoint-de-la-societe-vpm" TargetMode="External"/><Relationship Id="rId146" Type="http://schemas.openxmlformats.org/officeDocument/2006/relationships/hyperlink" Target="https://www.autoritedelaconcurrence.fr/fr/decision-de-controle-des-concentrations/relative-la-prise-de-controle-exclusif-de-la-societe-la-4" TargetMode="External"/><Relationship Id="rId167" Type="http://schemas.openxmlformats.org/officeDocument/2006/relationships/hyperlink" Target="https://www.autoritedelaconcurrence.fr/fr/decision-de-controle-des-concentrations/relative-la-prise-de-controle-exclusif-de-la-societe-la-4" TargetMode="External"/><Relationship Id="rId188" Type="http://schemas.openxmlformats.org/officeDocument/2006/relationships/hyperlink" Target="https://www.autoritedelaconcurrence.fr/fr/decision-de-controle-des-concentrations/relative-la-prise-de-controle-exclusif-de-cinq-fonds-de-4" TargetMode="External"/><Relationship Id="rId71" Type="http://schemas.openxmlformats.org/officeDocument/2006/relationships/hyperlink" Target="https://www.autoritedelaconcurrence.fr/fr/decision/relative-des-pratiques-mises-en-oeuvre-dans-le-secteur-de-la-distribution-des-produits-7" TargetMode="External"/><Relationship Id="rId92" Type="http://schemas.openxmlformats.org/officeDocument/2006/relationships/hyperlink" Target="https://www.autoritedelaconcurrence.fr/fr/decision/relative-des-pratiques-mises-en-oeuvre-par-carrefour-dans-le-secteur-du-commerce" TargetMode="External"/><Relationship Id="rId21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autoritedelaconcurrence.fr/fr/decision/relative-des-pratiques-mises-en-oeuvre-dans-le-secteur-de-la-grande-distribution-0" TargetMode="External"/><Relationship Id="rId40" Type="http://schemas.openxmlformats.org/officeDocument/2006/relationships/hyperlink" Target="https://www.autoritedelaconcurrence.fr/fr/decision/relative-des-pratiques-mises-en-oeuvre-dans-le-secteur-de-la-grande-distribution-0" TargetMode="External"/><Relationship Id="rId115" Type="http://schemas.openxmlformats.org/officeDocument/2006/relationships/hyperlink" Target="https://www.autoritedelaconcurrence.fr/fr/decision-de-controle-des-concentrations/relative-la-prise-de-controle-conjoint-de-la-societe-vpm" TargetMode="External"/><Relationship Id="rId136" Type="http://schemas.openxmlformats.org/officeDocument/2006/relationships/hyperlink" Target="https://www.autoritedelaconcurrence.fr/fr/decision-de-controle-des-concentrations/relative-la-prise-de-controle-conjoint-de-la-societe-vpm" TargetMode="External"/><Relationship Id="rId157" Type="http://schemas.openxmlformats.org/officeDocument/2006/relationships/hyperlink" Target="https://www.autoritedelaconcurrence.fr/fr/decision-de-controle-des-concentrations/relative-la-prise-de-controle-exclusif-de-la-societe-la-4" TargetMode="External"/><Relationship Id="rId178" Type="http://schemas.openxmlformats.org/officeDocument/2006/relationships/hyperlink" Target="https://www.autoritedelaconcurrence.fr/fr/decision-de-controle-des-concentrations/relative-la-prise-de-controle-exclusif-de-cinq-fonds-de-4" TargetMode="External"/><Relationship Id="rId61" Type="http://schemas.openxmlformats.org/officeDocument/2006/relationships/hyperlink" Target="https://www.autoritedelaconcurrence.fr/fr/decision/relative-des-pratiques-mises-en-oeuvre-dans-le-secteur-de-la-distribution-des-produits-7" TargetMode="External"/><Relationship Id="rId82" Type="http://schemas.openxmlformats.org/officeDocument/2006/relationships/hyperlink" Target="https://www.autoritedelaconcurrence.fr/fr/decision/relative-des-pratiques-mises-en-oeuvre-par-carrefour-dans-le-secteur-du-commerce" TargetMode="External"/><Relationship Id="rId199" Type="http://schemas.openxmlformats.org/officeDocument/2006/relationships/hyperlink" Target="https://www.autoritedelaconcurrence.fr/fr/decision-de-controle-des-concentrations/relative-la-prise-de-controle-exclusif-de-cinq-fonds-de-4" TargetMode="External"/><Relationship Id="rId203" Type="http://schemas.openxmlformats.org/officeDocument/2006/relationships/hyperlink" Target="https://www.autoritedelaconcurrence.fr/fr/decision-de-controle-des-concentrations/relative-la-prise-de-controle-exclusif-de-cinq-fonds-d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13409</Words>
  <Characters>76436</Characters>
  <Application>Microsoft Office Word</Application>
  <DocSecurity>0</DocSecurity>
  <Lines>636</Lines>
  <Paragraphs>179</Paragraphs>
  <ScaleCrop>false</ScaleCrop>
  <Company/>
  <LinksUpToDate>false</LinksUpToDate>
  <CharactersWithSpaces>89666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2</cp:revision>
  <dcterms:created xsi:type="dcterms:W3CDTF">2026-09-20T14:28:00Z</dcterms:created>
  <dcterms:modified xsi:type="dcterms:W3CDTF">2026-09-20T14:31:00Z</dcterms:modified>
</cp:coreProperties>
</file>