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E25E" w14:textId="41282FF2" w:rsidR="00B774E4" w:rsidRDefault="00000000">
      <w:pPr>
        <w:spacing w:after="160"/>
      </w:pPr>
      <w:r>
        <w:rPr>
          <w:b/>
          <w:bCs/>
          <w:color w:val="1F4E5F"/>
          <w:sz w:val="32"/>
          <w:szCs w:val="32"/>
        </w:rPr>
        <w:t xml:space="preserve">Response Transcript — Sample </w:t>
      </w:r>
      <w:r w:rsidR="00D2149E">
        <w:rPr>
          <w:b/>
          <w:bCs/>
          <w:color w:val="1F4E5F"/>
          <w:sz w:val="32"/>
          <w:szCs w:val="32"/>
        </w:rPr>
        <w:t>2</w:t>
      </w:r>
    </w:p>
    <w:p w14:paraId="120605A5" w14:textId="77777777" w:rsidR="00B774E4" w:rsidRDefault="00B774E4">
      <w:pPr>
        <w:pBdr>
          <w:bottom w:val="single" w:sz="8" w:space="4" w:color="1F4E5F"/>
        </w:pBdr>
        <w:spacing w:after="240"/>
      </w:pPr>
    </w:p>
    <w:p w14:paraId="0C134816" w14:textId="77777777" w:rsidR="00B774E4" w:rsidRDefault="00000000">
      <w:pPr>
        <w:spacing w:after="120"/>
      </w:pPr>
      <w:r>
        <w:rPr>
          <w:b/>
          <w:bCs/>
          <w:color w:val="1F4E5F"/>
        </w:rPr>
        <w:t>User Query</w:t>
      </w:r>
    </w:p>
    <w:p w14:paraId="5AC12FDC" w14:textId="77777777" w:rsidR="00B774E4" w:rsidRDefault="00000000">
      <w:pPr>
        <w:pBdr>
          <w:left w:val="single" w:sz="12" w:space="8" w:color="1F4E5F"/>
        </w:pBdr>
        <w:spacing w:after="280"/>
        <w:ind w:left="360"/>
      </w:pPr>
      <w:proofErr w:type="gramStart"/>
      <w:r>
        <w:rPr>
          <w:i/>
          <w:iCs/>
        </w:rPr>
        <w:t>can</w:t>
      </w:r>
      <w:proofErr w:type="gramEnd"/>
      <w:r>
        <w:rPr>
          <w:i/>
          <w:iCs/>
        </w:rPr>
        <w:t xml:space="preserve"> you get me the EU case AT.40823 by SAP</w:t>
      </w:r>
    </w:p>
    <w:p w14:paraId="4055E9C8" w14:textId="77777777" w:rsidR="00B774E4" w:rsidRDefault="00000000">
      <w:pPr>
        <w:spacing w:after="120"/>
      </w:pPr>
      <w:r>
        <w:rPr>
          <w:b/>
          <w:bCs/>
          <w:color w:val="1F4E5F"/>
        </w:rPr>
        <w:t>System Response</w:t>
      </w:r>
    </w:p>
    <w:p w14:paraId="3AF675D9" w14:textId="77777777" w:rsidR="00B774E4" w:rsidRDefault="00000000">
      <w:pPr>
        <w:spacing w:before="200" w:after="160"/>
      </w:pPr>
      <w:r>
        <w:rPr>
          <w:b/>
          <w:bCs/>
          <w:color w:val="1F4E5F"/>
        </w:rPr>
        <w:t>CASE AT.40823 – SAP ERP aftermarket support services</w:t>
      </w:r>
    </w:p>
    <w:p w14:paraId="1C13D7A8" w14:textId="77777777" w:rsidR="00B774E4" w:rsidRDefault="00000000">
      <w:pPr>
        <w:spacing w:before="240" w:after="120"/>
      </w:pPr>
      <w:r>
        <w:rPr>
          <w:b/>
          <w:bCs/>
          <w:i/>
          <w:iCs/>
          <w:color w:val="1F4E5F"/>
        </w:rPr>
        <w:t>Case Background</w:t>
      </w:r>
    </w:p>
    <w:p w14:paraId="404508FF" w14:textId="77777777" w:rsidR="00B774E4" w:rsidRDefault="00000000">
      <w:pPr>
        <w:spacing w:after="160"/>
      </w:pPr>
      <w:r>
        <w:t xml:space="preserve">The allegation made in this case pertains to preliminary competition concerns regarding SAP's aftermarket support services. </w:t>
      </w:r>
      <w:hyperlink r:id="rId7" w:history="1">
        <w:r>
          <w:rPr>
            <w:rStyle w:val="Hyperlink"/>
          </w:rPr>
          <w:t>[1]</w:t>
        </w:r>
      </w:hyperlink>
    </w:p>
    <w:p w14:paraId="3376E49F" w14:textId="77777777" w:rsidR="00B774E4" w:rsidRDefault="00000000">
      <w:pPr>
        <w:spacing w:after="160"/>
      </w:pPr>
      <w:r>
        <w:t xml:space="preserve">The company against which the allegations are made is SAP SE. </w:t>
      </w:r>
      <w:hyperlink r:id="rId8" w:history="1">
        <w:r>
          <w:rPr>
            <w:rStyle w:val="Hyperlink"/>
          </w:rPr>
          <w:t>[1]</w:t>
        </w:r>
      </w:hyperlink>
    </w:p>
    <w:p w14:paraId="732D7443" w14:textId="77777777" w:rsidR="00B774E4" w:rsidRDefault="00000000">
      <w:pPr>
        <w:spacing w:after="160"/>
      </w:pPr>
      <w:r>
        <w:t xml:space="preserve">The year of case initiation is 2025, as indicated by the preliminary assessment date of September 25, 2025. </w:t>
      </w:r>
      <w:hyperlink r:id="rId9" w:history="1">
        <w:r>
          <w:rPr>
            <w:rStyle w:val="Hyperlink"/>
          </w:rPr>
          <w:t>[1]</w:t>
        </w:r>
      </w:hyperlink>
    </w:p>
    <w:p w14:paraId="31D219A3" w14:textId="77777777" w:rsidR="00B774E4" w:rsidRDefault="00000000">
      <w:pPr>
        <w:spacing w:after="160"/>
      </w:pPr>
      <w:r>
        <w:t xml:space="preserve">The violation involves potential abusive conduct contrary to Article 102 of the Treaty on the Functioning of the European Union (TFEU), specifically related to SAP's practices in the aftermarket support services sector. </w:t>
      </w:r>
      <w:hyperlink r:id="rId10" w:history="1">
        <w:r>
          <w:rPr>
            <w:rStyle w:val="Hyperlink"/>
          </w:rPr>
          <w:t>[1]</w:t>
        </w:r>
      </w:hyperlink>
    </w:p>
    <w:p w14:paraId="642E603F" w14:textId="77777777" w:rsidR="00B774E4" w:rsidRDefault="00000000">
      <w:pPr>
        <w:spacing w:after="160"/>
      </w:pPr>
      <w:r>
        <w:t xml:space="preserve">It is suggested that SAP may have engaged in practices that could limit customer choice and impose unfair conditions, such as increased fees or service disruptions, thereby undermining competition. </w:t>
      </w:r>
      <w:hyperlink r:id="rId11" w:history="1">
        <w:r>
          <w:rPr>
            <w:rStyle w:val="Hyperlink"/>
          </w:rPr>
          <w:t>[1]</w:t>
        </w:r>
      </w:hyperlink>
    </w:p>
    <w:p w14:paraId="622F4F84" w14:textId="77777777" w:rsidR="00B774E4" w:rsidRDefault="00000000">
      <w:pPr>
        <w:spacing w:after="160"/>
      </w:pPr>
      <w:r>
        <w:t xml:space="preserve">The commitments proposed by SAP aim to address these concerns by improving customer options and clarifying contractual provisions, indicating an acknowledgment of the issues raised. </w:t>
      </w:r>
      <w:hyperlink r:id="rId12" w:history="1">
        <w:r>
          <w:rPr>
            <w:rStyle w:val="Hyperlink"/>
          </w:rPr>
          <w:t>[1]</w:t>
        </w:r>
      </w:hyperlink>
    </w:p>
    <w:p w14:paraId="4C0A53BE" w14:textId="77777777" w:rsidR="00B774E4" w:rsidRDefault="00000000">
      <w:pPr>
        <w:spacing w:before="240" w:after="120"/>
      </w:pPr>
      <w:r>
        <w:rPr>
          <w:b/>
          <w:bCs/>
          <w:i/>
          <w:iCs/>
          <w:color w:val="1F4E5F"/>
        </w:rPr>
        <w:t>Case Progression</w:t>
      </w:r>
    </w:p>
    <w:p w14:paraId="433B833B" w14:textId="77777777" w:rsidR="00B774E4" w:rsidRDefault="00000000">
      <w:pPr>
        <w:pStyle w:val="ListParagraph"/>
        <w:numPr>
          <w:ilvl w:val="0"/>
          <w:numId w:val="1"/>
        </w:numPr>
        <w:spacing w:after="120"/>
      </w:pPr>
      <w:r>
        <w:rPr>
          <w:b/>
          <w:bCs/>
        </w:rPr>
        <w:t xml:space="preserve">Case Initiation: </w:t>
      </w:r>
      <w:r>
        <w:t xml:space="preserve">The case identifier is AT.40823, concerning SAP ERP aftermarket support services. This initiation sets the stage for the investigation into potential competition law violations </w:t>
      </w:r>
      <w:hyperlink r:id="rId13" w:history="1">
        <w:r>
          <w:rPr>
            <w:rStyle w:val="Hyperlink"/>
          </w:rPr>
          <w:t>[1]</w:t>
        </w:r>
      </w:hyperlink>
      <w:r>
        <w:t>.</w:t>
      </w:r>
    </w:p>
    <w:p w14:paraId="5D2634CA" w14:textId="77777777" w:rsidR="00B774E4" w:rsidRDefault="00000000">
      <w:pPr>
        <w:pStyle w:val="ListParagraph"/>
        <w:numPr>
          <w:ilvl w:val="0"/>
          <w:numId w:val="1"/>
        </w:numPr>
        <w:spacing w:after="120"/>
      </w:pPr>
      <w:r>
        <w:rPr>
          <w:b/>
          <w:bCs/>
        </w:rPr>
        <w:t xml:space="preserve">Preliminary Investigation: </w:t>
      </w:r>
      <w:r>
        <w:t xml:space="preserve">Following the initiation, a preliminary assessment was conducted, which expressed competition concerns regarding SAP's practices. The investigation led to SAP voluntarily offering commitments to address these concerns, indicating that evidence of potential issues was found </w:t>
      </w:r>
      <w:hyperlink r:id="rId14" w:history="1">
        <w:r>
          <w:rPr>
            <w:rStyle w:val="Hyperlink"/>
          </w:rPr>
          <w:t>[1]</w:t>
        </w:r>
      </w:hyperlink>
      <w:r>
        <w:t>.</w:t>
      </w:r>
    </w:p>
    <w:p w14:paraId="1DC418BB" w14:textId="77777777" w:rsidR="00B774E4" w:rsidRDefault="00000000">
      <w:pPr>
        <w:pStyle w:val="ListParagraph"/>
        <w:numPr>
          <w:ilvl w:val="0"/>
          <w:numId w:val="1"/>
        </w:numPr>
        <w:spacing w:after="120"/>
      </w:pPr>
      <w:r>
        <w:rPr>
          <w:b/>
          <w:bCs/>
        </w:rPr>
        <w:t xml:space="preserve">Statement of Objections: </w:t>
      </w:r>
      <w:r>
        <w:t xml:space="preserve">The document does not provide details on whether a formal Statement of Objections was issued, as it focuses on the commitments offered by SAP to resolve the identified concerns </w:t>
      </w:r>
      <w:hyperlink r:id="rId15" w:history="1">
        <w:r>
          <w:rPr>
            <w:rStyle w:val="Hyperlink"/>
          </w:rPr>
          <w:t>[1]</w:t>
        </w:r>
      </w:hyperlink>
      <w:r>
        <w:t>.</w:t>
      </w:r>
    </w:p>
    <w:p w14:paraId="06F56E44" w14:textId="77777777" w:rsidR="00B774E4" w:rsidRDefault="00000000">
      <w:pPr>
        <w:pStyle w:val="ListParagraph"/>
        <w:numPr>
          <w:ilvl w:val="0"/>
          <w:numId w:val="1"/>
        </w:numPr>
        <w:spacing w:after="120"/>
      </w:pPr>
      <w:r>
        <w:rPr>
          <w:b/>
          <w:bCs/>
        </w:rPr>
        <w:t xml:space="preserve">Defense Phase: </w:t>
      </w:r>
      <w:r>
        <w:t xml:space="preserve">The document does not detail a defense phase, as it primarily outlines SAP's commitments in response to the preliminary assessment rather than a formal defense against objections </w:t>
      </w:r>
      <w:hyperlink r:id="rId16" w:history="1">
        <w:r>
          <w:rPr>
            <w:rStyle w:val="Hyperlink"/>
          </w:rPr>
          <w:t>[1]</w:t>
        </w:r>
      </w:hyperlink>
      <w:r>
        <w:t>.</w:t>
      </w:r>
    </w:p>
    <w:p w14:paraId="1093E040" w14:textId="77777777" w:rsidR="00B774E4" w:rsidRDefault="00000000">
      <w:pPr>
        <w:pStyle w:val="ListParagraph"/>
        <w:numPr>
          <w:ilvl w:val="0"/>
          <w:numId w:val="1"/>
        </w:numPr>
        <w:spacing w:after="120"/>
      </w:pPr>
      <w:r>
        <w:rPr>
          <w:b/>
          <w:bCs/>
        </w:rPr>
        <w:t xml:space="preserve">Commission Decision: </w:t>
      </w:r>
      <w:r>
        <w:t xml:space="preserve">The commitments proposed by SAP aim to resolve the Commission's concerns, which could lead to a decision confirming that these commitments adequately address the issues raised. The document indicates that if the commitments are accepted, the case may be closed </w:t>
      </w:r>
      <w:hyperlink r:id="rId17" w:history="1">
        <w:r>
          <w:rPr>
            <w:rStyle w:val="Hyperlink"/>
          </w:rPr>
          <w:t>[1]</w:t>
        </w:r>
      </w:hyperlink>
      <w:r>
        <w:t>.</w:t>
      </w:r>
    </w:p>
    <w:p w14:paraId="140EBDE9" w14:textId="77777777" w:rsidR="00B774E4" w:rsidRDefault="00000000">
      <w:pPr>
        <w:pStyle w:val="ListParagraph"/>
        <w:numPr>
          <w:ilvl w:val="0"/>
          <w:numId w:val="1"/>
        </w:numPr>
        <w:spacing w:after="120"/>
      </w:pPr>
      <w:r>
        <w:rPr>
          <w:b/>
          <w:bCs/>
        </w:rPr>
        <w:t xml:space="preserve">Monitoring and Compliance: </w:t>
      </w:r>
      <w:r>
        <w:t xml:space="preserve">SAP is required to appoint a Monitoring Trustee to ensure compliance with the commitments, which includes regular reporting to the Commission and cooperation with the </w:t>
      </w:r>
      <w:r>
        <w:lastRenderedPageBreak/>
        <w:t xml:space="preserve">Trustee. This ongoing oversight is crucial for the implementation of the commitments over the specified 10-year period </w:t>
      </w:r>
      <w:hyperlink r:id="rId18" w:history="1">
        <w:r>
          <w:rPr>
            <w:rStyle w:val="Hyperlink"/>
          </w:rPr>
          <w:t>[1]</w:t>
        </w:r>
      </w:hyperlink>
      <w:r>
        <w:t>.</w:t>
      </w:r>
    </w:p>
    <w:p w14:paraId="14985223" w14:textId="77777777" w:rsidR="00B774E4" w:rsidRDefault="00000000">
      <w:pPr>
        <w:spacing w:before="240" w:after="120"/>
      </w:pPr>
      <w:r>
        <w:rPr>
          <w:b/>
          <w:bCs/>
          <w:i/>
          <w:iCs/>
          <w:color w:val="1F4E5F"/>
        </w:rPr>
        <w:t>Market Definition</w:t>
      </w:r>
    </w:p>
    <w:p w14:paraId="3293CEEC" w14:textId="77777777" w:rsidR="00B774E4" w:rsidRDefault="00000000">
      <w:pPr>
        <w:spacing w:after="160"/>
      </w:pPr>
      <w:r>
        <w:t xml:space="preserve">The case involves SAP's aftermarket support services for its ERP software, which is a specific segment of the software market. </w:t>
      </w:r>
      <w:hyperlink r:id="rId19" w:history="1">
        <w:r>
          <w:rPr>
            <w:rStyle w:val="Hyperlink"/>
          </w:rPr>
          <w:t>[1]</w:t>
        </w:r>
      </w:hyperlink>
    </w:p>
    <w:p w14:paraId="6B761524" w14:textId="77777777" w:rsidR="00B774E4" w:rsidRDefault="00000000">
      <w:pPr>
        <w:spacing w:after="160"/>
      </w:pPr>
      <w:r>
        <w:t xml:space="preserve">The European Commission expressed preliminary competition concerns regarding SAP's practices in this aftermarket support sector, indicating a focus on how these practices may affect competition. </w:t>
      </w:r>
      <w:hyperlink r:id="rId20" w:history="1">
        <w:r>
          <w:rPr>
            <w:rStyle w:val="Hyperlink"/>
          </w:rPr>
          <w:t>[1]</w:t>
        </w:r>
      </w:hyperlink>
    </w:p>
    <w:p w14:paraId="2C15E504" w14:textId="77777777" w:rsidR="00B774E4" w:rsidRDefault="00000000">
      <w:pPr>
        <w:spacing w:after="160"/>
      </w:pPr>
      <w:r>
        <w:t xml:space="preserve">The commitments proposed by SAP aim to address these concerns by enhancing customer choice and clarifying contractual provisions related to maintenance and support services. </w:t>
      </w:r>
      <w:hyperlink r:id="rId21" w:history="1">
        <w:r>
          <w:rPr>
            <w:rStyle w:val="Hyperlink"/>
          </w:rPr>
          <w:t>[1]</w:t>
        </w:r>
      </w:hyperlink>
    </w:p>
    <w:p w14:paraId="5EFF8352" w14:textId="77777777" w:rsidR="00B774E4" w:rsidRDefault="00000000">
      <w:pPr>
        <w:spacing w:after="160"/>
      </w:pPr>
      <w:r>
        <w:t xml:space="preserve">The definition of "Commercial Installation" is crucial, as it outlines the technical landscape and software solutions involved, which helps </w:t>
      </w:r>
      <w:proofErr w:type="gramStart"/>
      <w:r>
        <w:t>in</w:t>
      </w:r>
      <w:proofErr w:type="gramEnd"/>
      <w:r>
        <w:t xml:space="preserve"> understanding the market structure. </w:t>
      </w:r>
      <w:hyperlink r:id="rId22" w:history="1">
        <w:r>
          <w:rPr>
            <w:rStyle w:val="Hyperlink"/>
          </w:rPr>
          <w:t>[1]</w:t>
        </w:r>
      </w:hyperlink>
    </w:p>
    <w:p w14:paraId="0B5DDBD3" w14:textId="77777777" w:rsidR="00B774E4" w:rsidRDefault="00000000">
      <w:pPr>
        <w:spacing w:after="160"/>
      </w:pPr>
      <w:r>
        <w:t xml:space="preserve">The Monitoring Trustee is tasked with overseeing compliance and reporting on SAP's adherence to the commitments, which is a technique to ensure ongoing market monitoring and compliance. </w:t>
      </w:r>
      <w:hyperlink r:id="rId23" w:history="1">
        <w:r>
          <w:rPr>
            <w:rStyle w:val="Hyperlink"/>
          </w:rPr>
          <w:t>[1]</w:t>
        </w:r>
      </w:hyperlink>
    </w:p>
    <w:p w14:paraId="2AC6EADF" w14:textId="77777777" w:rsidR="00B774E4" w:rsidRDefault="00000000">
      <w:pPr>
        <w:spacing w:after="160"/>
      </w:pPr>
      <w:r>
        <w:t xml:space="preserve">The commitments include measures to prevent SAP from imposing alternative charges that could undermine the intended benefits for customers, indicating a focus on pricing strategies within the market. </w:t>
      </w:r>
      <w:hyperlink r:id="rId24" w:history="1">
        <w:r>
          <w:rPr>
            <w:rStyle w:val="Hyperlink"/>
          </w:rPr>
          <w:t>[1]</w:t>
        </w:r>
      </w:hyperlink>
    </w:p>
    <w:p w14:paraId="2C2D2FD9" w14:textId="77777777" w:rsidR="00B774E4" w:rsidRDefault="00000000">
      <w:pPr>
        <w:spacing w:after="160"/>
      </w:pPr>
      <w:r>
        <w:t xml:space="preserve">The geographic scope of the commitments applies to all customers worldwide, which is significant for defining the market reach and competitive landscape of SAP's services. </w:t>
      </w:r>
      <w:hyperlink r:id="rId25" w:history="1">
        <w:r>
          <w:rPr>
            <w:rStyle w:val="Hyperlink"/>
          </w:rPr>
          <w:t>[1]</w:t>
        </w:r>
      </w:hyperlink>
    </w:p>
    <w:p w14:paraId="5C917292" w14:textId="77777777" w:rsidR="00B774E4" w:rsidRDefault="00000000">
      <w:pPr>
        <w:spacing w:before="240" w:after="120"/>
      </w:pPr>
      <w:r>
        <w:rPr>
          <w:b/>
          <w:bCs/>
          <w:i/>
          <w:iCs/>
          <w:color w:val="1F4E5F"/>
        </w:rPr>
        <w:t>Theories of Harm</w:t>
      </w:r>
    </w:p>
    <w:p w14:paraId="52E5239A" w14:textId="77777777" w:rsidR="00B774E4" w:rsidRDefault="00000000">
      <w:pPr>
        <w:pStyle w:val="ListParagraph"/>
        <w:numPr>
          <w:ilvl w:val="0"/>
          <w:numId w:val="1"/>
        </w:numPr>
        <w:spacing w:after="120"/>
      </w:pPr>
      <w:r>
        <w:rPr>
          <w:b/>
          <w:bCs/>
        </w:rPr>
        <w:t xml:space="preserve">Abusive Conduct: </w:t>
      </w:r>
      <w:r>
        <w:t xml:space="preserve">This theory of harm suggests that SAP may have engaged in practices that could be deemed abusive under Article 102 of the Treaty on the Functioning of the European Union (TFEU). The reasoning behind this theory is based on the preliminary competition concerns raised by the Commission, which imply that SAP's actions may have restricted competition in the aftermarket for ERP support services. The commitments offered by SAP are intended to address these concerns without admitting to any abusive conduct. </w:t>
      </w:r>
      <w:hyperlink r:id="rId26" w:history="1">
        <w:r>
          <w:rPr>
            <w:rStyle w:val="Hyperlink"/>
          </w:rPr>
          <w:t>[1]</w:t>
        </w:r>
      </w:hyperlink>
    </w:p>
    <w:p w14:paraId="3B93BF9C" w14:textId="77777777" w:rsidR="00B774E4" w:rsidRDefault="00000000">
      <w:pPr>
        <w:pStyle w:val="ListParagraph"/>
        <w:numPr>
          <w:ilvl w:val="0"/>
          <w:numId w:val="1"/>
        </w:numPr>
        <w:spacing w:after="120"/>
      </w:pPr>
      <w:r>
        <w:rPr>
          <w:b/>
          <w:bCs/>
        </w:rPr>
        <w:t xml:space="preserve">Customer Choice Limitation: </w:t>
      </w:r>
      <w:r>
        <w:t xml:space="preserve">This theory posits that SAP's practices may have limited customer choice regarding maintenance and support providers. The commitments aim to enhance customer choice by clarifying contractual provisions and making it easier for customers to split their SAP landscapes into multiple Commercial Installations. This is intended to improve the financial attractiveness of reinstating SAP maintenance services, thereby addressing </w:t>
      </w:r>
      <w:proofErr w:type="gramStart"/>
      <w:r>
        <w:t>the concerns</w:t>
      </w:r>
      <w:proofErr w:type="gramEnd"/>
      <w:r>
        <w:t xml:space="preserve"> about customer choice. </w:t>
      </w:r>
      <w:hyperlink r:id="rId27" w:history="1">
        <w:r>
          <w:rPr>
            <w:rStyle w:val="Hyperlink"/>
          </w:rPr>
          <w:t>[1]</w:t>
        </w:r>
      </w:hyperlink>
    </w:p>
    <w:p w14:paraId="2E2A9665" w14:textId="77777777" w:rsidR="00B774E4" w:rsidRDefault="00000000">
      <w:pPr>
        <w:pStyle w:val="ListParagraph"/>
        <w:numPr>
          <w:ilvl w:val="0"/>
          <w:numId w:val="1"/>
        </w:numPr>
        <w:spacing w:after="120"/>
      </w:pPr>
      <w:r>
        <w:rPr>
          <w:b/>
          <w:bCs/>
        </w:rPr>
        <w:t xml:space="preserve">Retaliation Against Customers: </w:t>
      </w:r>
      <w:r>
        <w:t xml:space="preserve">This theory of harm indicates that SAP might retaliate against customers who choose to exercise their rights under the commitments, such as opting not to contract an SAP Support Model. The commitments explicitly prohibit SAP from threatening or punishing customers through various means, including financial or technical repercussions, which supports the concern that such retaliation could undermine the effectiveness of the commitments and customer rights. </w:t>
      </w:r>
      <w:hyperlink r:id="rId28" w:history="1">
        <w:r>
          <w:rPr>
            <w:rStyle w:val="Hyperlink"/>
          </w:rPr>
          <w:t>[1]</w:t>
        </w:r>
      </w:hyperlink>
    </w:p>
    <w:p w14:paraId="32D8688C" w14:textId="77777777" w:rsidR="00B774E4" w:rsidRDefault="00000000">
      <w:pPr>
        <w:spacing w:before="240" w:after="120"/>
      </w:pPr>
      <w:r>
        <w:rPr>
          <w:b/>
          <w:bCs/>
          <w:i/>
          <w:iCs/>
          <w:color w:val="1F4E5F"/>
        </w:rPr>
        <w:t>Legal &amp; Economic Tests</w:t>
      </w:r>
    </w:p>
    <w:p w14:paraId="332FA41E" w14:textId="77777777" w:rsidR="00B774E4" w:rsidRDefault="00000000">
      <w:pPr>
        <w:pStyle w:val="ListParagraph"/>
        <w:numPr>
          <w:ilvl w:val="0"/>
          <w:numId w:val="1"/>
        </w:numPr>
        <w:spacing w:after="120"/>
      </w:pPr>
      <w:r>
        <w:rPr>
          <w:b/>
          <w:bCs/>
        </w:rPr>
        <w:t xml:space="preserve">Legal Test for Compliance with Article 102 TFEU: </w:t>
      </w:r>
      <w:r>
        <w:t xml:space="preserve">This test assesses whether SAP has engaged in abusive conduct that could distort competition within the internal market. The process involves evaluating SAP's practices against the criteria set out in Article 102, which prohibits the abuse of a dominant position. The Commission's preliminary assessment highlighted concerns regarding SAP's aftermarket support services, prompting the need for commitments to address these issues. </w:t>
      </w:r>
      <w:hyperlink r:id="rId29" w:history="1">
        <w:r>
          <w:rPr>
            <w:rStyle w:val="Hyperlink"/>
          </w:rPr>
          <w:t>[1]</w:t>
        </w:r>
      </w:hyperlink>
    </w:p>
    <w:p w14:paraId="45B7E3E5" w14:textId="77777777" w:rsidR="00B774E4" w:rsidRDefault="00000000">
      <w:pPr>
        <w:pStyle w:val="ListParagraph"/>
        <w:numPr>
          <w:ilvl w:val="0"/>
          <w:numId w:val="1"/>
        </w:numPr>
        <w:spacing w:after="120"/>
      </w:pPr>
      <w:r>
        <w:rPr>
          <w:b/>
          <w:bCs/>
        </w:rPr>
        <w:lastRenderedPageBreak/>
        <w:t xml:space="preserve">Monitoring Trustee's Role: </w:t>
      </w:r>
      <w:r>
        <w:t xml:space="preserve">The Monitoring Trustee is appointed to ensure compliance with the commitments made by SAP. This involves regular reporting on SAP's adherence to the commitments, including the provision of access to SAP's records and personnel. The Trustee's independence is crucial, as they must not have any conflicts of interest and should be qualified to carry out their mandate effectively. </w:t>
      </w:r>
      <w:hyperlink r:id="rId30" w:history="1">
        <w:r>
          <w:rPr>
            <w:rStyle w:val="Hyperlink"/>
          </w:rPr>
          <w:t>[1]</w:t>
        </w:r>
      </w:hyperlink>
    </w:p>
    <w:p w14:paraId="3AAEAF98" w14:textId="77777777" w:rsidR="00B774E4" w:rsidRDefault="00000000">
      <w:pPr>
        <w:pStyle w:val="ListParagraph"/>
        <w:numPr>
          <w:ilvl w:val="0"/>
          <w:numId w:val="1"/>
        </w:numPr>
        <w:spacing w:after="120"/>
      </w:pPr>
      <w:r>
        <w:rPr>
          <w:b/>
          <w:bCs/>
        </w:rPr>
        <w:t xml:space="preserve">Commitment Period and Geographic Scope: </w:t>
      </w:r>
      <w:r>
        <w:t xml:space="preserve">The commitments proposed by SAP are set to last for a period of 10 years and apply to all customers worldwide. This test evaluates the long-term implications of the commitments on market dynamics and customer choice, ensuring that the measures taken are sufficient to alleviate the Commission's competition concerns over an extended period. </w:t>
      </w:r>
      <w:hyperlink r:id="rId31" w:history="1">
        <w:r>
          <w:rPr>
            <w:rStyle w:val="Hyperlink"/>
          </w:rPr>
          <w:t>[1]</w:t>
        </w:r>
      </w:hyperlink>
    </w:p>
    <w:p w14:paraId="5A93272B" w14:textId="77777777" w:rsidR="00B774E4" w:rsidRDefault="00000000">
      <w:pPr>
        <w:spacing w:before="240" w:after="120"/>
      </w:pPr>
      <w:r>
        <w:rPr>
          <w:b/>
          <w:bCs/>
          <w:i/>
          <w:iCs/>
          <w:color w:val="1F4E5F"/>
        </w:rPr>
        <w:t>Remedies</w:t>
      </w:r>
    </w:p>
    <w:p w14:paraId="5A528B5D" w14:textId="77777777" w:rsidR="00B774E4" w:rsidRDefault="00000000">
      <w:pPr>
        <w:pStyle w:val="ListParagraph"/>
        <w:numPr>
          <w:ilvl w:val="0"/>
          <w:numId w:val="1"/>
        </w:numPr>
        <w:spacing w:after="120"/>
      </w:pPr>
      <w:r>
        <w:rPr>
          <w:b/>
          <w:bCs/>
        </w:rPr>
        <w:t xml:space="preserve">Monitoring Trustee Appointment: </w:t>
      </w:r>
      <w:r>
        <w:t xml:space="preserve">A Monitoring Trustee will be appointed to ensure compliance with the commitments made by SAP. The Monitoring Trustee is responsible for monitoring SAP's performance regarding the commitments, reporting to the Commission, and acting as a contact point for complaints about non-compliance. This remedy is intended to provide oversight and ensure that SAP adheres to the commitments made to address competition concerns. The appointment process includes approval by the Commission and stipulates that the Monitoring Trustee must submit a detailed work plan within fourteen days of their appointment. </w:t>
      </w:r>
      <w:hyperlink r:id="rId32" w:history="1">
        <w:r>
          <w:rPr>
            <w:rStyle w:val="Hyperlink"/>
          </w:rPr>
          <w:t>[1]</w:t>
        </w:r>
      </w:hyperlink>
    </w:p>
    <w:p w14:paraId="2BB95A75" w14:textId="77777777" w:rsidR="00B774E4" w:rsidRDefault="00000000">
      <w:pPr>
        <w:pStyle w:val="ListParagraph"/>
        <w:numPr>
          <w:ilvl w:val="0"/>
          <w:numId w:val="1"/>
        </w:numPr>
        <w:spacing w:after="120"/>
      </w:pPr>
      <w:r>
        <w:rPr>
          <w:b/>
          <w:bCs/>
        </w:rPr>
        <w:t xml:space="preserve">Non-Circumvention Clause: </w:t>
      </w:r>
      <w:r>
        <w:t xml:space="preserve">SAP is prohibited from circumventing </w:t>
      </w:r>
      <w:proofErr w:type="gramStart"/>
      <w:r>
        <w:t>the commitments</w:t>
      </w:r>
      <w:proofErr w:type="gramEnd"/>
      <w:r>
        <w:t xml:space="preserve"> in any way that could undermine their intended benefits for customers. This includes not imposing alternative charges or conditions that would effectively reintroduce previously waived fees or undermine customer rights. The purpose of this remedy is to ensure that customers have genuine choices regarding maintenance and support services without facing hidden barriers or penalties. </w:t>
      </w:r>
      <w:hyperlink r:id="rId33" w:history="1">
        <w:r>
          <w:rPr>
            <w:rStyle w:val="Hyperlink"/>
          </w:rPr>
          <w:t>[1]</w:t>
        </w:r>
      </w:hyperlink>
    </w:p>
    <w:p w14:paraId="00D01505" w14:textId="77777777" w:rsidR="00B774E4" w:rsidRDefault="00000000">
      <w:pPr>
        <w:pStyle w:val="ListParagraph"/>
        <w:numPr>
          <w:ilvl w:val="0"/>
          <w:numId w:val="1"/>
        </w:numPr>
        <w:spacing w:after="120"/>
      </w:pPr>
      <w:r>
        <w:rPr>
          <w:b/>
          <w:bCs/>
        </w:rPr>
        <w:t xml:space="preserve">Non-Retaliation Assurance: </w:t>
      </w:r>
      <w:r>
        <w:t xml:space="preserve">SAP commits not to retaliate against customers who utilize the commitments, such as by increasing fees or degrading service quality. This remedy is crucial to protect customers from potential negative consequences when they exercise their rights under the commitments. It aims to foster a competitive environment where customers feel secure in making choices without fear of reprisal. </w:t>
      </w:r>
      <w:hyperlink r:id="rId34" w:history="1">
        <w:r>
          <w:rPr>
            <w:rStyle w:val="Hyperlink"/>
          </w:rPr>
          <w:t>[1]</w:t>
        </w:r>
      </w:hyperlink>
    </w:p>
    <w:p w14:paraId="49C3247A" w14:textId="77777777" w:rsidR="00B774E4" w:rsidRDefault="00000000">
      <w:pPr>
        <w:spacing w:before="240" w:after="120"/>
      </w:pPr>
      <w:r>
        <w:rPr>
          <w:b/>
          <w:bCs/>
          <w:i/>
          <w:iCs/>
          <w:color w:val="1F4E5F"/>
        </w:rPr>
        <w:t>Conclusion</w:t>
      </w:r>
    </w:p>
    <w:p w14:paraId="5E5B36FC" w14:textId="77777777" w:rsidR="00B774E4" w:rsidRDefault="00000000">
      <w:pPr>
        <w:pStyle w:val="ListParagraph"/>
        <w:numPr>
          <w:ilvl w:val="0"/>
          <w:numId w:val="1"/>
        </w:numPr>
        <w:spacing w:after="120"/>
      </w:pPr>
      <w:r>
        <w:t xml:space="preserve">The commitments proposed by SAP are intended to address preliminary competition concerns raised by the European Commission regarding SAP </w:t>
      </w:r>
      <w:proofErr w:type="gramStart"/>
      <w:r>
        <w:t>ERP aftermarket</w:t>
      </w:r>
      <w:proofErr w:type="gramEnd"/>
      <w:r>
        <w:t xml:space="preserve"> support services, as outlined in the preliminary assessment dated September 25, </w:t>
      </w:r>
      <w:proofErr w:type="gramStart"/>
      <w:r>
        <w:t>2025</w:t>
      </w:r>
      <w:proofErr w:type="gramEnd"/>
      <w:r>
        <w:t xml:space="preserve"> </w:t>
      </w:r>
      <w:hyperlink r:id="rId35" w:history="1">
        <w:r>
          <w:rPr>
            <w:rStyle w:val="Hyperlink"/>
          </w:rPr>
          <w:t>[1]</w:t>
        </w:r>
      </w:hyperlink>
      <w:r>
        <w:t>.</w:t>
      </w:r>
    </w:p>
    <w:p w14:paraId="6C593E9B" w14:textId="77777777" w:rsidR="00B774E4" w:rsidRDefault="00000000">
      <w:pPr>
        <w:pStyle w:val="ListParagraph"/>
        <w:numPr>
          <w:ilvl w:val="0"/>
          <w:numId w:val="1"/>
        </w:numPr>
        <w:spacing w:after="120"/>
      </w:pPr>
      <w:r>
        <w:t xml:space="preserve">SAP has voluntarily offered these commitments without admitting to any abusive conduct or agreeing with the Commission's concerns, aiming to facilitate customer choice and improve the attractiveness of reinstating SAP maintenance and support services </w:t>
      </w:r>
      <w:hyperlink r:id="rId36" w:history="1">
        <w:r>
          <w:rPr>
            <w:rStyle w:val="Hyperlink"/>
          </w:rPr>
          <w:t>[1]</w:t>
        </w:r>
      </w:hyperlink>
      <w:r>
        <w:t>.</w:t>
      </w:r>
    </w:p>
    <w:p w14:paraId="36C3B114" w14:textId="77777777" w:rsidR="00B774E4" w:rsidRDefault="00000000">
      <w:pPr>
        <w:pStyle w:val="ListParagraph"/>
        <w:numPr>
          <w:ilvl w:val="0"/>
          <w:numId w:val="1"/>
        </w:numPr>
        <w:spacing w:after="120"/>
      </w:pPr>
      <w:r>
        <w:t xml:space="preserve">The commitments include a 10-year Commitment Period during which SAP must comply with the outlined obligations, ensuring that customers have clear options regarding maintenance and support services </w:t>
      </w:r>
      <w:hyperlink r:id="rId37" w:history="1">
        <w:r>
          <w:rPr>
            <w:rStyle w:val="Hyperlink"/>
          </w:rPr>
          <w:t>[1]</w:t>
        </w:r>
      </w:hyperlink>
      <w:r>
        <w:t>.</w:t>
      </w:r>
    </w:p>
    <w:p w14:paraId="0C6D0DFB" w14:textId="77777777" w:rsidR="00B774E4" w:rsidRDefault="00000000">
      <w:pPr>
        <w:pStyle w:val="ListParagraph"/>
        <w:numPr>
          <w:ilvl w:val="0"/>
          <w:numId w:val="1"/>
        </w:numPr>
        <w:spacing w:after="120"/>
      </w:pPr>
      <w:r>
        <w:t xml:space="preserve">SAP is required to provide regular reports on compliance with the commitments, initially every six months for three years, and then annually for the remainder of the Commitment Period, allowing the Commission to monitor adherence </w:t>
      </w:r>
      <w:hyperlink r:id="rId38" w:history="1">
        <w:r>
          <w:rPr>
            <w:rStyle w:val="Hyperlink"/>
          </w:rPr>
          <w:t>[1]</w:t>
        </w:r>
      </w:hyperlink>
      <w:r>
        <w:t>.</w:t>
      </w:r>
    </w:p>
    <w:p w14:paraId="4EBE151F" w14:textId="77777777" w:rsidR="00B774E4" w:rsidRDefault="00000000">
      <w:pPr>
        <w:pStyle w:val="ListParagraph"/>
        <w:numPr>
          <w:ilvl w:val="0"/>
          <w:numId w:val="1"/>
        </w:numPr>
        <w:spacing w:after="120"/>
      </w:pPr>
      <w:r>
        <w:t xml:space="preserve">A Monitoring Trustee will be appointed to oversee SAP's compliance, with the authority to propose necessary measures to ensure adherence and report any failures to the Commission </w:t>
      </w:r>
      <w:hyperlink r:id="rId39" w:history="1">
        <w:r>
          <w:rPr>
            <w:rStyle w:val="Hyperlink"/>
          </w:rPr>
          <w:t>[1]</w:t>
        </w:r>
      </w:hyperlink>
      <w:r>
        <w:t>.</w:t>
      </w:r>
    </w:p>
    <w:p w14:paraId="6D3D3647" w14:textId="77777777" w:rsidR="00B774E4" w:rsidRDefault="00000000">
      <w:pPr>
        <w:pStyle w:val="ListParagraph"/>
        <w:numPr>
          <w:ilvl w:val="0"/>
          <w:numId w:val="1"/>
        </w:numPr>
        <w:spacing w:after="120"/>
      </w:pPr>
      <w:r>
        <w:lastRenderedPageBreak/>
        <w:t xml:space="preserve">The commitments also include provisions for Single Metric Contracts, which allow customers to calculate maintenance fees based on a mutually agreed metric, enhancing flexibility and transparency in SAP's pricing structure </w:t>
      </w:r>
      <w:hyperlink r:id="rId40" w:history="1">
        <w:r>
          <w:rPr>
            <w:rStyle w:val="Hyperlink"/>
          </w:rPr>
          <w:t>[1]</w:t>
        </w:r>
      </w:hyperlink>
      <w:r>
        <w:t>.</w:t>
      </w:r>
    </w:p>
    <w:p w14:paraId="605830D6" w14:textId="77777777" w:rsidR="00B774E4" w:rsidRDefault="00000000">
      <w:pPr>
        <w:pStyle w:val="ListParagraph"/>
        <w:numPr>
          <w:ilvl w:val="0"/>
          <w:numId w:val="1"/>
        </w:numPr>
        <w:spacing w:after="120"/>
      </w:pPr>
      <w:r>
        <w:t xml:space="preserve">There are specific non-retaliation clauses ensuring that SAP cannot punish customers for exercising their rights under these commitments, thereby promoting a fair competitive environment </w:t>
      </w:r>
      <w:hyperlink r:id="rId41" w:history="1">
        <w:r>
          <w:rPr>
            <w:rStyle w:val="Hyperlink"/>
          </w:rPr>
          <w:t>[1]</w:t>
        </w:r>
      </w:hyperlink>
      <w:r>
        <w:t>.</w:t>
      </w:r>
    </w:p>
    <w:p w14:paraId="32566313" w14:textId="77777777" w:rsidR="00B774E4" w:rsidRDefault="00000000">
      <w:pPr>
        <w:spacing w:before="280" w:after="120"/>
      </w:pPr>
      <w:r>
        <w:rPr>
          <w:b/>
          <w:bCs/>
          <w:color w:val="1F4E5F"/>
        </w:rPr>
        <w:t>Cited Sources</w:t>
      </w:r>
    </w:p>
    <w:p w14:paraId="3723A7DE" w14:textId="77777777" w:rsidR="00B774E4" w:rsidRDefault="00000000">
      <w:pPr>
        <w:pStyle w:val="ListParagraph"/>
        <w:numPr>
          <w:ilvl w:val="0"/>
          <w:numId w:val="2"/>
        </w:numPr>
        <w:spacing w:after="100"/>
      </w:pPr>
      <w:hyperlink r:id="rId42" w:history="1">
        <w:r>
          <w:rPr>
            <w:rStyle w:val="Hyperlink"/>
          </w:rPr>
          <w:t>CASE AT.40823 – SAP ERP aftermarket support services</w:t>
        </w:r>
      </w:hyperlink>
    </w:p>
    <w:sectPr w:rsidR="00B774E4">
      <w:headerReference w:type="default" r:id="rId43"/>
      <w:footerReference w:type="default" r:id="rId44"/>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0440" w14:textId="77777777" w:rsidR="003F5BD8" w:rsidRDefault="003F5BD8">
      <w:r>
        <w:separator/>
      </w:r>
    </w:p>
  </w:endnote>
  <w:endnote w:type="continuationSeparator" w:id="0">
    <w:p w14:paraId="4795022B" w14:textId="77777777" w:rsidR="003F5BD8" w:rsidRDefault="003F5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EF65" w14:textId="77777777" w:rsidR="00B774E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2149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83A3" w14:textId="77777777" w:rsidR="003F5BD8" w:rsidRDefault="003F5BD8">
      <w:r>
        <w:separator/>
      </w:r>
    </w:p>
  </w:footnote>
  <w:footnote w:type="continuationSeparator" w:id="0">
    <w:p w14:paraId="1EA2CDDC" w14:textId="77777777" w:rsidR="003F5BD8" w:rsidRDefault="003F5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929E" w14:textId="77777777" w:rsidR="00B774E4"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B5"/>
    <w:multiLevelType w:val="hybridMultilevel"/>
    <w:tmpl w:val="1C28A548"/>
    <w:lvl w:ilvl="0" w:tplc="4A7CD62C">
      <w:start w:val="1"/>
      <w:numFmt w:val="decimal"/>
      <w:lvlText w:val="[%1]"/>
      <w:lvlJc w:val="left"/>
      <w:pPr>
        <w:ind w:left="450" w:hanging="300"/>
      </w:pPr>
    </w:lvl>
    <w:lvl w:ilvl="1" w:tplc="D6AE8C48">
      <w:numFmt w:val="decimal"/>
      <w:lvlText w:val=""/>
      <w:lvlJc w:val="left"/>
    </w:lvl>
    <w:lvl w:ilvl="2" w:tplc="4B06B5E2">
      <w:numFmt w:val="decimal"/>
      <w:lvlText w:val=""/>
      <w:lvlJc w:val="left"/>
    </w:lvl>
    <w:lvl w:ilvl="3" w:tplc="419C54E0">
      <w:numFmt w:val="decimal"/>
      <w:lvlText w:val=""/>
      <w:lvlJc w:val="left"/>
    </w:lvl>
    <w:lvl w:ilvl="4" w:tplc="81BA2A50">
      <w:numFmt w:val="decimal"/>
      <w:lvlText w:val=""/>
      <w:lvlJc w:val="left"/>
    </w:lvl>
    <w:lvl w:ilvl="5" w:tplc="9F54EF8E">
      <w:numFmt w:val="decimal"/>
      <w:lvlText w:val=""/>
      <w:lvlJc w:val="left"/>
    </w:lvl>
    <w:lvl w:ilvl="6" w:tplc="C45CB31C">
      <w:numFmt w:val="decimal"/>
      <w:lvlText w:val=""/>
      <w:lvlJc w:val="left"/>
    </w:lvl>
    <w:lvl w:ilvl="7" w:tplc="EE56DDF8">
      <w:numFmt w:val="decimal"/>
      <w:lvlText w:val=""/>
      <w:lvlJc w:val="left"/>
    </w:lvl>
    <w:lvl w:ilvl="8" w:tplc="13286D26">
      <w:numFmt w:val="decimal"/>
      <w:lvlText w:val=""/>
      <w:lvlJc w:val="left"/>
    </w:lvl>
  </w:abstractNum>
  <w:abstractNum w:abstractNumId="1" w15:restartNumberingAfterBreak="0">
    <w:nsid w:val="624C4395"/>
    <w:multiLevelType w:val="hybridMultilevel"/>
    <w:tmpl w:val="013843F8"/>
    <w:lvl w:ilvl="0" w:tplc="D0640928">
      <w:start w:val="1"/>
      <w:numFmt w:val="bullet"/>
      <w:lvlText w:val="●"/>
      <w:lvlJc w:val="left"/>
      <w:pPr>
        <w:ind w:left="720" w:hanging="360"/>
      </w:pPr>
    </w:lvl>
    <w:lvl w:ilvl="1" w:tplc="9502D3B2">
      <w:start w:val="1"/>
      <w:numFmt w:val="bullet"/>
      <w:lvlText w:val="○"/>
      <w:lvlJc w:val="left"/>
      <w:pPr>
        <w:ind w:left="1440" w:hanging="360"/>
      </w:pPr>
    </w:lvl>
    <w:lvl w:ilvl="2" w:tplc="FEA00122">
      <w:start w:val="1"/>
      <w:numFmt w:val="bullet"/>
      <w:lvlText w:val="■"/>
      <w:lvlJc w:val="left"/>
      <w:pPr>
        <w:ind w:left="2160" w:hanging="360"/>
      </w:pPr>
    </w:lvl>
    <w:lvl w:ilvl="3" w:tplc="DF3ED070">
      <w:start w:val="1"/>
      <w:numFmt w:val="bullet"/>
      <w:lvlText w:val="●"/>
      <w:lvlJc w:val="left"/>
      <w:pPr>
        <w:ind w:left="2880" w:hanging="360"/>
      </w:pPr>
    </w:lvl>
    <w:lvl w:ilvl="4" w:tplc="02C6E3F8">
      <w:start w:val="1"/>
      <w:numFmt w:val="bullet"/>
      <w:lvlText w:val="○"/>
      <w:lvlJc w:val="left"/>
      <w:pPr>
        <w:ind w:left="3600" w:hanging="360"/>
      </w:pPr>
    </w:lvl>
    <w:lvl w:ilvl="5" w:tplc="5352054E">
      <w:start w:val="1"/>
      <w:numFmt w:val="bullet"/>
      <w:lvlText w:val="■"/>
      <w:lvlJc w:val="left"/>
      <w:pPr>
        <w:ind w:left="4320" w:hanging="360"/>
      </w:pPr>
    </w:lvl>
    <w:lvl w:ilvl="6" w:tplc="D7B6E2A8">
      <w:start w:val="1"/>
      <w:numFmt w:val="bullet"/>
      <w:lvlText w:val="●"/>
      <w:lvlJc w:val="left"/>
      <w:pPr>
        <w:ind w:left="5040" w:hanging="360"/>
      </w:pPr>
    </w:lvl>
    <w:lvl w:ilvl="7" w:tplc="D982CC6E">
      <w:start w:val="1"/>
      <w:numFmt w:val="bullet"/>
      <w:lvlText w:val="●"/>
      <w:lvlJc w:val="left"/>
      <w:pPr>
        <w:ind w:left="5760" w:hanging="360"/>
      </w:pPr>
    </w:lvl>
    <w:lvl w:ilvl="8" w:tplc="4A2600D2">
      <w:start w:val="1"/>
      <w:numFmt w:val="bullet"/>
      <w:lvlText w:val="●"/>
      <w:lvlJc w:val="left"/>
      <w:pPr>
        <w:ind w:left="6480" w:hanging="360"/>
      </w:pPr>
    </w:lvl>
  </w:abstractNum>
  <w:num w:numId="1" w16cid:durableId="1088968061">
    <w:abstractNumId w:val="1"/>
    <w:lvlOverride w:ilvl="0">
      <w:startOverride w:val="1"/>
    </w:lvlOverride>
  </w:num>
  <w:num w:numId="2" w16cid:durableId="33696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E4"/>
    <w:rsid w:val="003F5BD8"/>
    <w:rsid w:val="00B43875"/>
    <w:rsid w:val="00B774E4"/>
    <w:rsid w:val="00D214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0802"/>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c.europa.eu/competition/antitrust/cases1/202628/AT_40823_7293.pdf" TargetMode="External"/><Relationship Id="rId18" Type="http://schemas.openxmlformats.org/officeDocument/2006/relationships/hyperlink" Target="https://ec.europa.eu/competition/antitrust/cases1/202628/AT_40823_7293.pdf" TargetMode="External"/><Relationship Id="rId26" Type="http://schemas.openxmlformats.org/officeDocument/2006/relationships/hyperlink" Target="https://ec.europa.eu/competition/antitrust/cases1/202628/AT_40823_7293.pdf" TargetMode="External"/><Relationship Id="rId39" Type="http://schemas.openxmlformats.org/officeDocument/2006/relationships/hyperlink" Target="https://ec.europa.eu/competition/antitrust/cases1/202628/AT_40823_7293.pdf" TargetMode="External"/><Relationship Id="rId21" Type="http://schemas.openxmlformats.org/officeDocument/2006/relationships/hyperlink" Target="https://ec.europa.eu/competition/antitrust/cases1/202628/AT_40823_7293.pdf" TargetMode="External"/><Relationship Id="rId34" Type="http://schemas.openxmlformats.org/officeDocument/2006/relationships/hyperlink" Target="https://ec.europa.eu/competition/antitrust/cases1/202628/AT_40823_7293.pdf" TargetMode="External"/><Relationship Id="rId42" Type="http://schemas.openxmlformats.org/officeDocument/2006/relationships/hyperlink" Target="https://ec.europa.eu/competition/antitrust/cases1/202628/AT_40823_7293.pdf" TargetMode="External"/><Relationship Id="rId7" Type="http://schemas.openxmlformats.org/officeDocument/2006/relationships/hyperlink" Target="https://ec.europa.eu/competition/antitrust/cases1/202628/AT_40823_7293.pdf" TargetMode="External"/><Relationship Id="rId2" Type="http://schemas.openxmlformats.org/officeDocument/2006/relationships/styles" Target="styles.xml"/><Relationship Id="rId16" Type="http://schemas.openxmlformats.org/officeDocument/2006/relationships/hyperlink" Target="https://ec.europa.eu/competition/antitrust/cases1/202628/AT_40823_7293.pdf" TargetMode="External"/><Relationship Id="rId29" Type="http://schemas.openxmlformats.org/officeDocument/2006/relationships/hyperlink" Target="https://ec.europa.eu/competition/antitrust/cases1/202628/AT_40823_729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europa.eu/competition/antitrust/cases1/202628/AT_40823_7293.pdf" TargetMode="External"/><Relationship Id="rId24" Type="http://schemas.openxmlformats.org/officeDocument/2006/relationships/hyperlink" Target="https://ec.europa.eu/competition/antitrust/cases1/202628/AT_40823_7293.pdf" TargetMode="External"/><Relationship Id="rId32" Type="http://schemas.openxmlformats.org/officeDocument/2006/relationships/hyperlink" Target="https://ec.europa.eu/competition/antitrust/cases1/202628/AT_40823_7293.pdf" TargetMode="External"/><Relationship Id="rId37" Type="http://schemas.openxmlformats.org/officeDocument/2006/relationships/hyperlink" Target="https://ec.europa.eu/competition/antitrust/cases1/202628/AT_40823_7293.pdf" TargetMode="External"/><Relationship Id="rId40" Type="http://schemas.openxmlformats.org/officeDocument/2006/relationships/hyperlink" Target="https://ec.europa.eu/competition/antitrust/cases1/202628/AT_40823_7293.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c.europa.eu/competition/antitrust/cases1/202628/AT_40823_7293.pdf" TargetMode="External"/><Relationship Id="rId23" Type="http://schemas.openxmlformats.org/officeDocument/2006/relationships/hyperlink" Target="https://ec.europa.eu/competition/antitrust/cases1/202628/AT_40823_7293.pdf" TargetMode="External"/><Relationship Id="rId28" Type="http://schemas.openxmlformats.org/officeDocument/2006/relationships/hyperlink" Target="https://ec.europa.eu/competition/antitrust/cases1/202628/AT_40823_7293.pdf" TargetMode="External"/><Relationship Id="rId36" Type="http://schemas.openxmlformats.org/officeDocument/2006/relationships/hyperlink" Target="https://ec.europa.eu/competition/antitrust/cases1/202628/AT_40823_7293.pdf" TargetMode="External"/><Relationship Id="rId10" Type="http://schemas.openxmlformats.org/officeDocument/2006/relationships/hyperlink" Target="https://ec.europa.eu/competition/antitrust/cases1/202628/AT_40823_7293.pdf" TargetMode="External"/><Relationship Id="rId19" Type="http://schemas.openxmlformats.org/officeDocument/2006/relationships/hyperlink" Target="https://ec.europa.eu/competition/antitrust/cases1/202628/AT_40823_7293.pdf" TargetMode="External"/><Relationship Id="rId31" Type="http://schemas.openxmlformats.org/officeDocument/2006/relationships/hyperlink" Target="https://ec.europa.eu/competition/antitrust/cases1/202628/AT_40823_7293.pdf"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c.europa.eu/competition/antitrust/cases1/202628/AT_40823_7293.pdf" TargetMode="External"/><Relationship Id="rId14" Type="http://schemas.openxmlformats.org/officeDocument/2006/relationships/hyperlink" Target="https://ec.europa.eu/competition/antitrust/cases1/202628/AT_40823_7293.pdf" TargetMode="External"/><Relationship Id="rId22" Type="http://schemas.openxmlformats.org/officeDocument/2006/relationships/hyperlink" Target="https://ec.europa.eu/competition/antitrust/cases1/202628/AT_40823_7293.pdf" TargetMode="External"/><Relationship Id="rId27" Type="http://schemas.openxmlformats.org/officeDocument/2006/relationships/hyperlink" Target="https://ec.europa.eu/competition/antitrust/cases1/202628/AT_40823_7293.pdf" TargetMode="External"/><Relationship Id="rId30" Type="http://schemas.openxmlformats.org/officeDocument/2006/relationships/hyperlink" Target="https://ec.europa.eu/competition/antitrust/cases1/202628/AT_40823_7293.pdf" TargetMode="External"/><Relationship Id="rId35" Type="http://schemas.openxmlformats.org/officeDocument/2006/relationships/hyperlink" Target="https://ec.europa.eu/competition/antitrust/cases1/202628/AT_40823_7293.pdf" TargetMode="External"/><Relationship Id="rId43" Type="http://schemas.openxmlformats.org/officeDocument/2006/relationships/header" Target="header1.xml"/><Relationship Id="rId8" Type="http://schemas.openxmlformats.org/officeDocument/2006/relationships/hyperlink" Target="https://ec.europa.eu/competition/antitrust/cases1/202628/AT_40823_7293.pdf" TargetMode="External"/><Relationship Id="rId3" Type="http://schemas.openxmlformats.org/officeDocument/2006/relationships/settings" Target="settings.xml"/><Relationship Id="rId12" Type="http://schemas.openxmlformats.org/officeDocument/2006/relationships/hyperlink" Target="https://ec.europa.eu/competition/antitrust/cases1/202628/AT_40823_7293.pdf" TargetMode="External"/><Relationship Id="rId17" Type="http://schemas.openxmlformats.org/officeDocument/2006/relationships/hyperlink" Target="https://ec.europa.eu/competition/antitrust/cases1/202628/AT_40823_7293.pdf" TargetMode="External"/><Relationship Id="rId25" Type="http://schemas.openxmlformats.org/officeDocument/2006/relationships/hyperlink" Target="https://ec.europa.eu/competition/antitrust/cases1/202628/AT_40823_7293.pdf" TargetMode="External"/><Relationship Id="rId33" Type="http://schemas.openxmlformats.org/officeDocument/2006/relationships/hyperlink" Target="https://ec.europa.eu/competition/antitrust/cases1/202628/AT_40823_7293.pdf" TargetMode="External"/><Relationship Id="rId38" Type="http://schemas.openxmlformats.org/officeDocument/2006/relationships/hyperlink" Target="https://ec.europa.eu/competition/antitrust/cases1/202628/AT_40823_7293.pdf" TargetMode="External"/><Relationship Id="rId46" Type="http://schemas.openxmlformats.org/officeDocument/2006/relationships/theme" Target="theme/theme1.xml"/><Relationship Id="rId20" Type="http://schemas.openxmlformats.org/officeDocument/2006/relationships/hyperlink" Target="https://ec.europa.eu/competition/antitrust/cases1/202628/AT_40823_7293.pdf" TargetMode="External"/><Relationship Id="rId41" Type="http://schemas.openxmlformats.org/officeDocument/2006/relationships/hyperlink" Target="https://ec.europa.eu/competition/antitrust/cases1/202628/AT_40823_729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1957</Words>
  <Characters>11159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2026-09-23T09:44:00Z</dcterms:created>
  <dcterms:modified xsi:type="dcterms:W3CDTF">2026-09-23T09:57:00Z</dcterms:modified>
</cp:coreProperties>
</file>