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3</w:t>
      </w:r>
    </w:p>
    <w:p>
      <w:pPr>
        <w:pBdr>
          <w:bottom w:val="single" w:color="1F4E5F" w:sz="8" w:space="4"/>
        </w:pBdr>
        <w:spacing w:after="2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User Query</w:t>
      </w:r>
    </w:p>
    <w:p>
      <w:pPr>
        <w:pBdr>
          <w:left w:val="single" w:color="1F4E5F" w:sz="12" w:space="8"/>
        </w:pBdr>
        <w:spacing w:after="2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can you get me the EU case AT.40823 by SAP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Yes. I found the European Commission case AT.40823 – SAP ERP aftermarket support services.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Case: </w:t>
      </w:r>
      <w:r>
        <w:rPr>
          <w:rFonts w:ascii="Calibri" w:cs="Calibri" w:eastAsia="Calibri" w:hAnsi="Calibri"/>
          <w:sz w:val="22"/>
          <w:szCs w:val="22"/>
        </w:rPr>
        <w:t xml:space="preserve">AT.40823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Company: </w:t>
      </w:r>
      <w:r>
        <w:rPr>
          <w:rFonts w:ascii="Calibri" w:cs="Calibri" w:eastAsia="Calibri" w:hAnsi="Calibri"/>
          <w:sz w:val="22"/>
          <w:szCs w:val="22"/>
        </w:rPr>
        <w:t xml:space="preserve">SAP 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Authority: </w:t>
      </w:r>
      <w:r>
        <w:rPr>
          <w:rFonts w:ascii="Calibri" w:cs="Calibri" w:eastAsia="Calibri" w:hAnsi="Calibri"/>
          <w:sz w:val="22"/>
          <w:szCs w:val="22"/>
        </w:rPr>
        <w:t xml:space="preserve">European Commission, DG Competition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 basis: </w:t>
      </w:r>
      <w:r>
        <w:rPr>
          <w:rFonts w:ascii="Calibri" w:cs="Calibri" w:eastAsia="Calibri" w:hAnsi="Calibri"/>
          <w:sz w:val="22"/>
          <w:szCs w:val="22"/>
        </w:rPr>
        <w:t xml:space="preserve">Article 102 TFEU and Article 54 EEA Agreement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Proceedings opened: </w:t>
      </w:r>
      <w:r>
        <w:rPr>
          <w:rFonts w:ascii="Calibri" w:cs="Calibri" w:eastAsia="Calibri" w:hAnsi="Calibri"/>
          <w:sz w:val="22"/>
          <w:szCs w:val="22"/>
        </w:rPr>
        <w:t xml:space="preserve">25 September 2025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Latest decision: </w:t>
      </w:r>
      <w:r>
        <w:rPr>
          <w:rFonts w:ascii="Calibri" w:cs="Calibri" w:eastAsia="Calibri" w:hAnsi="Calibri"/>
          <w:sz w:val="22"/>
          <w:szCs w:val="22"/>
        </w:rPr>
        <w:t xml:space="preserve">9 July 2026 — Commitment Decision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decision published: </w:t>
      </w:r>
      <w:r>
        <w:rPr>
          <w:rFonts w:ascii="Calibri" w:cs="Calibri" w:eastAsia="Calibri" w:hAnsi="Calibri"/>
          <w:sz w:val="22"/>
          <w:szCs w:val="22"/>
        </w:rPr>
        <w:t xml:space="preserve">3 September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Commission's case page contains the final Commitment Decision, preliminary proceedings, proposed/final commitments, market-test notice, press communications, and trustee information. </w:t>
      </w:r>
      <w:hyperlink w:history="1" r:id="rIdljz5flpq3jtes3gizwi0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[1]</w:t>
        </w:r>
      </w:hyperlink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Commission also published its Article 27(4) communication concerning SAP's proposed commitments in OJ C/2025/6242 (17 November 2025). The case concerns the Commission's preliminary concerns about SAP's practices in the aftermarket for maintenance and support of SAP on-premises ERP software, including an alleged “All or Nothing” policy requiring customers to obtain maintenance/support for all their SAP on-premises ERP software at the same level. </w:t>
      </w:r>
      <w:hyperlink w:history="1" r:id="rIdgazdvltl-onut-srkapd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[2]</w:t>
        </w:r>
      </w:hyperlink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by “get me the case” you mean the full final Commission decision (the actual legal document), rather than the case webpage, I can pull out the final decision and give you the PDF/document link plus a concise legal analysis of the commitments and Commission's Article 102 concerns.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jcbsokhxyt9z0l01eil0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European Commission — AT.40823 case page (Competition Case Search)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pl0wrddzah2zrg5zanpc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Communication from the Commission published pursuant to Article 27(4) of Council Regulation (EC) No 1/2003 in Case AT.40823 – SAP ERP aftermarket support services (EUR-Lex)</w:t>
        </w:r>
      </w:hyperlink>
    </w:p>
    <w:sectPr>
      <w:headerReference w:type="default" r:id="rId7"/>
      <w:footerReference w:type="default" r:id="rId8"/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jz5flpq3jtes3gizwi0g" Type="http://schemas.openxmlformats.org/officeDocument/2006/relationships/hyperlink" Target="https://competition-cases.ec.europa.eu/cases/AT.40823" TargetMode="External"/><Relationship Id="rIdgazdvltl-onut-srkapdm" Type="http://schemas.openxmlformats.org/officeDocument/2006/relationships/hyperlink" Target="https://eur-lex.europa.eu/legal-content/EN/TXT/PDF/?uri=OJ:C_202506242" TargetMode="External"/><Relationship Id="rIdjcbsokhxyt9z0l01eil0g" Type="http://schemas.openxmlformats.org/officeDocument/2006/relationships/hyperlink" Target="https://competition-cases.ec.europa.eu/cases/AT.40823" TargetMode="External"/><Relationship Id="rIdpl0wrddzah2zrg5zanpcu" Type="http://schemas.openxmlformats.org/officeDocument/2006/relationships/hyperlink" Target="https://eur-lex.europa.eu/legal-content/EN/TXT/PDF/?uri=OJ:C_202506242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2026-09-20T14:41:21.015Z</dcterms:created>
  <dcterms:modified xsi:type="dcterms:W3CDTF">2026-09-20T14:41:21.015Z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