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4E5F"/>
          <w:sz w:val="32"/>
          <w:szCs w:val="32"/>
        </w:rPr>
        <w:t xml:space="preserve">Response Transcript — Sample 4</w:t>
      </w:r>
    </w:p>
    <w:p>
      <w:pPr>
        <w:pBdr>
          <w:bottom w:val="single" w:color="1F4E5F" w:sz="8" w:space="4"/>
        </w:pBdr>
        <w:spacing w:after="240"/>
      </w:pPr>
    </w:p>
    <w:p>
      <w:pPr>
        <w:spacing w:after="120"/>
      </w:pPr>
      <w:r>
        <w:rPr>
          <w:rFonts w:ascii="Calibri" w:cs="Calibri" w:eastAsia="Calibri" w:hAnsi="Calibri"/>
          <w:b/>
          <w:bCs/>
          <w:color w:val="1F4E5F"/>
          <w:sz w:val="22"/>
          <w:szCs w:val="22"/>
        </w:rPr>
        <w:t xml:space="preserve">User Query</w:t>
      </w:r>
    </w:p>
    <w:p>
      <w:pPr>
        <w:pBdr>
          <w:left w:val="single" w:color="1F4E5F" w:sz="12" w:space="8"/>
        </w:pBdr>
        <w:spacing w:after="280"/>
        <w:ind w:left="360"/>
      </w:pPr>
      <w:r>
        <w:rPr>
          <w:rFonts w:ascii="Calibri" w:cs="Calibri" w:eastAsia="Calibri" w:hAnsi="Calibri"/>
          <w:i/>
          <w:iCs/>
          <w:sz w:val="22"/>
          <w:szCs w:val="22"/>
        </w:rPr>
        <w:t xml:space="preserve">can you get me the EU case AT.40823 by SAP</w:t>
      </w:r>
    </w:p>
    <w:p>
      <w:pPr>
        <w:spacing w:after="120"/>
      </w:pPr>
      <w:r>
        <w:rPr>
          <w:rFonts w:ascii="Calibri" w:cs="Calibri" w:eastAsia="Calibri" w:hAnsi="Calibri"/>
          <w:b/>
          <w:bCs/>
          <w:color w:val="1F4E5F"/>
          <w:sz w:val="22"/>
          <w:szCs w:val="22"/>
        </w:rPr>
        <w:t xml:space="preserve">System Response</w:t>
      </w:r>
    </w:p>
    <w:p>
      <w:pPr>
        <w:spacing w:after="160"/>
      </w:pPr>
      <w:r>
        <w:rPr>
          <w:rFonts w:ascii="Calibri" w:cs="Calibri" w:eastAsia="Calibri" w:hAnsi="Calibri"/>
          <w:sz w:val="22"/>
          <w:szCs w:val="22"/>
        </w:rPr>
        <w:t xml:space="preserve">Here's the case:</w:t>
      </w:r>
    </w:p>
    <w:p>
      <w:pPr>
        <w:spacing w:after="120" w:before="160"/>
      </w:pPr>
      <w:r>
        <w:rPr>
          <w:rFonts w:ascii="Calibri" w:cs="Calibri" w:eastAsia="Calibri" w:hAnsi="Calibri"/>
          <w:b/>
          <w:bCs/>
          <w:color w:val="1F4E5F"/>
          <w:sz w:val="22"/>
          <w:szCs w:val="22"/>
        </w:rPr>
        <w:t xml:space="preserve">Case AT.40823 – SAP ERP aftermarket support services</w:t>
      </w:r>
    </w:p>
    <w:p>
      <w:pPr>
        <w:pStyle w:val="ListParagraph"/>
        <w:numPr>
          <w:ilvl w:val="0"/>
          <w:numId w:val="1"/>
        </w:numPr>
        <w:spacing w:after="120"/>
      </w:pPr>
      <w:r>
        <w:rPr>
          <w:rFonts w:ascii="Calibri" w:cs="Calibri" w:eastAsia="Calibri" w:hAnsi="Calibri"/>
          <w:b/>
          <w:bCs/>
          <w:sz w:val="22"/>
          <w:szCs w:val="22"/>
        </w:rPr>
        <w:t xml:space="preserve">Type: </w:t>
      </w:r>
      <w:r>
        <w:rPr>
          <w:rFonts w:ascii="Calibri" w:cs="Calibri" w:eastAsia="Calibri" w:hAnsi="Calibri"/>
          <w:sz w:val="22"/>
          <w:szCs w:val="22"/>
        </w:rPr>
        <w:t xml:space="preserve">European Commission antitrust investigation into abuse of dominant position (Article 102 TFEU)</w:t>
      </w:r>
    </w:p>
    <w:p>
      <w:pPr>
        <w:pStyle w:val="ListParagraph"/>
        <w:numPr>
          <w:ilvl w:val="0"/>
          <w:numId w:val="1"/>
        </w:numPr>
        <w:spacing w:after="120"/>
      </w:pPr>
      <w:r>
        <w:rPr>
          <w:rFonts w:ascii="Calibri" w:cs="Calibri" w:eastAsia="Calibri" w:hAnsi="Calibri"/>
          <w:b/>
          <w:bCs/>
          <w:sz w:val="22"/>
          <w:szCs w:val="22"/>
        </w:rPr>
        <w:t xml:space="preserve">Opened: </w:t>
      </w:r>
      <w:r>
        <w:rPr>
          <w:rFonts w:ascii="Calibri" w:cs="Calibri" w:eastAsia="Calibri" w:hAnsi="Calibri"/>
          <w:sz w:val="22"/>
          <w:szCs w:val="22"/>
        </w:rPr>
        <w:t xml:space="preserve">September 2025 </w:t>
      </w:r>
      <w:hyperlink w:history="1" r:id="rIdzjjrjgwilytbiun61di8n">
        <w:r>
          <w:rPr>
            <w:rStyle w:val="Hyperlink"/>
            <w:rFonts w:ascii="Calibri" w:cs="Calibri" w:eastAsia="Calibri" w:hAnsi="Calibri"/>
            <w:sz w:val="22"/>
            <w:szCs w:val="22"/>
          </w:rPr>
          <w:t xml:space="preserve">[1]</w:t>
        </w:r>
      </w:hyperlink>
    </w:p>
    <w:p>
      <w:pPr>
        <w:pStyle w:val="ListParagraph"/>
        <w:numPr>
          <w:ilvl w:val="0"/>
          <w:numId w:val="1"/>
        </w:numPr>
        <w:spacing w:after="120"/>
      </w:pPr>
      <w:r>
        <w:rPr>
          <w:rFonts w:ascii="Calibri" w:cs="Calibri" w:eastAsia="Calibri" w:hAnsi="Calibri"/>
          <w:b/>
          <w:bCs/>
          <w:sz w:val="22"/>
          <w:szCs w:val="22"/>
        </w:rPr>
        <w:t xml:space="preserve">Subject: </w:t>
      </w:r>
      <w:r>
        <w:rPr>
          <w:rFonts w:ascii="Calibri" w:cs="Calibri" w:eastAsia="Calibri" w:hAnsi="Calibri"/>
          <w:sz w:val="22"/>
          <w:szCs w:val="22"/>
        </w:rPr>
        <w:t xml:space="preserve">Concerns that SAP restricted competition in the maintenance and support aftermarket for its ERP software, making it harder for rivals to compete and leaving European customers with fewer choices and higher costs </w:t>
      </w:r>
      <w:hyperlink w:history="1" r:id="rId7kfkr5qg_frc36xchqzrk">
        <w:r>
          <w:rPr>
            <w:rStyle w:val="Hyperlink"/>
            <w:rFonts w:ascii="Calibri" w:cs="Calibri" w:eastAsia="Calibri" w:hAnsi="Calibri"/>
            <w:sz w:val="22"/>
            <w:szCs w:val="22"/>
          </w:rPr>
          <w:t xml:space="preserve">[2]</w:t>
        </w:r>
      </w:hyperlink>
    </w:p>
    <w:p>
      <w:pPr>
        <w:pStyle w:val="ListParagraph"/>
        <w:numPr>
          <w:ilvl w:val="0"/>
          <w:numId w:val="1"/>
        </w:numPr>
        <w:spacing w:after="120"/>
      </w:pPr>
      <w:r>
        <w:rPr>
          <w:rFonts w:ascii="Calibri" w:cs="Calibri" w:eastAsia="Calibri" w:hAnsi="Calibri"/>
          <w:b/>
          <w:bCs/>
          <w:sz w:val="22"/>
          <w:szCs w:val="22"/>
        </w:rPr>
        <w:t xml:space="preserve">Alleged practices: </w:t>
      </w:r>
      <w:r>
        <w:rPr>
          <w:rFonts w:ascii="Calibri" w:cs="Calibri" w:eastAsia="Calibri" w:hAnsi="Calibri"/>
          <w:sz w:val="22"/>
          <w:szCs w:val="22"/>
        </w:rPr>
        <w:t xml:space="preserve">Four practices regulators found may have breached Article 102 of the TFEU, which prohibits abuse of a dominant market position </w:t>
      </w:r>
      <w:hyperlink w:history="1" r:id="rIdsuh-0oapbdv0runllb7ih">
        <w:r>
          <w:rPr>
            <w:rStyle w:val="Hyperlink"/>
            <w:rFonts w:ascii="Calibri" w:cs="Calibri" w:eastAsia="Calibri" w:hAnsi="Calibri"/>
            <w:sz w:val="22"/>
            <w:szCs w:val="22"/>
          </w:rPr>
          <w:t xml:space="preserve">[1]</w:t>
        </w:r>
      </w:hyperlink>
    </w:p>
    <w:p>
      <w:pPr>
        <w:pStyle w:val="ListParagraph"/>
        <w:numPr>
          <w:ilvl w:val="0"/>
          <w:numId w:val="1"/>
        </w:numPr>
        <w:spacing w:after="120"/>
      </w:pPr>
      <w:r>
        <w:rPr>
          <w:rFonts w:ascii="Calibri" w:cs="Calibri" w:eastAsia="Calibri" w:hAnsi="Calibri"/>
          <w:b/>
          <w:bCs/>
          <w:sz w:val="22"/>
          <w:szCs w:val="22"/>
        </w:rPr>
        <w:t xml:space="preserve">Resolution: </w:t>
      </w:r>
      <w:r>
        <w:rPr>
          <w:rFonts w:ascii="Calibri" w:cs="Calibri" w:eastAsia="Calibri" w:hAnsi="Calibri"/>
          <w:sz w:val="22"/>
          <w:szCs w:val="22"/>
        </w:rPr>
        <w:t xml:space="preserve">A commitments decision adopted on 9 July 2026 under Article 9(1) of Regulation (EC) 1/2003 — SAP offered commitments and the Commission made them binding for ten years, with no finding of abuse or infringement </w:t>
      </w:r>
      <w:hyperlink w:history="1" r:id="rIdkmv1ypwflexglea_uq2ds">
        <w:r>
          <w:rPr>
            <w:rStyle w:val="Hyperlink"/>
            <w:rFonts w:ascii="Calibri" w:cs="Calibri" w:eastAsia="Calibri" w:hAnsi="Calibri"/>
            <w:sz w:val="22"/>
            <w:szCs w:val="22"/>
          </w:rPr>
          <w:t xml:space="preserve">[3]</w:t>
        </w:r>
      </w:hyperlink>
    </w:p>
    <w:p>
      <w:pPr>
        <w:pStyle w:val="ListParagraph"/>
        <w:numPr>
          <w:ilvl w:val="0"/>
          <w:numId w:val="1"/>
        </w:numPr>
        <w:spacing w:after="120"/>
      </w:pPr>
      <w:r>
        <w:rPr>
          <w:rFonts w:ascii="Calibri" w:cs="Calibri" w:eastAsia="Calibri" w:hAnsi="Calibri"/>
          <w:b/>
          <w:bCs/>
          <w:sz w:val="22"/>
          <w:szCs w:val="22"/>
        </w:rPr>
        <w:t xml:space="preserve">Key remedies: </w:t>
      </w:r>
      <w:r>
        <w:rPr>
          <w:rFonts w:ascii="Calibri" w:cs="Calibri" w:eastAsia="Calibri" w:hAnsi="Calibri"/>
          <w:sz w:val="22"/>
          <w:szCs w:val="22"/>
        </w:rPr>
        <w:t xml:space="preserve">Abolishing reinstatement fees and granting new rights to split maintenance contracts across providers </w:t>
      </w:r>
      <w:hyperlink w:history="1" r:id="rIdi4cmubfidrczh_dj9iayj">
        <w:r>
          <w:rPr>
            <w:rStyle w:val="Hyperlink"/>
            <w:rFonts w:ascii="Calibri" w:cs="Calibri" w:eastAsia="Calibri" w:hAnsi="Calibri"/>
            <w:sz w:val="22"/>
            <w:szCs w:val="22"/>
          </w:rPr>
          <w:t xml:space="preserve">[1]</w:t>
        </w:r>
      </w:hyperlink>
    </w:p>
    <w:p>
      <w:pPr>
        <w:pStyle w:val="ListParagraph"/>
        <w:numPr>
          <w:ilvl w:val="0"/>
          <w:numId w:val="1"/>
        </w:numPr>
        <w:spacing w:after="120"/>
      </w:pPr>
      <w:r>
        <w:rPr>
          <w:rFonts w:ascii="Calibri" w:cs="Calibri" w:eastAsia="Calibri" w:hAnsi="Calibri"/>
          <w:b/>
          <w:bCs/>
          <w:sz w:val="22"/>
          <w:szCs w:val="22"/>
        </w:rPr>
        <w:t xml:space="preserve">Legal effect: </w:t>
      </w:r>
      <w:r>
        <w:rPr>
          <w:rFonts w:ascii="Calibri" w:cs="Calibri" w:eastAsia="Calibri" w:hAnsi="Calibri"/>
          <w:sz w:val="22"/>
          <w:szCs w:val="22"/>
        </w:rPr>
        <w:t xml:space="preserve">The commitments are legally binding on SAP and a violation can trigger fines, but the case produced a settlement rather than an infringement ruling, so SAP did not admit wrongdoing and no other company is legally required to comply with the same terms </w:t>
      </w:r>
      <w:hyperlink w:history="1" r:id="rId80lk-vmrj1gf757ulf2ne">
        <w:r>
          <w:rPr>
            <w:rStyle w:val="Hyperlink"/>
            <w:rFonts w:ascii="Calibri" w:cs="Calibri" w:eastAsia="Calibri" w:hAnsi="Calibri"/>
            <w:sz w:val="22"/>
            <w:szCs w:val="22"/>
          </w:rPr>
          <w:t xml:space="preserve">[1]</w:t>
        </w:r>
      </w:hyperlink>
    </w:p>
    <w:p>
      <w:pPr>
        <w:spacing w:after="120" w:before="160"/>
      </w:pPr>
      <w:r>
        <w:rPr>
          <w:rFonts w:ascii="Calibri" w:cs="Calibri" w:eastAsia="Calibri" w:hAnsi="Calibri"/>
          <w:b/>
          <w:bCs/>
          <w:color w:val="1F4E5F"/>
          <w:sz w:val="22"/>
          <w:szCs w:val="22"/>
        </w:rPr>
        <w:t xml:space="preserve">Key documents:</w:t>
      </w:r>
    </w:p>
    <w:p>
      <w:pPr>
        <w:pStyle w:val="ListParagraph"/>
        <w:numPr>
          <w:ilvl w:val="0"/>
          <w:numId w:val="1"/>
        </w:numPr>
        <w:spacing w:after="120"/>
      </w:pPr>
      <w:r>
        <w:rPr>
          <w:rFonts w:ascii="Calibri" w:cs="Calibri" w:eastAsia="Calibri" w:hAnsi="Calibri"/>
          <w:b/>
          <w:bCs/>
          <w:sz w:val="22"/>
          <w:szCs w:val="22"/>
        </w:rPr>
        <w:t xml:space="preserve">Commission press release (25 Sept 2025 opening): </w:t>
      </w:r>
      <w:r>
        <w:rPr>
          <w:rFonts w:ascii="Calibri" w:cs="Calibri" w:eastAsia="Calibri" w:hAnsi="Calibri"/>
          <w:sz w:val="22"/>
          <w:szCs w:val="22"/>
        </w:rPr>
        <w:t xml:space="preserve">IP_25_2163 </w:t>
      </w:r>
      <w:hyperlink w:history="1" r:id="rId0-3j1sz-i2y1_9rolubr6">
        <w:r>
          <w:rPr>
            <w:rStyle w:val="Hyperlink"/>
            <w:rFonts w:ascii="Calibri" w:cs="Calibri" w:eastAsia="Calibri" w:hAnsi="Calibri"/>
            <w:sz w:val="22"/>
            <w:szCs w:val="22"/>
          </w:rPr>
          <w:t xml:space="preserve">[2]</w:t>
        </w:r>
      </w:hyperlink>
    </w:p>
    <w:p>
      <w:pPr>
        <w:pStyle w:val="ListParagraph"/>
        <w:numPr>
          <w:ilvl w:val="0"/>
          <w:numId w:val="1"/>
        </w:numPr>
        <w:spacing w:after="120"/>
      </w:pPr>
      <w:r>
        <w:rPr>
          <w:rFonts w:ascii="Calibri" w:cs="Calibri" w:eastAsia="Calibri" w:hAnsi="Calibri"/>
          <w:b/>
          <w:bCs/>
          <w:sz w:val="22"/>
          <w:szCs w:val="22"/>
        </w:rPr>
        <w:t xml:space="preserve">SAP's commitments proposal (31 Oct 2025): </w:t>
      </w:r>
      <w:r>
        <w:rPr>
          <w:rFonts w:ascii="Calibri" w:cs="Calibri" w:eastAsia="Calibri" w:hAnsi="Calibri"/>
          <w:sz w:val="22"/>
          <w:szCs w:val="22"/>
        </w:rPr>
        <w:t xml:space="preserve">AT_40823_7008.pdf </w:t>
      </w:r>
      <w:hyperlink w:history="1" r:id="rIdtjl6ejjpfpuwnnwjtre08">
        <w:r>
          <w:rPr>
            <w:rStyle w:val="Hyperlink"/>
            <w:rFonts w:ascii="Calibri" w:cs="Calibri" w:eastAsia="Calibri" w:hAnsi="Calibri"/>
            <w:sz w:val="22"/>
            <w:szCs w:val="22"/>
          </w:rPr>
          <w:t xml:space="preserve">[4]</w:t>
        </w:r>
      </w:hyperlink>
    </w:p>
    <w:p>
      <w:pPr>
        <w:pStyle w:val="ListParagraph"/>
        <w:numPr>
          <w:ilvl w:val="0"/>
          <w:numId w:val="1"/>
        </w:numPr>
        <w:spacing w:after="120"/>
      </w:pPr>
      <w:r>
        <w:rPr>
          <w:rFonts w:ascii="Calibri" w:cs="Calibri" w:eastAsia="Calibri" w:hAnsi="Calibri"/>
          <w:b/>
          <w:bCs/>
          <w:sz w:val="22"/>
          <w:szCs w:val="22"/>
        </w:rPr>
        <w:t xml:space="preserve">Public case register: </w:t>
      </w:r>
      <w:r>
        <w:rPr>
          <w:rFonts w:ascii="Calibri" w:cs="Calibri" w:eastAsia="Calibri" w:hAnsi="Calibri"/>
          <w:sz w:val="22"/>
          <w:szCs w:val="22"/>
        </w:rPr>
        <w:t xml:space="preserve">competition-cases.ec.europa.eu/cases/AT.40823 </w:t>
      </w:r>
      <w:hyperlink w:history="1" r:id="rIdub8inokefurmmmgszhsr6">
        <w:r>
          <w:rPr>
            <w:rStyle w:val="Hyperlink"/>
            <w:rFonts w:ascii="Calibri" w:cs="Calibri" w:eastAsia="Calibri" w:hAnsi="Calibri"/>
            <w:sz w:val="22"/>
            <w:szCs w:val="22"/>
          </w:rPr>
          <w:t xml:space="preserve">[5]</w:t>
        </w:r>
      </w:hyperlink>
    </w:p>
    <w:p>
      <w:pPr>
        <w:spacing w:after="160"/>
      </w:pPr>
      <w:r>
        <w:rPr>
          <w:rFonts w:ascii="Calibri" w:cs="Calibri" w:eastAsia="Calibri" w:hAnsi="Calibri"/>
          <w:sz w:val="22"/>
          <w:szCs w:val="22"/>
        </w:rPr>
        <w:t xml:space="preserve">Want me to pull the full commitments text or the final decision document (rather than just the proposal)?</w:t>
      </w:r>
    </w:p>
    <w:p>
      <w:pPr>
        <w:spacing w:after="120" w:before="280"/>
      </w:pPr>
      <w:r>
        <w:rPr>
          <w:rFonts w:ascii="Calibri" w:cs="Calibri" w:eastAsia="Calibri" w:hAnsi="Calibri"/>
          <w:b/>
          <w:bCs/>
          <w:color w:val="1F4E5F"/>
          <w:sz w:val="22"/>
          <w:szCs w:val="22"/>
        </w:rPr>
        <w:t xml:space="preserve">Cited Sources</w:t>
      </w:r>
    </w:p>
    <w:p>
      <w:pPr>
        <w:pStyle w:val="ListParagraph"/>
        <w:numPr>
          <w:ilvl w:val="0"/>
          <w:numId w:val="2"/>
        </w:numPr>
        <w:spacing w:after="100"/>
      </w:pPr>
      <w:hyperlink w:history="1" r:id="rId7bmohbhdxtjziyvfd-itz">
        <w:r>
          <w:rPr>
            <w:rStyle w:val="Hyperlink"/>
            <w:rFonts w:ascii="Calibri" w:cs="Calibri" w:eastAsia="Calibri" w:hAnsi="Calibri"/>
            <w:sz w:val="22"/>
            <w:szCs w:val="22"/>
          </w:rPr>
          <w:t xml:space="preserve">EU binds SAP to decade of ERP aftermarket reforms in landmark antitrust deal — Tech Times</w:t>
        </w:r>
      </w:hyperlink>
    </w:p>
    <w:p>
      <w:pPr>
        <w:pStyle w:val="ListParagraph"/>
        <w:numPr>
          <w:ilvl w:val="0"/>
          <w:numId w:val="2"/>
        </w:numPr>
        <w:spacing w:after="100"/>
      </w:pPr>
      <w:hyperlink w:history="1" r:id="rIdk7tdgxj-2hu0xyzjwbjra">
        <w:r>
          <w:rPr>
            <w:rStyle w:val="Hyperlink"/>
            <w:rFonts w:ascii="Calibri" w:cs="Calibri" w:eastAsia="Calibri" w:hAnsi="Calibri"/>
            <w:sz w:val="22"/>
            <w:szCs w:val="22"/>
          </w:rPr>
          <w:t xml:space="preserve">Commission press release IP_25_2163 (25 September 2025) — European Commission</w:t>
        </w:r>
      </w:hyperlink>
    </w:p>
    <w:p>
      <w:pPr>
        <w:pStyle w:val="ListParagraph"/>
        <w:numPr>
          <w:ilvl w:val="0"/>
          <w:numId w:val="2"/>
        </w:numPr>
        <w:spacing w:after="100"/>
      </w:pPr>
      <w:hyperlink w:history="1" r:id="rIdbdfuas0n9lfbowuhvovga">
        <w:r>
          <w:rPr>
            <w:rStyle w:val="Hyperlink"/>
            <w:rFonts w:ascii="Calibri" w:cs="Calibri" w:eastAsia="Calibri" w:hAnsi="Calibri"/>
            <w:sz w:val="22"/>
            <w:szCs w:val="22"/>
          </w:rPr>
          <w:t xml:space="preserve">SAP AT.40823 case insight — Alkemia</w:t>
        </w:r>
      </w:hyperlink>
    </w:p>
    <w:p>
      <w:pPr>
        <w:pStyle w:val="ListParagraph"/>
        <w:numPr>
          <w:ilvl w:val="0"/>
          <w:numId w:val="2"/>
        </w:numPr>
        <w:spacing w:after="100"/>
      </w:pPr>
      <w:hyperlink w:history="1" r:id="rIdek7jhuopfgg_2qkb6ihwo">
        <w:r>
          <w:rPr>
            <w:rStyle w:val="Hyperlink"/>
            <w:rFonts w:ascii="Calibri" w:cs="Calibri" w:eastAsia="Calibri" w:hAnsi="Calibri"/>
            <w:sz w:val="22"/>
            <w:szCs w:val="22"/>
          </w:rPr>
          <w:t xml:space="preserve">SAP's commitments proposal, AT_40823_7008.pdf (31 October 2025)</w:t>
        </w:r>
      </w:hyperlink>
    </w:p>
    <w:p>
      <w:pPr>
        <w:pStyle w:val="ListParagraph"/>
        <w:numPr>
          <w:ilvl w:val="0"/>
          <w:numId w:val="2"/>
        </w:numPr>
        <w:spacing w:after="100"/>
      </w:pPr>
      <w:hyperlink w:history="1" r:id="rIdkk7ao8pahzg1z2u1ettgb">
        <w:r>
          <w:rPr>
            <w:rStyle w:val="Hyperlink"/>
            <w:rFonts w:ascii="Calibri" w:cs="Calibri" w:eastAsia="Calibri" w:hAnsi="Calibri"/>
            <w:sz w:val="22"/>
            <w:szCs w:val="22"/>
          </w:rPr>
          <w:t xml:space="preserve">Public case register — competition-cases.ec.europa.eu/cases/AT.40823</w:t>
        </w:r>
      </w:hyperlink>
    </w:p>
    <w:sectPr>
      <w:headerReference w:type="default" r:id="rId7"/>
      <w:footerReference w:type="default" r:id="rId8"/>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Competition-Law Assistant Evaluation — Blinded Transcript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jjrjgwilytbiun61di8n" Type="http://schemas.openxmlformats.org/officeDocument/2006/relationships/hyperlink" Target="https://www.techtimes.com/articles/320110/20260710/eu-binds-sap-decade-erp-aftermarket-reforms-landmark-antitrust-deal.htm" TargetMode="External"/><Relationship Id="rId7kfkr5qg_frc36xchqzrk" Type="http://schemas.openxmlformats.org/officeDocument/2006/relationships/hyperlink" Target="https://ec.europa.eu/commission/presscorner/api/files/document/print/it/ip_25_2163/IP_25_2163_EN.pdf" TargetMode="External"/><Relationship Id="rIdsuh-0oapbdv0runllb7ih" Type="http://schemas.openxmlformats.org/officeDocument/2006/relationships/hyperlink" Target="https://www.techtimes.com/articles/320110/20260710/eu-binds-sap-decade-erp-aftermarket-reforms-landmark-antitrust-deal.htm" TargetMode="External"/><Relationship Id="rIdkmv1ypwflexglea_uq2ds" Type="http://schemas.openxmlformats.org/officeDocument/2006/relationships/hyperlink" Target="https://alkemia.io/en/insights/sap-at40823/" TargetMode="External"/><Relationship Id="rIdi4cmubfidrczh_dj9iayj" Type="http://schemas.openxmlformats.org/officeDocument/2006/relationships/hyperlink" Target="https://www.techtimes.com/articles/320110/20260710/eu-binds-sap-decade-erp-aftermarket-reforms-landmark-antitrust-deal.htm" TargetMode="External"/><Relationship Id="rId80lk-vmrj1gf757ulf2ne" Type="http://schemas.openxmlformats.org/officeDocument/2006/relationships/hyperlink" Target="https://www.techtimes.com/articles/320110/20260710/eu-binds-sap-decade-erp-aftermarket-reforms-landmark-antitrust-deal.htm" TargetMode="External"/><Relationship Id="rId0-3j1sz-i2y1_9rolubr6" Type="http://schemas.openxmlformats.org/officeDocument/2006/relationships/hyperlink" Target="https://ec.europa.eu/commission/presscorner/api/files/document/print/it/ip_25_2163/IP_25_2163_EN.pdf" TargetMode="External"/><Relationship Id="rIdtjl6ejjpfpuwnnwjtre08" Type="http://schemas.openxmlformats.org/officeDocument/2006/relationships/hyperlink" Target="https://ec.europa.eu/competition/antitrust/cases1/202546/AT_40823_7008.pdf" TargetMode="External"/><Relationship Id="rIdub8inokefurmmmgszhsr6" Type="http://schemas.openxmlformats.org/officeDocument/2006/relationships/hyperlink" Target="https://competition-cases.ec.europa.eu/cases/AT.40823" TargetMode="External"/><Relationship Id="rId7bmohbhdxtjziyvfd-itz" Type="http://schemas.openxmlformats.org/officeDocument/2006/relationships/hyperlink" Target="https://www.techtimes.com/articles/320110/20260710/eu-binds-sap-decade-erp-aftermarket-reforms-landmark-antitrust-deal.htm" TargetMode="External"/><Relationship Id="rIdk7tdgxj-2hu0xyzjwbjra" Type="http://schemas.openxmlformats.org/officeDocument/2006/relationships/hyperlink" Target="https://ec.europa.eu/commission/presscorner/api/files/document/print/it/ip_25_2163/IP_25_2163_EN.pdf" TargetMode="External"/><Relationship Id="rIdbdfuas0n9lfbowuhvovga" Type="http://schemas.openxmlformats.org/officeDocument/2006/relationships/hyperlink" Target="https://alkemia.io/en/insights/sap-at40823/" TargetMode="External"/><Relationship Id="rIdek7jhuopfgg_2qkb6ihwo" Type="http://schemas.openxmlformats.org/officeDocument/2006/relationships/hyperlink" Target="https://ec.europa.eu/competition/antitrust/cases1/202546/AT_40823_7008.pdf" TargetMode="External"/><Relationship Id="rIdkk7ao8pahzg1z2u1ettgb" Type="http://schemas.openxmlformats.org/officeDocument/2006/relationships/hyperlink" Target="https://competition-cases.ec.europa.eu/cases/AT.40823"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2026-09-20T14:41:20.946Z</dcterms:created>
  <dcterms:modified xsi:type="dcterms:W3CDTF">2026-09-20T14:41:20.955Z</dcterms:modified>
</cp:coreProperties>
</file>

<file path=docProps/custom.xml><?xml version="1.0" encoding="utf-8"?>
<Properties xmlns="http://schemas.openxmlformats.org/officeDocument/2006/custom-properties" xmlns:vt="http://schemas.openxmlformats.org/officeDocument/2006/docPropsVTypes"/>
</file>