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8DC6" w14:textId="17303DDD" w:rsidR="00E41A2E" w:rsidRDefault="00000000">
      <w:pPr>
        <w:spacing w:after="160"/>
      </w:pPr>
      <w:r>
        <w:rPr>
          <w:b/>
          <w:bCs/>
          <w:color w:val="1F4E5F"/>
          <w:sz w:val="32"/>
          <w:szCs w:val="32"/>
        </w:rPr>
        <w:t xml:space="preserve">Response Transcript — Sample </w:t>
      </w:r>
      <w:r w:rsidR="001B08C5">
        <w:rPr>
          <w:b/>
          <w:bCs/>
          <w:color w:val="1F4E5F"/>
          <w:sz w:val="32"/>
          <w:szCs w:val="32"/>
        </w:rPr>
        <w:t>4</w:t>
      </w:r>
    </w:p>
    <w:p w14:paraId="1FA696A6" w14:textId="77777777" w:rsidR="00E41A2E" w:rsidRDefault="00E41A2E">
      <w:pPr>
        <w:pBdr>
          <w:bottom w:val="single" w:sz="8" w:space="4" w:color="1F4E5F"/>
        </w:pBdr>
        <w:spacing w:after="240"/>
      </w:pPr>
    </w:p>
    <w:p w14:paraId="54EE127E" w14:textId="77777777" w:rsidR="00E41A2E" w:rsidRDefault="00000000">
      <w:pPr>
        <w:spacing w:after="120"/>
      </w:pPr>
      <w:r>
        <w:rPr>
          <w:b/>
          <w:bCs/>
          <w:color w:val="1F4E5F"/>
        </w:rPr>
        <w:t>User Query</w:t>
      </w:r>
    </w:p>
    <w:p w14:paraId="4C484619" w14:textId="77777777" w:rsidR="00E41A2E" w:rsidRDefault="00000000">
      <w:pPr>
        <w:pBdr>
          <w:left w:val="single" w:sz="12" w:space="8" w:color="1F4E5F"/>
        </w:pBdr>
        <w:spacing w:after="280"/>
        <w:ind w:left="360"/>
      </w:pPr>
      <w:r>
        <w:rPr>
          <w:i/>
          <w:iCs/>
        </w:rPr>
        <w:t>How to assess dominance in the digital market?</w:t>
      </w:r>
    </w:p>
    <w:p w14:paraId="0BB618D5" w14:textId="77777777" w:rsidR="00E41A2E" w:rsidRDefault="00000000">
      <w:pPr>
        <w:spacing w:after="120"/>
      </w:pPr>
      <w:r>
        <w:rPr>
          <w:b/>
          <w:bCs/>
          <w:color w:val="1F4E5F"/>
        </w:rPr>
        <w:t>System Response</w:t>
      </w:r>
    </w:p>
    <w:p w14:paraId="63E35E7F" w14:textId="77777777" w:rsidR="00E41A2E" w:rsidRDefault="00000000">
      <w:pPr>
        <w:spacing w:before="320" w:after="140"/>
      </w:pPr>
      <w:r>
        <w:rPr>
          <w:b/>
          <w:bCs/>
          <w:color w:val="1F4E5F"/>
          <w:sz w:val="30"/>
          <w:szCs w:val="30"/>
        </w:rPr>
        <w:t>Overview</w:t>
      </w:r>
    </w:p>
    <w:p w14:paraId="24AD140B" w14:textId="77777777" w:rsidR="00E41A2E" w:rsidRDefault="00000000">
      <w:pPr>
        <w:spacing w:after="160"/>
      </w:pPr>
      <w:r>
        <w:t>The assessment of dominance in the digital market necessitates a nuanced adaptation of traditional competition law principles to accommodate the unique characteristics of digital platforms. This involves a comprehensive analysis that begins with defining the relevant market, followed by evaluating market shares and concentration, assessing barriers to entry and expansion, and examining countervailing buyer power and the durability of market power. The methodology is further elucidated through real-world case studies, demonstrating its practical application. The main conclusion reached is that while traditional metrics provide a foundation, they must be adapted to account for factors such as network effects, platform economics, and data-driven advantages, which are prevalent in digital markets. These adaptations ensure a more accurate assessment of dominance, reflecting the dynamic and interconnected nature of digital ecosystems.</w:t>
      </w:r>
    </w:p>
    <w:p w14:paraId="1EE69EAC" w14:textId="77777777" w:rsidR="00E41A2E" w:rsidRDefault="00000000">
      <w:pPr>
        <w:spacing w:after="160"/>
      </w:pPr>
      <w:r>
        <w:t>The answer is structured into two main parts. Part 1 lays the groundwork by defining key concepts: Section 1.1, "Understanding Dominance," explores the legal framework and essential elements of dominance, while Section 1.2, "Defining the Digital Market," addresses the complexities of market definition in digital contexts. Part 2 outlines the methodology for assessing dominance, beginning with Section 2.1, "Define the Relevant Market," which establishes the competitive boundaries. Section 2.2, "Assess Market Shares and Concentration," quantifies market power. Section 2.3, "Assess Barriers to Entry and Expansion," evaluates obstacles to market entry. Section 2.4, "Assess Countervailing Buyer Power and Durability," examines the constraints on market power. Finally, Section 2.5, "Worked Examples: Digital-Market Cases," applies the methodology to real-world scenarios, illustrating its effectiveness in practice.</w:t>
      </w:r>
    </w:p>
    <w:p w14:paraId="1061FA90" w14:textId="77777777" w:rsidR="00E41A2E" w:rsidRDefault="00000000">
      <w:pPr>
        <w:spacing w:before="320" w:after="140"/>
      </w:pPr>
      <w:r>
        <w:rPr>
          <w:b/>
          <w:bCs/>
          <w:color w:val="1F4E5F"/>
          <w:sz w:val="30"/>
          <w:szCs w:val="30"/>
        </w:rPr>
        <w:t>Part 1: Concepts in the question</w:t>
      </w:r>
    </w:p>
    <w:p w14:paraId="19D62422" w14:textId="77777777" w:rsidR="00E41A2E" w:rsidRDefault="00000000">
      <w:pPr>
        <w:spacing w:before="260" w:after="140"/>
      </w:pPr>
      <w:r>
        <w:rPr>
          <w:b/>
          <w:bCs/>
          <w:color w:val="1F4E5F"/>
          <w:sz w:val="26"/>
          <w:szCs w:val="26"/>
        </w:rPr>
        <w:t>1.1 Understanding Dominance</w:t>
      </w:r>
    </w:p>
    <w:p w14:paraId="4734DA35" w14:textId="77777777" w:rsidR="00E41A2E" w:rsidRDefault="00000000">
      <w:pPr>
        <w:spacing w:after="160"/>
      </w:pPr>
      <w:r>
        <w:t xml:space="preserve">In assessing dominance within digital markets, it is essential to first understand the concept of dominance as defined under EU competition law. Dominance, as articulated in Article 102 TFEU, refers to a position of economic strength enjoyed by an undertaking, enabling it to prevent effective competition by behaving independently of its competitors, customers, and ultimately consumers </w:t>
      </w:r>
      <w:hyperlink r:id="rId7" w:anchor="page=10" w:history="1">
        <w:r>
          <w:rPr>
            <w:rStyle w:val="Hyperlink"/>
          </w:rPr>
          <w:t>[1]</w:t>
        </w:r>
      </w:hyperlink>
      <w:r>
        <w:t xml:space="preserve"> This independence is a key factor in determining whether an undertaking holds a dominant position.</w:t>
      </w:r>
    </w:p>
    <w:p w14:paraId="51A40363" w14:textId="77777777" w:rsidR="00E41A2E" w:rsidRDefault="00000000">
      <w:pPr>
        <w:spacing w:after="160"/>
      </w:pPr>
      <w:r>
        <w:t xml:space="preserve">The legal framework for assessing dominance is primarily derived from the Article 102 Guidelines, which outline several essential elements. These include market position, barriers to entry, and countervailing buyer power. Market position is often assessed through market shares, where a sustained share of 50% or more typically indicates dominance, although shares below 40% generally suggest the absence of dominance unless other factors are present </w:t>
      </w:r>
      <w:hyperlink r:id="rId8" w:anchor="page=11" w:history="1">
        <w:r>
          <w:rPr>
            <w:rStyle w:val="Hyperlink"/>
          </w:rPr>
          <w:t>[2]</w:t>
        </w:r>
      </w:hyperlink>
    </w:p>
    <w:p w14:paraId="1C22C888" w14:textId="77777777" w:rsidR="00E41A2E" w:rsidRDefault="00000000">
      <w:pPr>
        <w:spacing w:after="160"/>
      </w:pPr>
      <w:r>
        <w:t xml:space="preserve">Barriers to entry are another critical factor, as they can prevent new competitors from entering the market or existing ones from expanding. These barriers may include economies of scale, access to essential inputs, or </w:t>
      </w:r>
      <w:r>
        <w:lastRenderedPageBreak/>
        <w:t xml:space="preserve">significant upfront investment requirements </w:t>
      </w:r>
      <w:hyperlink r:id="rId9" w:anchor="page=12" w:history="1">
        <w:r>
          <w:rPr>
            <w:rStyle w:val="Hyperlink"/>
          </w:rPr>
          <w:t>[3]</w:t>
        </w:r>
      </w:hyperlink>
      <w:r>
        <w:t xml:space="preserve"> In digital markets, data-driven advantages, such as access to unique datasets or the ability to process data effectively, can also create significant barriers </w:t>
      </w:r>
      <w:hyperlink r:id="rId10" w:anchor="page=13" w:history="1">
        <w:r>
          <w:rPr>
            <w:rStyle w:val="Hyperlink"/>
          </w:rPr>
          <w:t>[4]</w:t>
        </w:r>
      </w:hyperlink>
    </w:p>
    <w:p w14:paraId="7D73BB88" w14:textId="77777777" w:rsidR="00E41A2E" w:rsidRDefault="00000000">
      <w:pPr>
        <w:spacing w:after="160"/>
      </w:pPr>
      <w:r>
        <w:t xml:space="preserve">Countervailing buyer power refers to the ability of customers to counteract the market power of a dominant undertaking. This power can prevent an undertaking from acting independently if customers can switch suppliers or promote new entry </w:t>
      </w:r>
      <w:hyperlink r:id="rId11" w:anchor="page=15" w:history="1">
        <w:r>
          <w:rPr>
            <w:rStyle w:val="Hyperlink"/>
          </w:rPr>
          <w:t>[5]</w:t>
        </w:r>
      </w:hyperlink>
      <w:r>
        <w:t>.</w:t>
      </w:r>
    </w:p>
    <w:p w14:paraId="5BEE3E1A" w14:textId="77777777" w:rsidR="00E41A2E" w:rsidRDefault="00000000">
      <w:pPr>
        <w:spacing w:after="160"/>
      </w:pPr>
      <w:r>
        <w:t xml:space="preserve">In digital markets, these elements must be considered in light of unique characteristics such as network effects, platform economics, and data advantages, which can sustain dominance more easily than in traditional markets </w:t>
      </w:r>
      <w:hyperlink r:id="rId12" w:history="1">
        <w:r>
          <w:rPr>
            <w:rStyle w:val="Hyperlink"/>
          </w:rPr>
          <w:t>[6]</w:t>
        </w:r>
      </w:hyperlink>
      <w:r>
        <w:t>14]. Understanding these foundational concepts is crucial as we move to define the digital market in the next section.</w:t>
      </w:r>
    </w:p>
    <w:p w14:paraId="5DD14249" w14:textId="77777777" w:rsidR="00E41A2E" w:rsidRDefault="00000000">
      <w:pPr>
        <w:spacing w:before="260" w:after="140"/>
      </w:pPr>
      <w:r>
        <w:rPr>
          <w:b/>
          <w:bCs/>
          <w:color w:val="1F4E5F"/>
          <w:sz w:val="26"/>
          <w:szCs w:val="26"/>
        </w:rPr>
        <w:t>1.2 Defining the Digital Market</w:t>
      </w:r>
    </w:p>
    <w:p w14:paraId="3FE8D85D" w14:textId="77777777" w:rsidR="00E41A2E" w:rsidRDefault="00000000">
      <w:pPr>
        <w:spacing w:after="160"/>
      </w:pPr>
      <w:r>
        <w:t>Building on the foundational concept of dominance outlined in Section 1.1, the digital market presents unique challenges that necessitate a nuanced approach to market definition. A digital market is characterized by its reliance on digital platforms and technologies, often involving multi-sided platforms, zero-price services, and ecosystems. These elements require careful consideration when delineating the market for competition law purposes.</w:t>
      </w:r>
    </w:p>
    <w:p w14:paraId="62C14C90" w14:textId="77777777" w:rsidR="00E41A2E" w:rsidRDefault="00000000">
      <w:pPr>
        <w:spacing w:after="160"/>
      </w:pPr>
      <w:r>
        <w:t xml:space="preserve">The Market Definition Notice provides the legal framework for defining relevant markets, emphasizing the importance of demand and supply substitution </w:t>
      </w:r>
      <w:hyperlink r:id="rId13" w:anchor="page=7" w:history="1">
        <w:r>
          <w:rPr>
            <w:rStyle w:val="Hyperlink"/>
          </w:rPr>
          <w:t>[8]</w:t>
        </w:r>
      </w:hyperlink>
      <w:r>
        <w:t xml:space="preserve"> In digital markets, multi-sided platforms are prevalent, facilitating interactions between different user groups. These platforms create indirect network effects, where the demand from one group influences the demand from another, necessitating a comprehensive market definition that may encompass all user groups or define separate markets for each side </w:t>
      </w:r>
      <w:hyperlink r:id="rId14" w:anchor="page=30" w:history="1">
        <w:r>
          <w:rPr>
            <w:rStyle w:val="Hyperlink"/>
          </w:rPr>
          <w:t>[9]</w:t>
        </w:r>
      </w:hyperlink>
      <w:r>
        <w:t>.</w:t>
      </w:r>
    </w:p>
    <w:p w14:paraId="2CA315EB" w14:textId="77777777" w:rsidR="00E41A2E" w:rsidRDefault="00000000">
      <w:pPr>
        <w:spacing w:after="160"/>
      </w:pPr>
      <w:r>
        <w:t xml:space="preserve">Zero-price services, common in digital markets, pose additional challenges. Traditional price-based market definition tools, such as the SSNIP test, may be inadequate. Instead, the Commission may consider non-price parameters like product functionalities, switching costs, and data portability to assess substitution possibilities </w:t>
      </w:r>
      <w:hyperlink r:id="rId15" w:anchor="page=31" w:history="1">
        <w:r>
          <w:rPr>
            <w:rStyle w:val="Hyperlink"/>
          </w:rPr>
          <w:t>[10]</w:t>
        </w:r>
      </w:hyperlink>
      <w:r>
        <w:t>.</w:t>
      </w:r>
    </w:p>
    <w:p w14:paraId="078C978A" w14:textId="77777777" w:rsidR="00E41A2E" w:rsidRDefault="00000000">
      <w:pPr>
        <w:spacing w:after="160"/>
      </w:pPr>
      <w:r>
        <w:t xml:space="preserve">Digital ecosystems further complicate market definition. These ecosystems consist of interconnected products and services, often linked by technological interoperability. The Commission may define a system market encompassing both primary and secondary products or assess whether a bundle constitutes a distinct market </w:t>
      </w:r>
      <w:hyperlink r:id="rId16" w:anchor="page=32" w:history="1">
        <w:r>
          <w:rPr>
            <w:rStyle w:val="Hyperlink"/>
          </w:rPr>
          <w:t>[11]</w:t>
        </w:r>
      </w:hyperlink>
      <w:r>
        <w:t>. The presence of network effects and switching costs in these ecosystems can significantly impact market dynamics and competitive constraints.</w:t>
      </w:r>
    </w:p>
    <w:p w14:paraId="379E4154" w14:textId="77777777" w:rsidR="00E41A2E" w:rsidRDefault="00000000">
      <w:pPr>
        <w:spacing w:after="160"/>
      </w:pPr>
      <w:r>
        <w:t>Understanding these unique characteristics is crucial for accurately defining the digital market, which is the first step in assessing dominance. This sets the stage for the subsequent analysis of market shares and concentration in Section 2.1.</w:t>
      </w:r>
    </w:p>
    <w:p w14:paraId="4D3D1632" w14:textId="77777777" w:rsidR="00E41A2E" w:rsidRDefault="00000000">
      <w:pPr>
        <w:spacing w:before="320" w:after="140"/>
      </w:pPr>
      <w:r>
        <w:rPr>
          <w:b/>
          <w:bCs/>
          <w:color w:val="1F4E5F"/>
          <w:sz w:val="30"/>
          <w:szCs w:val="30"/>
        </w:rPr>
        <w:t>Part 2: Methodology for assessing dominance of a digital platform</w:t>
      </w:r>
    </w:p>
    <w:p w14:paraId="3B895E78" w14:textId="77777777" w:rsidR="00E41A2E" w:rsidRDefault="00000000">
      <w:pPr>
        <w:spacing w:before="260" w:after="140"/>
      </w:pPr>
      <w:r>
        <w:rPr>
          <w:b/>
          <w:bCs/>
          <w:color w:val="1F4E5F"/>
          <w:sz w:val="26"/>
          <w:szCs w:val="26"/>
        </w:rPr>
        <w:t>2.1 Step 1: Define the Relevant Market</w:t>
      </w:r>
    </w:p>
    <w:p w14:paraId="1FFA076C" w14:textId="77777777" w:rsidR="00E41A2E" w:rsidRDefault="00000000">
      <w:pPr>
        <w:spacing w:after="160"/>
      </w:pPr>
      <w:r>
        <w:t>Following the foundational understanding of dominance and the unique characteristics of digital markets established in Sections 1.1 and 1.2, the first methodological step in assessing dominance is to define the relevant market. This step is crucial as it sets the boundaries within which market power is assessed, determining the scope of competition and the competitive constraints faced by the undertaking.</w:t>
      </w:r>
    </w:p>
    <w:p w14:paraId="55FB8E4E" w14:textId="77777777" w:rsidR="00E41A2E" w:rsidRDefault="00000000">
      <w:pPr>
        <w:spacing w:after="160"/>
      </w:pPr>
      <w:r>
        <w:lastRenderedPageBreak/>
        <w:t xml:space="preserve">What this step establishes The relevant market is defined to identify the competitive constraints that an undertaking faces. It answers the question: within what boundaries does the undertaking operate, and who are its competitors? This step is essential at this point because it provides the framework for subsequent analysis of market shares, concentration, and competitive dynamics. Without a clear market definition, assessing dominance would lack precision and context </w:t>
      </w:r>
      <w:hyperlink r:id="rId17" w:anchor="page=5" w:history="1">
        <w:r>
          <w:rPr>
            <w:rStyle w:val="Hyperlink"/>
          </w:rPr>
          <w:t>[12]</w:t>
        </w:r>
      </w:hyperlink>
    </w:p>
    <w:p w14:paraId="2E8F1889" w14:textId="77777777" w:rsidR="00E41A2E" w:rsidRDefault="00000000">
      <w:pPr>
        <w:spacing w:after="160"/>
      </w:pPr>
      <w:r>
        <w:t xml:space="preserve">General approach The general approach to defining the relevant market involves delineating both the product market and the geographic market. The product market encompasses all products or services regarded as interchangeable or substitutable by the consumer, based on characteristics, prices, and intended use </w:t>
      </w:r>
      <w:hyperlink r:id="rId18" w:anchor="page=7" w:history="1">
        <w:r>
          <w:rPr>
            <w:rStyle w:val="Hyperlink"/>
          </w:rPr>
          <w:t>[8]</w:t>
        </w:r>
      </w:hyperlink>
      <w:r>
        <w:t xml:space="preserve"> The geographic market, on the other hand, includes the area in which the conditions of competition are sufficiently homogeneous </w:t>
      </w:r>
      <w:hyperlink r:id="rId19" w:anchor="page=22" w:history="1">
        <w:r>
          <w:rPr>
            <w:rStyle w:val="Hyperlink"/>
          </w:rPr>
          <w:t>[13]</w:t>
        </w:r>
      </w:hyperlink>
      <w:r>
        <w:t>.</w:t>
      </w:r>
    </w:p>
    <w:p w14:paraId="42ACFD36" w14:textId="77777777" w:rsidR="00E41A2E" w:rsidRDefault="00000000">
      <w:pPr>
        <w:spacing w:after="160"/>
      </w:pPr>
      <w:r>
        <w:t xml:space="preserve">The Commission often employs the SSNIP test (Small but Significant and Non-transitory Increase in Price) to assess substitutability, although it may rely on other evidence where price-based tests are inadequate </w:t>
      </w:r>
      <w:hyperlink r:id="rId20" w:anchor="page=13" w:history="1">
        <w:r>
          <w:rPr>
            <w:rStyle w:val="Hyperlink"/>
          </w:rPr>
          <w:t>[14]</w:t>
        </w:r>
      </w:hyperlink>
      <w:r>
        <w:t xml:space="preserve"> Evidence such as customer preferences, purchasing behavior, and supply-side substitutability are also considered </w:t>
      </w:r>
      <w:hyperlink r:id="rId21" w:anchor="page=23" w:history="1">
        <w:r>
          <w:rPr>
            <w:rStyle w:val="Hyperlink"/>
          </w:rPr>
          <w:t>[15]</w:t>
        </w:r>
      </w:hyperlink>
      <w:r>
        <w:t>.</w:t>
      </w:r>
    </w:p>
    <w:p w14:paraId="017AD85D" w14:textId="77777777" w:rsidR="00E41A2E" w:rsidRDefault="00000000">
      <w:pPr>
        <w:spacing w:after="160"/>
      </w:pPr>
      <w:r>
        <w:t>Adaptation to digital markets In digital markets, the traditional approach to market definition requires adaptation due to unique characteristics such as multi-sided platforms and ecosystems. The table below outlines key elements and their adaptations:</w:t>
      </w:r>
    </w:p>
    <w:p w14:paraId="60CB0FCC" w14:textId="77777777" w:rsidR="00E41A2E" w:rsidRDefault="00000000">
      <w:pPr>
        <w:spacing w:after="160"/>
      </w:pPr>
      <w:r>
        <w:t>Element General Approach Digital Markets Adaptation Guideline Reference</w:t>
      </w:r>
    </w:p>
    <w:p w14:paraId="6929DECC" w14:textId="77777777" w:rsidR="00E41A2E" w:rsidRDefault="00000000">
      <w:pPr>
        <w:spacing w:after="160"/>
      </w:pPr>
      <w:r>
        <w:t xml:space="preserve">Product Market Based on substitutability in characteristics, prices, and intended use Considers multi-sided platforms, zero-price services, and non-price competition factors </w:t>
      </w:r>
      <w:hyperlink r:id="rId22" w:anchor="page=7" w:history="1">
        <w:r>
          <w:rPr>
            <w:rStyle w:val="Hyperlink"/>
          </w:rPr>
          <w:t>[8]</w:t>
        </w:r>
      </w:hyperlink>
    </w:p>
    <w:p w14:paraId="06552DAD" w14:textId="77777777" w:rsidR="00E41A2E" w:rsidRDefault="00000000">
      <w:pPr>
        <w:spacing w:after="160"/>
      </w:pPr>
      <w:r>
        <w:t xml:space="preserve">Geographic Market Homogeneous competitive conditions in a defined area May consider global markets with specific exclusions due to digital reach and network effects </w:t>
      </w:r>
      <w:hyperlink r:id="rId23" w:anchor="page=23" w:history="1">
        <w:r>
          <w:rPr>
            <w:rStyle w:val="Hyperlink"/>
          </w:rPr>
          <w:t>[15]</w:t>
        </w:r>
      </w:hyperlink>
    </w:p>
    <w:p w14:paraId="0CC5F91A" w14:textId="77777777" w:rsidR="00E41A2E" w:rsidRDefault="00000000">
      <w:pPr>
        <w:spacing w:after="160"/>
      </w:pPr>
      <w:r>
        <w:t xml:space="preserve">SSNIP Test Applied to assess substitutability Often replaced or supplemented by non-price factors such as functionality, data portability, and switching costs </w:t>
      </w:r>
      <w:hyperlink r:id="rId24" w:anchor="page=13" w:history="1">
        <w:r>
          <w:rPr>
            <w:rStyle w:val="Hyperlink"/>
          </w:rPr>
          <w:t>[14]</w:t>
        </w:r>
      </w:hyperlink>
    </w:p>
    <w:p w14:paraId="21F21737" w14:textId="77777777" w:rsidR="00E41A2E" w:rsidRDefault="00000000">
      <w:pPr>
        <w:spacing w:after="160"/>
      </w:pPr>
      <w:r>
        <w:t xml:space="preserve">Illustrative cases </w:t>
      </w:r>
      <w:hyperlink r:id="rId25" w:history="1">
        <w:r>
          <w:rPr>
            <w:rStyle w:val="Hyperlink"/>
          </w:rPr>
          <w:t>[16]</w:t>
        </w:r>
      </w:hyperlink>
      <w:r>
        <w:t xml:space="preserve"> Background: This case involved the definition of the relevant market in the context of packaging products. How it applies: The case illustrates the importance of defining the relevant market to assess dominance, highlighting the need to consider substitutability and competitive constraints </w:t>
      </w:r>
      <w:hyperlink r:id="rId26" w:anchor="page=5" w:history="1">
        <w:r>
          <w:rPr>
            <w:rStyle w:val="Hyperlink"/>
          </w:rPr>
          <w:t>[12]</w:t>
        </w:r>
      </w:hyperlink>
    </w:p>
    <w:p w14:paraId="5F71585E" w14:textId="77777777" w:rsidR="00E41A2E" w:rsidRDefault="00000000">
      <w:pPr>
        <w:spacing w:after="160"/>
      </w:pPr>
      <w:hyperlink r:id="rId27" w:history="1">
        <w:r>
          <w:rPr>
            <w:rStyle w:val="Hyperlink"/>
          </w:rPr>
          <w:t>[17]</w:t>
        </w:r>
      </w:hyperlink>
      <w:r>
        <w:t xml:space="preserve"> Background: This case addressed Microsoft's dominance in the PC operating systems market. How it applies: It demonstrates the adaptation of market definition in digital contexts, considering network effects and the role of ecosystems in defining the relevant market </w:t>
      </w:r>
      <w:hyperlink r:id="rId28" w:anchor="page=54" w:history="1">
        <w:r>
          <w:rPr>
            <w:rStyle w:val="Hyperlink"/>
          </w:rPr>
          <w:t>[18]</w:t>
        </w:r>
      </w:hyperlink>
    </w:p>
    <w:p w14:paraId="1A58019E" w14:textId="77777777" w:rsidR="00E41A2E" w:rsidRDefault="00000000">
      <w:pPr>
        <w:spacing w:after="160"/>
      </w:pPr>
      <w:r>
        <w:t>Output of this step The output of this step is a defined relevant market, which serves as the foundation for assessing market shares and concentration in the next step.</w:t>
      </w:r>
    </w:p>
    <w:p w14:paraId="3D42BA5A" w14:textId="77777777" w:rsidR="00E41A2E" w:rsidRDefault="00000000">
      <w:pPr>
        <w:spacing w:before="260" w:after="140"/>
      </w:pPr>
      <w:r>
        <w:rPr>
          <w:b/>
          <w:bCs/>
          <w:color w:val="1F4E5F"/>
          <w:sz w:val="26"/>
          <w:szCs w:val="26"/>
        </w:rPr>
        <w:t>2.2 Step 2: Assess Market Shares and Concentration</w:t>
      </w:r>
    </w:p>
    <w:p w14:paraId="43F3F220" w14:textId="77777777" w:rsidR="00E41A2E" w:rsidRDefault="00000000">
      <w:pPr>
        <w:spacing w:after="160"/>
      </w:pPr>
      <w:r>
        <w:t>Following the definition of the relevant market in Section 2.1, the next step in assessing dominance in digital markets involves evaluating market shares and concentration. This step is crucial as it provides a quantitative measure of an undertaking's position within the market, which is essential for determining dominance. In digital markets, traditional metrics must be adapted to account for unique factors such as network effects and data control, which can significantly influence market dynamics.</w:t>
      </w:r>
    </w:p>
    <w:p w14:paraId="009C90E4" w14:textId="77777777" w:rsidR="00E41A2E" w:rsidRDefault="00000000">
      <w:pPr>
        <w:spacing w:after="160"/>
      </w:pPr>
      <w:r>
        <w:t xml:space="preserve">What this step establishes This step answers the question of how dominant a firm is within its defined market by examining its market share and the overall market concentration. It is positioned here because, after defining the market, understanding the distribution of market power among competitors is essential to assess whether a firm can act independently of competitive pressures. Market share is a key indicator of market power, while market concentration reflects the competitive landscape and potential for dominance </w:t>
      </w:r>
      <w:hyperlink r:id="rId29" w:anchor="page=11" w:history="1">
        <w:r>
          <w:rPr>
            <w:rStyle w:val="Hyperlink"/>
          </w:rPr>
          <w:t>[2]</w:t>
        </w:r>
      </w:hyperlink>
      <w:r>
        <w:t>.</w:t>
      </w:r>
    </w:p>
    <w:p w14:paraId="116F3773" w14:textId="77777777" w:rsidR="00E41A2E" w:rsidRDefault="00000000">
      <w:pPr>
        <w:spacing w:after="160"/>
      </w:pPr>
      <w:r>
        <w:t xml:space="preserve">General approach The general approach to assessing market shares and concentration involves calculating the market share of the undertaking and analyzing the market's concentration level. The European Commission typically considers a market share of 50% or more as indicative of dominance, while shares below 40% generally suggest the absence of dominance unless other factors are present </w:t>
      </w:r>
      <w:hyperlink r:id="rId30" w:anchor="page=11" w:history="1">
        <w:r>
          <w:rPr>
            <w:rStyle w:val="Hyperlink"/>
          </w:rPr>
          <w:t>[2]</w:t>
        </w:r>
      </w:hyperlink>
      <w:r>
        <w:t xml:space="preserve">. Market shares are calculated based on indicators that best reflect market power, such as sales volume or value, over a reference period that suits the market's characteristics </w:t>
      </w:r>
      <w:hyperlink r:id="rId31" w:anchor="page=11" w:history="1">
        <w:r>
          <w:rPr>
            <w:rStyle w:val="Hyperlink"/>
          </w:rPr>
          <w:t>[2]</w:t>
        </w:r>
      </w:hyperlink>
    </w:p>
    <w:p w14:paraId="72AEE83A" w14:textId="77777777" w:rsidR="00E41A2E" w:rsidRDefault="00000000">
      <w:pPr>
        <w:spacing w:after="160"/>
      </w:pPr>
      <w:r>
        <w:t>Adaptation to digital markets In digital markets, the assessment of market shares and concentration requires adaptation due to the unique characteristics of these markets. Traditional metrics may not fully capture the dynamics of digital platforms, where network effects and data control play significant roles. The table below outlines the key elements and their adaptations:</w:t>
      </w:r>
    </w:p>
    <w:p w14:paraId="3B100047" w14:textId="77777777" w:rsidR="00E41A2E" w:rsidRDefault="00000000">
      <w:pPr>
        <w:spacing w:after="160"/>
      </w:pPr>
      <w:r>
        <w:t>Element General Approach Digital Markets Adaptation Guideline Reference</w:t>
      </w:r>
    </w:p>
    <w:p w14:paraId="6FE7881F" w14:textId="77777777" w:rsidR="00E41A2E" w:rsidRDefault="00000000">
      <w:pPr>
        <w:spacing w:after="160"/>
      </w:pPr>
      <w:r>
        <w:t xml:space="preserve">Market Share Calculated based on sales volume or value over a suitable reference period May use metrics like user numbers, transaction volume, or usage intensity </w:t>
      </w:r>
      <w:hyperlink r:id="rId32" w:anchor="page=11" w:history="1">
        <w:r>
          <w:rPr>
            <w:rStyle w:val="Hyperlink"/>
          </w:rPr>
          <w:t>[2]</w:t>
        </w:r>
      </w:hyperlink>
    </w:p>
    <w:p w14:paraId="205DEF6C" w14:textId="77777777" w:rsidR="00E41A2E" w:rsidRDefault="00000000">
      <w:pPr>
        <w:spacing w:after="160"/>
      </w:pPr>
      <w:r>
        <w:t xml:space="preserve">Market Concent ration Assessed using traditional indices like the Herfindahl-Hirschman Index (HHI) Consideration of network effects and data-driven advantages that may not reflect in HHI </w:t>
      </w:r>
      <w:hyperlink r:id="rId33" w:anchor="page=12" w:history="1">
        <w:r>
          <w:rPr>
            <w:rStyle w:val="Hyperlink"/>
          </w:rPr>
          <w:t>[3]</w:t>
        </w:r>
      </w:hyperlink>
    </w:p>
    <w:p w14:paraId="4EB6B3E9" w14:textId="77777777" w:rsidR="00E41A2E" w:rsidRDefault="00000000">
      <w:pPr>
        <w:spacing w:after="160"/>
      </w:pPr>
      <w:r>
        <w:t xml:space="preserve">Network Effects Not typically a focus in traditional markets Central to digital markets, influencing user adoption and competitive dynamics </w:t>
      </w:r>
      <w:hyperlink r:id="rId34" w:anchor="page=14" w:history="1">
        <w:r>
          <w:rPr>
            <w:rStyle w:val="Hyperlink"/>
          </w:rPr>
          <w:t>[19]</w:t>
        </w:r>
      </w:hyperlink>
      <w:r>
        <w:t xml:space="preserve"> Element General Approach Digital Markets Adaptation Guideline Reference</w:t>
      </w:r>
    </w:p>
    <w:p w14:paraId="5220DBE4" w14:textId="77777777" w:rsidR="00E41A2E" w:rsidRDefault="00000000">
      <w:pPr>
        <w:spacing w:after="160"/>
      </w:pPr>
      <w:r>
        <w:t xml:space="preserve">Data Control Less relevant in traditional markets Critical in digital markets, where data can enhance market power and create entry barriers </w:t>
      </w:r>
      <w:hyperlink r:id="rId35" w:anchor="page=14" w:history="1">
        <w:r>
          <w:rPr>
            <w:rStyle w:val="Hyperlink"/>
          </w:rPr>
          <w:t>[19]</w:t>
        </w:r>
      </w:hyperlink>
    </w:p>
    <w:p w14:paraId="51A0A965" w14:textId="77777777" w:rsidR="00E41A2E" w:rsidRDefault="00000000">
      <w:pPr>
        <w:spacing w:after="160"/>
      </w:pPr>
      <w:r>
        <w:t xml:space="preserve">Illustrative cases </w:t>
      </w:r>
      <w:hyperlink r:id="rId36" w:history="1">
        <w:r>
          <w:rPr>
            <w:rStyle w:val="Hyperlink"/>
          </w:rPr>
          <w:t>[20]</w:t>
        </w:r>
      </w:hyperlink>
      <w:r>
        <w:t xml:space="preserve"> Background: This case involved the assessment of market dominance based on market share and concentration. The undertaking held a significant market share, which was a primary factor in determining its dominant position. How it applies: The case illustrates the importance of market share as a key indicator of dominance. In digital markets, similar assessments must consider additional factors like network effects and data control to accurately reflect market power </w:t>
      </w:r>
      <w:hyperlink r:id="rId37" w:anchor="page=11" w:history="1">
        <w:r>
          <w:rPr>
            <w:rStyle w:val="Hyperlink"/>
          </w:rPr>
          <w:t>[2]</w:t>
        </w:r>
      </w:hyperlink>
    </w:p>
    <w:p w14:paraId="1B8F734A" w14:textId="77777777" w:rsidR="00E41A2E" w:rsidRDefault="00000000">
      <w:pPr>
        <w:spacing w:after="160"/>
      </w:pPr>
      <w:hyperlink r:id="rId38" w:history="1">
        <w:r>
          <w:rPr>
            <w:rStyle w:val="Hyperlink"/>
          </w:rPr>
          <w:t>[21]</w:t>
        </w:r>
      </w:hyperlink>
      <w:r>
        <w:t xml:space="preserve"> Background: This case focused on the role of market concentration in assessing dominance. The market was highly concentrated, which contributed to the finding of dominance. How it applies: In digital markets, while concentration remains relevant, the analysis must also account for the impact of network effects and data-driven advantages, which can sustain dominance even in less concentrated markets </w:t>
      </w:r>
      <w:hyperlink r:id="rId39" w:anchor="page=11" w:history="1">
        <w:r>
          <w:rPr>
            <w:rStyle w:val="Hyperlink"/>
          </w:rPr>
          <w:t>[2]</w:t>
        </w:r>
      </w:hyperlink>
      <w:r>
        <w:t>.</w:t>
      </w:r>
    </w:p>
    <w:p w14:paraId="6946B16D" w14:textId="77777777" w:rsidR="00E41A2E" w:rsidRDefault="00000000">
      <w:pPr>
        <w:spacing w:after="160"/>
      </w:pPr>
      <w:r>
        <w:t>Output of this step The output of this step is a comprehensive market share and concentration analysis, which serves as the foundation for assessing barriers to entry and expansion in the next section.</w:t>
      </w:r>
    </w:p>
    <w:p w14:paraId="581190BE" w14:textId="77777777" w:rsidR="00E41A2E" w:rsidRDefault="00000000">
      <w:pPr>
        <w:spacing w:before="260" w:after="140"/>
      </w:pPr>
      <w:r>
        <w:rPr>
          <w:b/>
          <w:bCs/>
          <w:color w:val="1F4E5F"/>
          <w:sz w:val="26"/>
          <w:szCs w:val="26"/>
        </w:rPr>
        <w:t>2.3 Step 3: Assess Barriers to Entry and Expansion</w:t>
      </w:r>
    </w:p>
    <w:p w14:paraId="34EAA350" w14:textId="77777777" w:rsidR="00E41A2E" w:rsidRDefault="00000000">
      <w:pPr>
        <w:spacing w:after="160"/>
      </w:pPr>
      <w:r>
        <w:t>Following the analysis of market shares and concentration in Section 2.2, the next critical step in assessing dominance in digital markets is evaluating barriers to entry and expansion. This step is essential because it determines the sustainability of a firm's market power by examining the obstacles that potential competitors face when trying to enter or expand within the market. Understanding these barriers is crucial for assessing whether a dominant position can be maintained over time, particularly in the dynamic context of digital markets.</w:t>
      </w:r>
    </w:p>
    <w:p w14:paraId="2888092F" w14:textId="77777777" w:rsidR="00E41A2E" w:rsidRDefault="00000000">
      <w:pPr>
        <w:spacing w:after="160"/>
      </w:pPr>
      <w:r>
        <w:t xml:space="preserve">What this step establishes This step answers the question: What are the barriers that prevent new entrants from entering the market or existing competitors from expanding? It is positioned here because, after identifying market shares and concentration, it is necessary to understand the structural and strategic factors that could entrench a firm's dominance. Barriers to entry and expansion are pivotal in determining whether a firm can sustain its market power and act independently of competitive pressures </w:t>
      </w:r>
      <w:hyperlink r:id="rId40" w:anchor="page=12" w:history="1">
        <w:r>
          <w:rPr>
            <w:rStyle w:val="Hyperlink"/>
          </w:rPr>
          <w:t>[3]</w:t>
        </w:r>
      </w:hyperlink>
      <w:r>
        <w:t>.</w:t>
      </w:r>
    </w:p>
    <w:p w14:paraId="05D510BE" w14:textId="77777777" w:rsidR="00E41A2E" w:rsidRDefault="00000000">
      <w:pPr>
        <w:spacing w:after="160"/>
      </w:pPr>
      <w:r>
        <w:t xml:space="preserve">General approach The general approach to assessing barriers to entry and expansion involves identifying and evaluating various factors that could hinder market entry or expansion. These include economies of scale, access to essential inputs, significant upfront investment requirements, and customer inertia </w:t>
      </w:r>
      <w:hyperlink r:id="rId41" w:anchor="page=13" w:history="1">
        <w:r>
          <w:rPr>
            <w:rStyle w:val="Hyperlink"/>
          </w:rPr>
          <w:t>[4]</w:t>
        </w:r>
      </w:hyperlink>
      <w:r>
        <w:t xml:space="preserve">. The guidelines emphasize that easy entry or expansion limits a firm's ability to behave independently, while significant barriers increase the likelihood of sustained dominance </w:t>
      </w:r>
      <w:hyperlink r:id="rId42" w:anchor="page=12" w:history="1">
        <w:r>
          <w:rPr>
            <w:rStyle w:val="Hyperlink"/>
          </w:rPr>
          <w:t>[3]</w:t>
        </w:r>
      </w:hyperlink>
    </w:p>
    <w:p w14:paraId="59EFF322" w14:textId="77777777" w:rsidR="00E41A2E" w:rsidRDefault="00000000">
      <w:pPr>
        <w:spacing w:after="160"/>
      </w:pPr>
      <w:r>
        <w:t>Adaptation to digital markets In digital markets, the assessment of barriers to entry and expansion requires adaptation to account for unique characteristics such as network effects, switching costs, and data access. These elements can significantly alter the competitive landscape compared to traditional markets.</w:t>
      </w:r>
    </w:p>
    <w:p w14:paraId="654F3C56" w14:textId="77777777" w:rsidR="00E41A2E" w:rsidRDefault="00000000">
      <w:pPr>
        <w:spacing w:after="160"/>
      </w:pPr>
      <w:r>
        <w:t>Element General approach Digital markets Guideline reference</w:t>
      </w:r>
    </w:p>
    <w:p w14:paraId="2BCA990B" w14:textId="77777777" w:rsidR="00E41A2E" w:rsidRDefault="00000000">
      <w:pPr>
        <w:spacing w:after="160"/>
      </w:pPr>
      <w:r>
        <w:t xml:space="preserve">Network effects Considered as part of economies of scale and scope Critical due to direct and indirect effects, making it hard for new entrants to gain users </w:t>
      </w:r>
      <w:hyperlink r:id="rId43" w:anchor="page=14" w:history="1">
        <w:r>
          <w:rPr>
            <w:rStyle w:val="Hyperlink"/>
          </w:rPr>
          <w:t>[19]</w:t>
        </w:r>
      </w:hyperlink>
    </w:p>
    <w:p w14:paraId="165E00C2" w14:textId="77777777" w:rsidR="00E41A2E" w:rsidRDefault="00000000">
      <w:pPr>
        <w:spacing w:after="160"/>
      </w:pPr>
      <w:r>
        <w:t xml:space="preserve">Switching costs Evaluated as customer inertia High due to lock-in effects and interoperability issues, increasing user retention </w:t>
      </w:r>
      <w:hyperlink r:id="rId44" w:anchor="page=14" w:history="1">
        <w:r>
          <w:rPr>
            <w:rStyle w:val="Hyperlink"/>
          </w:rPr>
          <w:t>[19]</w:t>
        </w:r>
      </w:hyperlink>
    </w:p>
    <w:p w14:paraId="2F4FCA13" w14:textId="77777777" w:rsidR="00E41A2E" w:rsidRDefault="00000000">
      <w:pPr>
        <w:spacing w:after="160"/>
      </w:pPr>
      <w:r>
        <w:t xml:space="preserve">Data access Not typically a standalone factor Essential due to data-driven advantages and economies of scale in data processing </w:t>
      </w:r>
      <w:hyperlink r:id="rId45" w:anchor="page=13" w:history="1">
        <w:r>
          <w:rPr>
            <w:rStyle w:val="Hyperlink"/>
          </w:rPr>
          <w:t>[4]</w:t>
        </w:r>
      </w:hyperlink>
    </w:p>
    <w:p w14:paraId="23080C34" w14:textId="77777777" w:rsidR="00E41A2E" w:rsidRDefault="00000000">
      <w:pPr>
        <w:spacing w:after="160"/>
      </w:pPr>
      <w:r>
        <w:t xml:space="preserve">Illustrative cases </w:t>
      </w:r>
      <w:hyperlink r:id="rId46" w:history="1">
        <w:r>
          <w:rPr>
            <w:rStyle w:val="Hyperlink"/>
          </w:rPr>
          <w:t>[22]</w:t>
        </w:r>
      </w:hyperlink>
      <w:r>
        <w:t xml:space="preserve"> Background: Motorola enforced an injunction against Apple in Germany based on a standard essential patent (SEP) related to the GPRS standard. The European Commission found that Motorola's actions infringed Article 102 TFEU. Relevance: This case illustrates how the enforcement of SEPs can create barriers to entry and expansion by potentially deterring new entrants or limiting the expansion of existing competitors. The Commission's decision highlights the importance of ensuring that dominant firms do not misuse their market position to hinder competition, particularly when they have committed to FRAND terms </w:t>
      </w:r>
      <w:hyperlink r:id="rId47" w:anchor="page=13" w:history="1">
        <w:r>
          <w:rPr>
            <w:rStyle w:val="Hyperlink"/>
          </w:rPr>
          <w:t>[4]</w:t>
        </w:r>
      </w:hyperlink>
    </w:p>
    <w:p w14:paraId="06C8DD71" w14:textId="77777777" w:rsidR="00E41A2E" w:rsidRDefault="00000000">
      <w:pPr>
        <w:spacing w:after="160"/>
      </w:pPr>
      <w:hyperlink r:id="rId48" w:history="1">
        <w:r>
          <w:rPr>
            <w:rStyle w:val="Hyperlink"/>
          </w:rPr>
          <w:t>[23]</w:t>
        </w:r>
      </w:hyperlink>
      <w:r>
        <w:t xml:space="preserve"> Background: Samsung sought injunctions against Apple based on its UMTS standard essential patents (SEPs). The European Commission found that Samsung's actions could potentially exclude Apple from the market. Relevance: This case demonstrates how Samsung's conduct could have created significant barriers for Apple, effectively barring it from entering or expanding in the market. The decision underscores the role of regulatory bodies in maintaining competitive markets by scrutinizing actions that could hinder market entry or expansion </w:t>
      </w:r>
      <w:hyperlink r:id="rId49" w:anchor="page=13" w:history="1">
        <w:r>
          <w:rPr>
            <w:rStyle w:val="Hyperlink"/>
          </w:rPr>
          <w:t>[4]</w:t>
        </w:r>
      </w:hyperlink>
    </w:p>
    <w:p w14:paraId="62E3F484" w14:textId="77777777" w:rsidR="00E41A2E" w:rsidRDefault="00000000">
      <w:pPr>
        <w:spacing w:after="160"/>
      </w:pPr>
      <w:r>
        <w:t>Output of this step The output of this step is a comprehensive analysis of barriers to entry and expansion, which informs the subsequent assessment of countervailing buyer power and the durability of dominance in Section 2.4.</w:t>
      </w:r>
    </w:p>
    <w:p w14:paraId="5E285C32" w14:textId="77777777" w:rsidR="00E41A2E" w:rsidRDefault="00000000">
      <w:pPr>
        <w:spacing w:before="260" w:after="140"/>
      </w:pPr>
      <w:r>
        <w:rPr>
          <w:b/>
          <w:bCs/>
          <w:color w:val="1F4E5F"/>
          <w:sz w:val="26"/>
          <w:szCs w:val="26"/>
        </w:rPr>
        <w:t>2.4 Step 4: Assess Countervailing Buyer Power and Durability</w:t>
      </w:r>
    </w:p>
    <w:p w14:paraId="4D65C7C0" w14:textId="77777777" w:rsidR="00E41A2E" w:rsidRDefault="00000000">
      <w:pPr>
        <w:spacing w:after="160"/>
      </w:pPr>
      <w:r>
        <w:t>Following the evaluation of barriers to entry and expansion in Section 2.3, the next step in assessing dominance in digital markets involves examining countervailing buyer power and the durability of market power. This step is crucial as it determines whether the market power of a dominant undertaking can be effectively constrained by the power of its customers, and whether such dominance is likely to persist over time. Understanding these dynamics is essential to completing the analysis of market power in digital contexts.</w:t>
      </w:r>
    </w:p>
    <w:p w14:paraId="54ACE591" w14:textId="77777777" w:rsidR="00E41A2E" w:rsidRDefault="00000000">
      <w:pPr>
        <w:spacing w:after="160"/>
      </w:pPr>
      <w:r>
        <w:t xml:space="preserve">What this step establishes This step addresses two key questions: whether customers possess sufficient countervailing buyer power to constrain the dominant undertaking's market power, and whether the undertaking's dominance is durable. Countervailing buyer power refers to the ability of customers to resist the market power of a dominant firm, potentially by switching suppliers, promoting new entry, or vertically integrating </w:t>
      </w:r>
      <w:hyperlink r:id="rId50" w:anchor="page=15" w:history="1">
        <w:r>
          <w:rPr>
            <w:rStyle w:val="Hyperlink"/>
          </w:rPr>
          <w:t>[5]</w:t>
        </w:r>
      </w:hyperlink>
      <w:r>
        <w:t xml:space="preserve"> Durability of market power assesses whether the dominance is likely to persist, considering factors such as market conditions and competitive dynamics </w:t>
      </w:r>
      <w:hyperlink r:id="rId51" w:anchor="page=34" w:history="1">
        <w:r>
          <w:rPr>
            <w:rStyle w:val="Hyperlink"/>
          </w:rPr>
          <w:t>[24]</w:t>
        </w:r>
      </w:hyperlink>
      <w:r>
        <w:t>.</w:t>
      </w:r>
    </w:p>
    <w:p w14:paraId="07EFDD32" w14:textId="77777777" w:rsidR="00E41A2E" w:rsidRDefault="00000000">
      <w:pPr>
        <w:spacing w:after="160"/>
      </w:pPr>
      <w:r>
        <w:t xml:space="preserve">General approach The general approach to assessing countervailing buyer power involves evaluating the size and commercial significance of customers, their ability to switch suppliers, and their potential to sponsor new market entry </w:t>
      </w:r>
      <w:hyperlink r:id="rId52" w:anchor="page=15" w:history="1">
        <w:r>
          <w:rPr>
            <w:rStyle w:val="Hyperlink"/>
          </w:rPr>
          <w:t>[5]</w:t>
        </w:r>
      </w:hyperlink>
      <w:r>
        <w:t xml:space="preserve"> The presence of strong buyer power can deter or defeat attempts by a dominant firm to exercise market power. However, buyer power that only protects a limited segment of customers may not be sufficient to negate dominance </w:t>
      </w:r>
      <w:hyperlink r:id="rId53" w:anchor="page=15" w:history="1">
        <w:r>
          <w:rPr>
            <w:rStyle w:val="Hyperlink"/>
          </w:rPr>
          <w:t>[5]</w:t>
        </w:r>
      </w:hyperlink>
    </w:p>
    <w:p w14:paraId="180581C3" w14:textId="77777777" w:rsidR="00E41A2E" w:rsidRDefault="00000000">
      <w:pPr>
        <w:spacing w:after="160"/>
      </w:pPr>
      <w:r>
        <w:t xml:space="preserve">Durability is assessed by examining the market position of the dominant undertaking, the conditions of entry and expansion, and the competitive role of actual or potential competitors </w:t>
      </w:r>
      <w:hyperlink r:id="rId54" w:anchor="page=34" w:history="1">
        <w:r>
          <w:rPr>
            <w:rStyle w:val="Hyperlink"/>
          </w:rPr>
          <w:t>[24]</w:t>
        </w:r>
      </w:hyperlink>
      <w:r>
        <w:t xml:space="preserve">. Evidence of exclusionary strategies or actual market developments may also be relevant </w:t>
      </w:r>
      <w:hyperlink r:id="rId55" w:anchor="page=35" w:history="1">
        <w:r>
          <w:rPr>
            <w:rStyle w:val="Hyperlink"/>
          </w:rPr>
          <w:t>[25]</w:t>
        </w:r>
      </w:hyperlink>
      <w:r>
        <w:t>.</w:t>
      </w:r>
    </w:p>
    <w:p w14:paraId="264FCAF7" w14:textId="77777777" w:rsidR="00E41A2E" w:rsidRDefault="00000000">
      <w:pPr>
        <w:spacing w:after="160"/>
      </w:pPr>
      <w:r>
        <w:t>Adaptation to digital markets In digital markets, the assessment of countervailing buyer power and durability requires adaptation due to unique market characteristics such as network effects and data advantages. The table below outlines key differences:</w:t>
      </w:r>
    </w:p>
    <w:p w14:paraId="5E2A3740" w14:textId="77777777" w:rsidR="00E41A2E" w:rsidRDefault="00000000">
      <w:pPr>
        <w:spacing w:after="160"/>
      </w:pPr>
      <w:r>
        <w:t>Element General Approach Digital Markets Guideline Reference</w:t>
      </w:r>
    </w:p>
    <w:p w14:paraId="14968412" w14:textId="77777777" w:rsidR="00E41A2E" w:rsidRDefault="00000000">
      <w:pPr>
        <w:spacing w:after="160"/>
      </w:pPr>
      <w:r>
        <w:t xml:space="preserve">Countervaili ng Buyer Power Evaluates size, significance, and switching ability of customers Considers multi-homing, platform dependence, and data control </w:t>
      </w:r>
      <w:hyperlink r:id="rId56" w:anchor="page=15" w:history="1">
        <w:r>
          <w:rPr>
            <w:rStyle w:val="Hyperlink"/>
          </w:rPr>
          <w:t>[5]</w:t>
        </w:r>
      </w:hyperlink>
    </w:p>
    <w:p w14:paraId="6D5556A4" w14:textId="77777777" w:rsidR="00E41A2E" w:rsidRDefault="00000000">
      <w:pPr>
        <w:spacing w:after="160"/>
      </w:pPr>
      <w:r>
        <w:t xml:space="preserve">Durability of Market Power Assesses market position, entry conditions, and competitor role Focuses on network effects, data feedback loops, and ecosystem control </w:t>
      </w:r>
      <w:hyperlink r:id="rId57" w:anchor="page=34" w:history="1">
        <w:r>
          <w:rPr>
            <w:rStyle w:val="Hyperlink"/>
          </w:rPr>
          <w:t>[24]</w:t>
        </w:r>
      </w:hyperlink>
    </w:p>
    <w:p w14:paraId="7DE9C2F1" w14:textId="77777777" w:rsidR="00E41A2E" w:rsidRDefault="00000000">
      <w:pPr>
        <w:spacing w:after="160"/>
      </w:pPr>
      <w:r>
        <w:t xml:space="preserve">Illustrative cases </w:t>
      </w:r>
      <w:hyperlink r:id="rId58" w:history="1">
        <w:r>
          <w:rPr>
            <w:rStyle w:val="Hyperlink"/>
          </w:rPr>
          <w:t>[22]</w:t>
        </w:r>
      </w:hyperlink>
      <w:r>
        <w:t xml:space="preserve"> Background: The European Commission investigated Motorola for abusing its dominant position by enforcing an injunction against Apple based on a standard essential patent (SEP) despite Apple's willingness to negotiate a license on FRAND terms </w:t>
      </w:r>
      <w:hyperlink r:id="rId59" w:anchor="page=9" w:history="1">
        <w:r>
          <w:rPr>
            <w:rStyle w:val="Hyperlink"/>
          </w:rPr>
          <w:t>[26]</w:t>
        </w:r>
      </w:hyperlink>
      <w:r>
        <w:t xml:space="preserve">. Relevance: This case illustrates the assessment of countervailing buyer power and durability by highlighting the dynamics between a dominant SEP holder and a major technology company like Apple. Despite Apple's significant market presence, Motorola's enforcement of an injunction demonstrated the potential for a dominant firm to exert substantial power over buyers, particularly when SEPs are involved </w:t>
      </w:r>
      <w:hyperlink r:id="rId60" w:anchor="page=9" w:history="1">
        <w:r>
          <w:rPr>
            <w:rStyle w:val="Hyperlink"/>
          </w:rPr>
          <w:t>[26]</w:t>
        </w:r>
      </w:hyperlink>
    </w:p>
    <w:p w14:paraId="0BE89103" w14:textId="77777777" w:rsidR="00E41A2E" w:rsidRDefault="00000000">
      <w:pPr>
        <w:spacing w:after="160"/>
      </w:pPr>
      <w:hyperlink r:id="rId61" w:history="1">
        <w:r>
          <w:rPr>
            <w:rStyle w:val="Hyperlink"/>
          </w:rPr>
          <w:t>[27]</w:t>
        </w:r>
      </w:hyperlink>
      <w:r>
        <w:t xml:space="preserve"> Background: Qualcomm engaged in predatory pricing practices to undermine competition from Icera, targeting key customers like Huawei and ZTE </w:t>
      </w:r>
      <w:hyperlink r:id="rId62" w:anchor="page=356" w:history="1">
        <w:r>
          <w:rPr>
            <w:rStyle w:val="Hyperlink"/>
          </w:rPr>
          <w:t>[28]</w:t>
        </w:r>
      </w:hyperlink>
      <w:r>
        <w:t xml:space="preserve"> Relevance: The Commission considered whether Qualcomm's dominant position was counterbalanced by the bargaining power of its major customers, Huawei and ZTE, but found that Qualcomm's market power was not sufficiently constrained </w:t>
      </w:r>
      <w:hyperlink r:id="rId63" w:anchor="page=60" w:history="1">
        <w:r>
          <w:rPr>
            <w:rStyle w:val="Hyperlink"/>
          </w:rPr>
          <w:t>[29]</w:t>
        </w:r>
      </w:hyperlink>
      <w:r>
        <w:t xml:space="preserve"> The durability of Qualcomm's dominance was evident from its sustained large market share and its ability to act independently of competitors and customers </w:t>
      </w:r>
      <w:hyperlink r:id="rId64" w:anchor="page=60" w:history="1">
        <w:r>
          <w:rPr>
            <w:rStyle w:val="Hyperlink"/>
          </w:rPr>
          <w:t>[29]</w:t>
        </w:r>
      </w:hyperlink>
    </w:p>
    <w:p w14:paraId="740FE47F" w14:textId="77777777" w:rsidR="00E41A2E" w:rsidRDefault="00000000">
      <w:pPr>
        <w:spacing w:after="160"/>
      </w:pPr>
      <w:r>
        <w:t>Output of this step The output of this step is a comprehensive assessment of countervailing buyer power and the durability of market power, which informs the final analysis of market dominance in digital contexts. This assessment sets the stage for applying the methodology to real-world cases in the next section, Step 5: Worked Examples: Digital-Market Cases.</w:t>
      </w:r>
    </w:p>
    <w:p w14:paraId="20BDD61F" w14:textId="77777777" w:rsidR="00E41A2E" w:rsidRDefault="00000000">
      <w:pPr>
        <w:spacing w:before="260" w:after="140"/>
      </w:pPr>
      <w:r>
        <w:rPr>
          <w:b/>
          <w:bCs/>
          <w:color w:val="1F4E5F"/>
          <w:sz w:val="26"/>
          <w:szCs w:val="26"/>
        </w:rPr>
        <w:t>2.5 Step 5: Worked Examples: Digital-Market Cases</w:t>
      </w:r>
    </w:p>
    <w:p w14:paraId="2DCC3203" w14:textId="77777777" w:rsidR="00E41A2E" w:rsidRDefault="00000000">
      <w:pPr>
        <w:spacing w:after="160"/>
      </w:pPr>
      <w:r>
        <w:t>This section synthesizes the methodology for assessing dominance in digital markets by applying it to real-world cases, demonstrating how each step is executed and highlighting the methodology's effectiveness. Building on the assessment of countervailing buyer power and durability in Section 2.4, these case studies illustrate the practical application of the methodology in digital contexts.</w:t>
      </w:r>
    </w:p>
    <w:p w14:paraId="0DA77343" w14:textId="77777777" w:rsidR="00E41A2E" w:rsidRDefault="00000000">
      <w:pPr>
        <w:spacing w:before="220" w:after="140"/>
      </w:pPr>
      <w:r>
        <w:rPr>
          <w:b/>
          <w:bCs/>
          <w:i/>
          <w:iCs/>
          <w:color w:val="1F4E5F"/>
          <w:sz w:val="24"/>
          <w:szCs w:val="24"/>
        </w:rPr>
        <w:t>Why these cases</w:t>
      </w:r>
    </w:p>
    <w:p w14:paraId="6BFD8078" w14:textId="77777777" w:rsidR="00E41A2E" w:rsidRDefault="00000000">
      <w:pPr>
        <w:spacing w:after="160"/>
      </w:pPr>
      <w:r>
        <w:t xml:space="preserve">The cases of </w:t>
      </w:r>
      <w:hyperlink r:id="rId65" w:history="1">
        <w:r>
          <w:rPr>
            <w:rStyle w:val="Hyperlink"/>
          </w:rPr>
          <w:t>[30]</w:t>
        </w:r>
      </w:hyperlink>
      <w:r>
        <w:t xml:space="preserve">, </w:t>
      </w:r>
      <w:hyperlink r:id="rId66" w:history="1">
        <w:r>
          <w:rPr>
            <w:rStyle w:val="Hyperlink"/>
          </w:rPr>
          <w:t>[31]</w:t>
        </w:r>
      </w:hyperlink>
      <w:r>
        <w:t xml:space="preserve">, and </w:t>
      </w:r>
      <w:hyperlink r:id="rId67" w:history="1">
        <w:r>
          <w:rPr>
            <w:rStyle w:val="Hyperlink"/>
          </w:rPr>
          <w:t>[32]</w:t>
        </w:r>
      </w:hyperlink>
      <w:r>
        <w:t xml:space="preserve"> were selected from the case database for their relevance to digital markets and their illustration of the unique challenges in assessing dominance in such contexts. These cases exemplify the application of the methodology across different digital platforms and services.</w:t>
      </w:r>
    </w:p>
    <w:p w14:paraId="77365F18" w14:textId="77777777" w:rsidR="00E41A2E" w:rsidRDefault="00000000">
      <w:pPr>
        <w:spacing w:before="220" w:after="140"/>
      </w:pPr>
      <w:r>
        <w:rPr>
          <w:b/>
          <w:bCs/>
          <w:i/>
          <w:iCs/>
          <w:color w:val="1F4E5F"/>
          <w:sz w:val="24"/>
          <w:szCs w:val="24"/>
        </w:rPr>
        <w:t>Case walkthroughs</w:t>
      </w:r>
    </w:p>
    <w:p w14:paraId="7BEB244F" w14:textId="77777777" w:rsidR="00E41A2E" w:rsidRDefault="00000000">
      <w:pPr>
        <w:spacing w:after="160"/>
      </w:pPr>
      <w:r>
        <w:t>Google - Adtech and Data-related practices</w:t>
      </w:r>
    </w:p>
    <w:p w14:paraId="06DCF000" w14:textId="77777777" w:rsidR="00E41A2E" w:rsidRDefault="00000000">
      <w:pPr>
        <w:spacing w:before="180" w:after="140"/>
      </w:pPr>
      <w:r>
        <w:rPr>
          <w:b/>
          <w:bCs/>
          <w:i/>
          <w:iCs/>
          <w:color w:val="1F4E5F"/>
        </w:rPr>
        <w:t>Background</w:t>
      </w:r>
    </w:p>
    <w:p w14:paraId="64EFE8DE" w14:textId="77777777" w:rsidR="00E41A2E" w:rsidRDefault="00000000">
      <w:pPr>
        <w:spacing w:after="160"/>
      </w:pPr>
      <w:r>
        <w:t>This case involved Google's practices in the display advertising intermediation value chain, where it was alleged that Google favored its own services to the detriment of competitors.</w:t>
      </w:r>
    </w:p>
    <w:p w14:paraId="62C587AE" w14:textId="77777777" w:rsidR="00E41A2E" w:rsidRDefault="00000000">
      <w:pPr>
        <w:spacing w:before="180" w:after="140"/>
      </w:pPr>
      <w:r>
        <w:rPr>
          <w:b/>
          <w:bCs/>
          <w:i/>
          <w:iCs/>
          <w:color w:val="1F4E5F"/>
        </w:rPr>
        <w:t>How it applies</w:t>
      </w:r>
    </w:p>
    <w:p w14:paraId="4EF301CA" w14:textId="77777777" w:rsidR="00E41A2E" w:rsidRDefault="00000000">
      <w:pPr>
        <w:spacing w:after="160"/>
      </w:pPr>
      <w:r>
        <w:t xml:space="preserve">The authority defined the relevant markets as the EEA-wide market for programmatic ad buying tools and publisher ad servers. Google's market share was assessed, revealing a dominant position with shares significantly above 50%. Although specific details on barriers were not provided, the inability of competitors to replicate Google's conduct suggested significant barriers. The lack of countervailing buyer power was evidenced by publishers' inability to change Google's pricing rules, indicating durable dominance. Google was found to have abused its dominant position by favoring its own services, leading to remedies to prevent continuation of such conduct </w:t>
      </w:r>
      <w:hyperlink r:id="rId68" w:anchor="page=13" w:history="1">
        <w:r>
          <w:rPr>
            <w:rStyle w:val="Hyperlink"/>
          </w:rPr>
          <w:t>[4]</w:t>
        </w:r>
      </w:hyperlink>
      <w:r>
        <w:t>.</w:t>
      </w:r>
    </w:p>
    <w:p w14:paraId="5B988B95" w14:textId="77777777" w:rsidR="00E41A2E" w:rsidRDefault="00000000">
      <w:pPr>
        <w:spacing w:after="160"/>
      </w:pPr>
      <w:r>
        <w:t>Microsoft Teams</w:t>
      </w:r>
    </w:p>
    <w:p w14:paraId="062FADDF" w14:textId="77777777" w:rsidR="00E41A2E" w:rsidRDefault="00000000">
      <w:pPr>
        <w:spacing w:before="180" w:after="140"/>
      </w:pPr>
      <w:r>
        <w:rPr>
          <w:b/>
          <w:bCs/>
          <w:i/>
          <w:iCs/>
          <w:color w:val="1F4E5F"/>
        </w:rPr>
        <w:t>Background</w:t>
      </w:r>
    </w:p>
    <w:p w14:paraId="6E2DF636" w14:textId="77777777" w:rsidR="00E41A2E" w:rsidRDefault="00000000">
      <w:pPr>
        <w:spacing w:after="160"/>
      </w:pPr>
      <w:r>
        <w:t>This case examined Microsoft's integration of Teams with its SaaS Productivity Applications, raising concerns about tying practices and market dominance.</w:t>
      </w:r>
    </w:p>
    <w:p w14:paraId="744B6A47" w14:textId="77777777" w:rsidR="00E41A2E" w:rsidRDefault="00000000">
      <w:pPr>
        <w:spacing w:before="180" w:after="140"/>
      </w:pPr>
      <w:r>
        <w:rPr>
          <w:b/>
          <w:bCs/>
          <w:i/>
          <w:iCs/>
          <w:color w:val="1F4E5F"/>
        </w:rPr>
        <w:t>How it applies</w:t>
      </w:r>
    </w:p>
    <w:p w14:paraId="0C391EF5" w14:textId="77777777" w:rsidR="00E41A2E" w:rsidRDefault="00000000">
      <w:pPr>
        <w:spacing w:after="160"/>
      </w:pPr>
      <w:r>
        <w:t xml:space="preserve">The relevant markets were defined as SaaS Productivity Applications for Professional Use and SaaS UCC, with a worldwide geographic scope. Microsoft's dominance was established with market shares exceeding 70-80%, supported by internal documents and third-party sources. Barriers included high investment costs, customer lock-in, and Microsoft's economies of scale, making competition difficult. A lack of countervailing buyer power was found, as customers could not influence Microsoft's suite elements. Microsoft's tying of Teams to its SaaS applications was preliminarily found to be abusive, requiring Microsoft to address these concerns </w:t>
      </w:r>
      <w:hyperlink r:id="rId69" w:anchor="page=14" w:history="1">
        <w:r>
          <w:rPr>
            <w:rStyle w:val="Hyperlink"/>
          </w:rPr>
          <w:t>[19]</w:t>
        </w:r>
      </w:hyperlink>
    </w:p>
    <w:p w14:paraId="0665458B" w14:textId="77777777" w:rsidR="00E41A2E" w:rsidRDefault="00000000">
      <w:pPr>
        <w:spacing w:after="160"/>
      </w:pPr>
      <w:r>
        <w:t>Apple - App Store Practices (music streaming)</w:t>
      </w:r>
    </w:p>
    <w:p w14:paraId="7629A33C" w14:textId="77777777" w:rsidR="00E41A2E" w:rsidRDefault="00000000">
      <w:pPr>
        <w:spacing w:before="180" w:after="140"/>
      </w:pPr>
      <w:r>
        <w:rPr>
          <w:b/>
          <w:bCs/>
          <w:i/>
          <w:iCs/>
          <w:color w:val="1F4E5F"/>
        </w:rPr>
        <w:t>Background</w:t>
      </w:r>
    </w:p>
    <w:p w14:paraId="3668286A" w14:textId="77777777" w:rsidR="00E41A2E" w:rsidRDefault="00000000">
      <w:pPr>
        <w:spacing w:after="160"/>
      </w:pPr>
      <w:r>
        <w:t>This case focused on Apple's App Store practices, particularly concerning music streaming services, and the imposition of unfair trading conditions.</w:t>
      </w:r>
    </w:p>
    <w:p w14:paraId="54E32879" w14:textId="77777777" w:rsidR="00E41A2E" w:rsidRDefault="00000000">
      <w:pPr>
        <w:spacing w:before="180" w:after="140"/>
      </w:pPr>
      <w:r>
        <w:rPr>
          <w:b/>
          <w:bCs/>
          <w:i/>
          <w:iCs/>
          <w:color w:val="1F4E5F"/>
        </w:rPr>
        <w:t>How it applies</w:t>
      </w:r>
    </w:p>
    <w:p w14:paraId="29948C1D" w14:textId="77777777" w:rsidR="00E41A2E" w:rsidRDefault="00000000">
      <w:pPr>
        <w:spacing w:after="160"/>
      </w:pPr>
      <w:r>
        <w:t xml:space="preserve">The market was defined as music streaming services, distinct from physical distribution and downloading, with an EEA-wide scope. While specific details on market shares were not provided, dominance was indicated by a market share of 50% or above. Barriers included large capital investments, network externalities, and switching costs, hindering market entry and expansion. Limited countervailing buyer power was noted, with consumers and developers having little influence over Apple's market power. Apple was found to have abused its dominant position through unfair trading conditions, leading to compliance requirements and penalties </w:t>
      </w:r>
      <w:hyperlink r:id="rId70" w:anchor="page=14" w:history="1">
        <w:r>
          <w:rPr>
            <w:rStyle w:val="Hyperlink"/>
          </w:rPr>
          <w:t>[19]</w:t>
        </w:r>
      </w:hyperlink>
    </w:p>
    <w:p w14:paraId="42D00C6D" w14:textId="77777777" w:rsidR="00E41A2E" w:rsidRDefault="00000000">
      <w:pPr>
        <w:spacing w:before="220" w:after="140"/>
      </w:pPr>
      <w:r>
        <w:rPr>
          <w:b/>
          <w:bCs/>
          <w:i/>
          <w:iCs/>
          <w:color w:val="1F4E5F"/>
          <w:sz w:val="24"/>
          <w:szCs w:val="24"/>
        </w:rPr>
        <w:t>Comparison across cases</w:t>
      </w:r>
    </w:p>
    <w:p w14:paraId="42798DE9" w14:textId="77777777" w:rsidR="00E41A2E" w:rsidRDefault="00000000">
      <w:pPr>
        <w:spacing w:before="220" w:after="140"/>
      </w:pPr>
      <w:r>
        <w:rPr>
          <w:b/>
          <w:bCs/>
          <w:i/>
          <w:iCs/>
          <w:color w:val="1F4E5F"/>
          <w:sz w:val="24"/>
          <w:szCs w:val="24"/>
        </w:rPr>
        <w:t>What the cases show about the methodology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E41A2E" w14:paraId="3596EB9B" w14:textId="77777777">
        <w:tblPrEx>
          <w:tblCellMar>
            <w:top w:w="0" w:type="dxa"/>
            <w:bottom w:w="0" w:type="dxa"/>
          </w:tblCellMar>
        </w:tblPrEx>
        <w:trPr>
          <w:tblHeader/>
        </w:trPr>
        <w:tc>
          <w:tcPr>
            <w:tcW w:w="1250" w:type="pct"/>
            <w:shd w:val="clear" w:color="auto" w:fill="1F4E5F"/>
            <w:tcMar>
              <w:top w:w="80" w:type="dxa"/>
              <w:left w:w="100" w:type="dxa"/>
              <w:bottom w:w="80" w:type="dxa"/>
              <w:right w:w="100" w:type="dxa"/>
            </w:tcMar>
          </w:tcPr>
          <w:p w14:paraId="4C45F517" w14:textId="77777777" w:rsidR="00E41A2E" w:rsidRDefault="00000000">
            <w:r>
              <w:rPr>
                <w:b/>
                <w:bCs/>
                <w:color w:val="FFFFFF"/>
                <w:sz w:val="18"/>
                <w:szCs w:val="18"/>
              </w:rPr>
              <w:t>Step</w:t>
            </w:r>
          </w:p>
        </w:tc>
        <w:tc>
          <w:tcPr>
            <w:tcW w:w="1250" w:type="pct"/>
            <w:shd w:val="clear" w:color="auto" w:fill="1F4E5F"/>
            <w:tcMar>
              <w:top w:w="80" w:type="dxa"/>
              <w:left w:w="100" w:type="dxa"/>
              <w:bottom w:w="80" w:type="dxa"/>
              <w:right w:w="100" w:type="dxa"/>
            </w:tcMar>
          </w:tcPr>
          <w:p w14:paraId="32D85E34" w14:textId="77777777" w:rsidR="00E41A2E" w:rsidRDefault="00000000">
            <w:r>
              <w:rPr>
                <w:b/>
                <w:bCs/>
                <w:color w:val="FFFFFF"/>
                <w:sz w:val="18"/>
                <w:szCs w:val="18"/>
              </w:rPr>
              <w:t>Google - Adtech</w:t>
            </w:r>
          </w:p>
        </w:tc>
        <w:tc>
          <w:tcPr>
            <w:tcW w:w="1250" w:type="pct"/>
            <w:shd w:val="clear" w:color="auto" w:fill="1F4E5F"/>
            <w:tcMar>
              <w:top w:w="80" w:type="dxa"/>
              <w:left w:w="100" w:type="dxa"/>
              <w:bottom w:w="80" w:type="dxa"/>
              <w:right w:w="100" w:type="dxa"/>
            </w:tcMar>
          </w:tcPr>
          <w:p w14:paraId="31A2CB7B" w14:textId="77777777" w:rsidR="00E41A2E" w:rsidRDefault="00000000">
            <w:r>
              <w:rPr>
                <w:b/>
                <w:bCs/>
                <w:color w:val="FFFFFF"/>
                <w:sz w:val="18"/>
                <w:szCs w:val="18"/>
              </w:rPr>
              <w:t>Microsoft Teams</w:t>
            </w:r>
          </w:p>
        </w:tc>
        <w:tc>
          <w:tcPr>
            <w:tcW w:w="1250" w:type="pct"/>
            <w:shd w:val="clear" w:color="auto" w:fill="1F4E5F"/>
            <w:tcMar>
              <w:top w:w="80" w:type="dxa"/>
              <w:left w:w="100" w:type="dxa"/>
              <w:bottom w:w="80" w:type="dxa"/>
              <w:right w:w="100" w:type="dxa"/>
            </w:tcMar>
          </w:tcPr>
          <w:p w14:paraId="4D64F850" w14:textId="77777777" w:rsidR="00E41A2E" w:rsidRDefault="00000000">
            <w:r>
              <w:rPr>
                <w:b/>
                <w:bCs/>
                <w:color w:val="FFFFFF"/>
                <w:sz w:val="18"/>
                <w:szCs w:val="18"/>
              </w:rPr>
              <w:t>Apple - App Store</w:t>
            </w:r>
          </w:p>
        </w:tc>
      </w:tr>
      <w:tr w:rsidR="00E41A2E" w14:paraId="563DAEDE" w14:textId="77777777">
        <w:tblPrEx>
          <w:tblCellMar>
            <w:top w:w="0" w:type="dxa"/>
            <w:bottom w:w="0" w:type="dxa"/>
          </w:tblCellMar>
        </w:tblPrEx>
        <w:tc>
          <w:tcPr>
            <w:tcW w:w="1250" w:type="pct"/>
            <w:tcMar>
              <w:top w:w="80" w:type="dxa"/>
              <w:left w:w="100" w:type="dxa"/>
              <w:bottom w:w="80" w:type="dxa"/>
              <w:right w:w="100" w:type="dxa"/>
            </w:tcMar>
          </w:tcPr>
          <w:p w14:paraId="79D96B47" w14:textId="77777777" w:rsidR="00E41A2E" w:rsidRDefault="00000000">
            <w:r>
              <w:rPr>
                <w:color w:val="000000"/>
                <w:sz w:val="18"/>
                <w:szCs w:val="18"/>
              </w:rPr>
              <w:t>Define the Relevant Market</w:t>
            </w:r>
          </w:p>
        </w:tc>
        <w:tc>
          <w:tcPr>
            <w:tcW w:w="1250" w:type="pct"/>
            <w:tcMar>
              <w:top w:w="80" w:type="dxa"/>
              <w:left w:w="100" w:type="dxa"/>
              <w:bottom w:w="80" w:type="dxa"/>
              <w:right w:w="100" w:type="dxa"/>
            </w:tcMar>
          </w:tcPr>
          <w:p w14:paraId="24F5780F" w14:textId="77777777" w:rsidR="00E41A2E" w:rsidRDefault="00000000">
            <w:r>
              <w:rPr>
                <w:color w:val="000000"/>
                <w:sz w:val="18"/>
                <w:szCs w:val="18"/>
              </w:rPr>
              <w:t>EEA-wide ad markets</w:t>
            </w:r>
          </w:p>
        </w:tc>
        <w:tc>
          <w:tcPr>
            <w:tcW w:w="1250" w:type="pct"/>
            <w:tcMar>
              <w:top w:w="80" w:type="dxa"/>
              <w:left w:w="100" w:type="dxa"/>
              <w:bottom w:w="80" w:type="dxa"/>
              <w:right w:w="100" w:type="dxa"/>
            </w:tcMar>
          </w:tcPr>
          <w:p w14:paraId="780B9543" w14:textId="77777777" w:rsidR="00E41A2E" w:rsidRDefault="00000000">
            <w:r>
              <w:rPr>
                <w:color w:val="000000"/>
                <w:sz w:val="18"/>
                <w:szCs w:val="18"/>
              </w:rPr>
              <w:t>Worldwide SaaS markets</w:t>
            </w:r>
          </w:p>
        </w:tc>
        <w:tc>
          <w:tcPr>
            <w:tcW w:w="1250" w:type="pct"/>
            <w:tcMar>
              <w:top w:w="80" w:type="dxa"/>
              <w:left w:w="100" w:type="dxa"/>
              <w:bottom w:w="80" w:type="dxa"/>
              <w:right w:w="100" w:type="dxa"/>
            </w:tcMar>
          </w:tcPr>
          <w:p w14:paraId="6F6A25EC" w14:textId="77777777" w:rsidR="00E41A2E" w:rsidRDefault="00000000">
            <w:r>
              <w:rPr>
                <w:color w:val="000000"/>
                <w:sz w:val="18"/>
                <w:szCs w:val="18"/>
              </w:rPr>
              <w:t>EEA-wide music streaming</w:t>
            </w:r>
          </w:p>
        </w:tc>
      </w:tr>
      <w:tr w:rsidR="00E41A2E" w14:paraId="2B55C49B" w14:textId="77777777">
        <w:tblPrEx>
          <w:tblCellMar>
            <w:top w:w="0" w:type="dxa"/>
            <w:bottom w:w="0" w:type="dxa"/>
          </w:tblCellMar>
        </w:tblPrEx>
        <w:tc>
          <w:tcPr>
            <w:tcW w:w="1250" w:type="pct"/>
            <w:tcMar>
              <w:top w:w="80" w:type="dxa"/>
              <w:left w:w="100" w:type="dxa"/>
              <w:bottom w:w="80" w:type="dxa"/>
              <w:right w:w="100" w:type="dxa"/>
            </w:tcMar>
          </w:tcPr>
          <w:p w14:paraId="176A564A" w14:textId="77777777" w:rsidR="00E41A2E" w:rsidRDefault="00000000">
            <w:r>
              <w:rPr>
                <w:color w:val="000000"/>
                <w:sz w:val="18"/>
                <w:szCs w:val="18"/>
              </w:rPr>
              <w:t>Assess Market Shares and Concentration</w:t>
            </w:r>
          </w:p>
        </w:tc>
        <w:tc>
          <w:tcPr>
            <w:tcW w:w="1250" w:type="pct"/>
            <w:tcMar>
              <w:top w:w="80" w:type="dxa"/>
              <w:left w:w="100" w:type="dxa"/>
              <w:bottom w:w="80" w:type="dxa"/>
              <w:right w:w="100" w:type="dxa"/>
            </w:tcMar>
          </w:tcPr>
          <w:p w14:paraId="657D0DFA" w14:textId="77777777" w:rsidR="00E41A2E" w:rsidRDefault="00000000">
            <w:r>
              <w:rPr>
                <w:color w:val="000000"/>
                <w:sz w:val="18"/>
                <w:szCs w:val="18"/>
              </w:rPr>
              <w:t>Dominance above 50%</w:t>
            </w:r>
          </w:p>
        </w:tc>
        <w:tc>
          <w:tcPr>
            <w:tcW w:w="1250" w:type="pct"/>
            <w:tcMar>
              <w:top w:w="80" w:type="dxa"/>
              <w:left w:w="100" w:type="dxa"/>
              <w:bottom w:w="80" w:type="dxa"/>
              <w:right w:w="100" w:type="dxa"/>
            </w:tcMar>
          </w:tcPr>
          <w:p w14:paraId="098E1966" w14:textId="77777777" w:rsidR="00E41A2E" w:rsidRDefault="00000000">
            <w:r>
              <w:rPr>
                <w:color w:val="000000"/>
                <w:sz w:val="18"/>
                <w:szCs w:val="18"/>
              </w:rPr>
              <w:t>Dominance 70-80%</w:t>
            </w:r>
          </w:p>
        </w:tc>
        <w:tc>
          <w:tcPr>
            <w:tcW w:w="1250" w:type="pct"/>
            <w:tcMar>
              <w:top w:w="80" w:type="dxa"/>
              <w:left w:w="100" w:type="dxa"/>
              <w:bottom w:w="80" w:type="dxa"/>
              <w:right w:w="100" w:type="dxa"/>
            </w:tcMar>
          </w:tcPr>
          <w:p w14:paraId="2B710EE9" w14:textId="77777777" w:rsidR="00E41A2E" w:rsidRDefault="00000000">
            <w:r>
              <w:rPr>
                <w:color w:val="000000"/>
                <w:sz w:val="18"/>
                <w:szCs w:val="18"/>
              </w:rPr>
              <w:t>Dominance indicated by 50%+</w:t>
            </w:r>
          </w:p>
        </w:tc>
      </w:tr>
      <w:tr w:rsidR="00E41A2E" w14:paraId="6FEDF91E" w14:textId="77777777">
        <w:tblPrEx>
          <w:tblCellMar>
            <w:top w:w="0" w:type="dxa"/>
            <w:bottom w:w="0" w:type="dxa"/>
          </w:tblCellMar>
        </w:tblPrEx>
        <w:tc>
          <w:tcPr>
            <w:tcW w:w="1250" w:type="pct"/>
            <w:tcMar>
              <w:top w:w="80" w:type="dxa"/>
              <w:left w:w="100" w:type="dxa"/>
              <w:bottom w:w="80" w:type="dxa"/>
              <w:right w:w="100" w:type="dxa"/>
            </w:tcMar>
          </w:tcPr>
          <w:p w14:paraId="14643E7C" w14:textId="77777777" w:rsidR="00E41A2E" w:rsidRDefault="00000000">
            <w:r>
              <w:rPr>
                <w:color w:val="000000"/>
                <w:sz w:val="18"/>
                <w:szCs w:val="18"/>
              </w:rPr>
              <w:t>Assess Barriers to Entry and Expansion</w:t>
            </w:r>
          </w:p>
        </w:tc>
        <w:tc>
          <w:tcPr>
            <w:tcW w:w="1250" w:type="pct"/>
            <w:tcMar>
              <w:top w:w="80" w:type="dxa"/>
              <w:left w:w="100" w:type="dxa"/>
              <w:bottom w:w="80" w:type="dxa"/>
              <w:right w:w="100" w:type="dxa"/>
            </w:tcMar>
          </w:tcPr>
          <w:p w14:paraId="64BDDC28" w14:textId="77777777" w:rsidR="00E41A2E" w:rsidRDefault="00000000">
            <w:r>
              <w:rPr>
                <w:color w:val="000000"/>
                <w:sz w:val="18"/>
                <w:szCs w:val="18"/>
              </w:rPr>
              <w:t>Implied significant barriers</w:t>
            </w:r>
          </w:p>
        </w:tc>
        <w:tc>
          <w:tcPr>
            <w:tcW w:w="1250" w:type="pct"/>
            <w:tcMar>
              <w:top w:w="80" w:type="dxa"/>
              <w:left w:w="100" w:type="dxa"/>
              <w:bottom w:w="80" w:type="dxa"/>
              <w:right w:w="100" w:type="dxa"/>
            </w:tcMar>
          </w:tcPr>
          <w:p w14:paraId="62B3E4D0" w14:textId="77777777" w:rsidR="00E41A2E" w:rsidRDefault="00000000">
            <w:r>
              <w:rPr>
                <w:color w:val="000000"/>
                <w:sz w:val="18"/>
                <w:szCs w:val="18"/>
              </w:rPr>
              <w:t>High investment, lock-in</w:t>
            </w:r>
          </w:p>
        </w:tc>
        <w:tc>
          <w:tcPr>
            <w:tcW w:w="1250" w:type="pct"/>
            <w:tcMar>
              <w:top w:w="80" w:type="dxa"/>
              <w:left w:w="100" w:type="dxa"/>
              <w:bottom w:w="80" w:type="dxa"/>
              <w:right w:w="100" w:type="dxa"/>
            </w:tcMar>
          </w:tcPr>
          <w:p w14:paraId="2A5DEA30" w14:textId="77777777" w:rsidR="00E41A2E" w:rsidRDefault="00000000">
            <w:r>
              <w:rPr>
                <w:color w:val="000000"/>
                <w:sz w:val="18"/>
                <w:szCs w:val="18"/>
              </w:rPr>
              <w:t>Capital, network, switching costs</w:t>
            </w:r>
          </w:p>
        </w:tc>
      </w:tr>
      <w:tr w:rsidR="00E41A2E" w14:paraId="4B98661B" w14:textId="77777777">
        <w:tblPrEx>
          <w:tblCellMar>
            <w:top w:w="0" w:type="dxa"/>
            <w:bottom w:w="0" w:type="dxa"/>
          </w:tblCellMar>
        </w:tblPrEx>
        <w:tc>
          <w:tcPr>
            <w:tcW w:w="1250" w:type="pct"/>
            <w:tcMar>
              <w:top w:w="80" w:type="dxa"/>
              <w:left w:w="100" w:type="dxa"/>
              <w:bottom w:w="80" w:type="dxa"/>
              <w:right w:w="100" w:type="dxa"/>
            </w:tcMar>
          </w:tcPr>
          <w:p w14:paraId="177AF142" w14:textId="77777777" w:rsidR="00E41A2E" w:rsidRDefault="00000000">
            <w:r>
              <w:rPr>
                <w:color w:val="000000"/>
                <w:sz w:val="18"/>
                <w:szCs w:val="18"/>
              </w:rPr>
              <w:t>Assess Countervailing Buyer Power and Durability</w:t>
            </w:r>
          </w:p>
        </w:tc>
        <w:tc>
          <w:tcPr>
            <w:tcW w:w="1250" w:type="pct"/>
            <w:tcMar>
              <w:top w:w="80" w:type="dxa"/>
              <w:left w:w="100" w:type="dxa"/>
              <w:bottom w:w="80" w:type="dxa"/>
              <w:right w:w="100" w:type="dxa"/>
            </w:tcMar>
          </w:tcPr>
          <w:p w14:paraId="6286201B" w14:textId="77777777" w:rsidR="00E41A2E" w:rsidRDefault="00000000">
            <w:r>
              <w:rPr>
                <w:color w:val="000000"/>
                <w:sz w:val="18"/>
                <w:szCs w:val="18"/>
              </w:rPr>
              <w:t>Lack of buyer power</w:t>
            </w:r>
          </w:p>
        </w:tc>
        <w:tc>
          <w:tcPr>
            <w:tcW w:w="1250" w:type="pct"/>
            <w:tcMar>
              <w:top w:w="80" w:type="dxa"/>
              <w:left w:w="100" w:type="dxa"/>
              <w:bottom w:w="80" w:type="dxa"/>
              <w:right w:w="100" w:type="dxa"/>
            </w:tcMar>
          </w:tcPr>
          <w:p w14:paraId="4E8A8F50" w14:textId="77777777" w:rsidR="00E41A2E" w:rsidRDefault="00000000">
            <w:r>
              <w:rPr>
                <w:color w:val="000000"/>
                <w:sz w:val="18"/>
                <w:szCs w:val="18"/>
              </w:rPr>
              <w:t>Lack of buyer power</w:t>
            </w:r>
          </w:p>
        </w:tc>
        <w:tc>
          <w:tcPr>
            <w:tcW w:w="1250" w:type="pct"/>
            <w:tcMar>
              <w:top w:w="80" w:type="dxa"/>
              <w:left w:w="100" w:type="dxa"/>
              <w:bottom w:w="80" w:type="dxa"/>
              <w:right w:w="100" w:type="dxa"/>
            </w:tcMar>
          </w:tcPr>
          <w:p w14:paraId="34A8D24B" w14:textId="77777777" w:rsidR="00E41A2E" w:rsidRDefault="00000000">
            <w:r>
              <w:rPr>
                <w:color w:val="000000"/>
                <w:sz w:val="18"/>
                <w:szCs w:val="18"/>
              </w:rPr>
              <w:t>Limited buyer power</w:t>
            </w:r>
          </w:p>
        </w:tc>
      </w:tr>
    </w:tbl>
    <w:p w14:paraId="3091F200" w14:textId="77777777" w:rsidR="00E41A2E" w:rsidRDefault="00E41A2E">
      <w:pPr>
        <w:spacing w:after="200"/>
      </w:pPr>
    </w:p>
    <w:p w14:paraId="69FDBBD2" w14:textId="77777777" w:rsidR="00E41A2E" w:rsidRDefault="00000000">
      <w:pPr>
        <w:spacing w:after="160"/>
      </w:pPr>
      <w:r>
        <w:t xml:space="preserve">These cases illustrate the consistent application of the methodology across diverse digital markets, highlighting the importance of adapting traditional competition law principles to digital contexts. The common pattern across cases is the identification of high market shares and significant barriers to entry as indicators of dominance, consistent with the guidelines </w:t>
      </w:r>
      <w:hyperlink r:id="rId71" w:anchor="page=11" w:history="1">
        <w:r>
          <w:rPr>
            <w:rStyle w:val="Hyperlink"/>
          </w:rPr>
          <w:t>[2]</w:t>
        </w:r>
      </w:hyperlink>
      <w:r>
        <w:t xml:space="preserve"> However, digital-market features such as network effects and data advantages often necessitate a deeper analysis of market dynamics and competitive constraints </w:t>
      </w:r>
      <w:hyperlink r:id="rId72" w:anchor="page=14" w:history="1">
        <w:r>
          <w:rPr>
            <w:rStyle w:val="Hyperlink"/>
          </w:rPr>
          <w:t>[19]</w:t>
        </w:r>
      </w:hyperlink>
      <w:r>
        <w:t>. These cases demonstrate the methodology's effectiveness in capturing the unique characteristics of digital markets, ensuring a robust assessment of dominance.</w:t>
      </w:r>
    </w:p>
    <w:p w14:paraId="461B4E9D" w14:textId="77777777" w:rsidR="00E41A2E" w:rsidRDefault="00000000">
      <w:pPr>
        <w:spacing w:after="160"/>
      </w:pPr>
      <w:hyperlink r:id="rId73" w:anchor="page=5" w:history="1">
        <w:r>
          <w:rPr>
            <w:rStyle w:val="Hyperlink"/>
          </w:rPr>
          <w:t>[12]</w:t>
        </w:r>
      </w:hyperlink>
      <w:r>
        <w:t xml:space="preserve"> </w:t>
      </w:r>
      <w:hyperlink r:id="rId74" w:history="1">
        <w:r>
          <w:rPr>
            <w:rStyle w:val="Hyperlink"/>
          </w:rPr>
          <w:t>[6]</w:t>
        </w:r>
      </w:hyperlink>
      <w:r>
        <w:t xml:space="preserve"> </w:t>
      </w:r>
      <w:hyperlink r:id="rId75" w:anchor="page=13" w:history="1">
        <w:r>
          <w:rPr>
            <w:rStyle w:val="Hyperlink"/>
          </w:rPr>
          <w:t>[14]</w:t>
        </w:r>
      </w:hyperlink>
      <w:r>
        <w:t xml:space="preserve"> </w:t>
      </w:r>
      <w:hyperlink r:id="rId76" w:history="1">
        <w:r>
          <w:rPr>
            <w:rStyle w:val="Hyperlink"/>
          </w:rPr>
          <w:t>[7]</w:t>
        </w:r>
      </w:hyperlink>
    </w:p>
    <w:p w14:paraId="20A3C962" w14:textId="77777777" w:rsidR="00E41A2E" w:rsidRDefault="00000000">
      <w:pPr>
        <w:spacing w:after="160"/>
      </w:pPr>
      <w:hyperlink r:id="rId77" w:anchor="page=10" w:history="1">
        <w:r>
          <w:rPr>
            <w:rStyle w:val="Hyperlink"/>
          </w:rPr>
          <w:t>[1]</w:t>
        </w:r>
      </w:hyperlink>
      <w:r>
        <w:t xml:space="preserve"> </w:t>
      </w:r>
      <w:hyperlink r:id="rId78" w:anchor="page=11" w:history="1">
        <w:r>
          <w:rPr>
            <w:rStyle w:val="Hyperlink"/>
          </w:rPr>
          <w:t>[2]</w:t>
        </w:r>
      </w:hyperlink>
    </w:p>
    <w:p w14:paraId="4671811A" w14:textId="77777777" w:rsidR="00E41A2E" w:rsidRDefault="00000000">
      <w:pPr>
        <w:spacing w:after="160"/>
      </w:pPr>
      <w:hyperlink r:id="rId79" w:anchor="page=12" w:history="1">
        <w:r>
          <w:rPr>
            <w:rStyle w:val="Hyperlink"/>
          </w:rPr>
          <w:t>[3]</w:t>
        </w:r>
      </w:hyperlink>
    </w:p>
    <w:p w14:paraId="0B72ADBF" w14:textId="77777777" w:rsidR="00E41A2E" w:rsidRDefault="00000000">
      <w:pPr>
        <w:spacing w:after="160"/>
      </w:pPr>
      <w:hyperlink r:id="rId80" w:anchor="page=13" w:history="1">
        <w:r>
          <w:rPr>
            <w:rStyle w:val="Hyperlink"/>
          </w:rPr>
          <w:t>[4]</w:t>
        </w:r>
      </w:hyperlink>
      <w:r>
        <w:t xml:space="preserve"> </w:t>
      </w:r>
      <w:hyperlink r:id="rId81" w:anchor="page=15" w:history="1">
        <w:r>
          <w:rPr>
            <w:rStyle w:val="Hyperlink"/>
          </w:rPr>
          <w:t>[5]</w:t>
        </w:r>
      </w:hyperlink>
      <w:r>
        <w:t xml:space="preserve"> </w:t>
      </w:r>
      <w:hyperlink r:id="rId82" w:anchor="page=7" w:history="1">
        <w:r>
          <w:rPr>
            <w:rStyle w:val="Hyperlink"/>
          </w:rPr>
          <w:t>[8]</w:t>
        </w:r>
      </w:hyperlink>
    </w:p>
    <w:p w14:paraId="4980300F" w14:textId="77777777" w:rsidR="00E41A2E" w:rsidRDefault="00000000">
      <w:pPr>
        <w:spacing w:after="160"/>
      </w:pPr>
      <w:hyperlink r:id="rId83" w:anchor="page=30" w:history="1">
        <w:r>
          <w:rPr>
            <w:rStyle w:val="Hyperlink"/>
          </w:rPr>
          <w:t>[9]</w:t>
        </w:r>
      </w:hyperlink>
    </w:p>
    <w:p w14:paraId="55C087B7" w14:textId="77777777" w:rsidR="00E41A2E" w:rsidRDefault="00000000">
      <w:pPr>
        <w:spacing w:after="160"/>
      </w:pPr>
      <w:hyperlink r:id="rId84" w:anchor="page=31" w:history="1">
        <w:r>
          <w:rPr>
            <w:rStyle w:val="Hyperlink"/>
          </w:rPr>
          <w:t>[10]</w:t>
        </w:r>
      </w:hyperlink>
      <w:r>
        <w:t xml:space="preserve"> </w:t>
      </w:r>
      <w:hyperlink r:id="rId85" w:anchor="page=32" w:history="1">
        <w:r>
          <w:rPr>
            <w:rStyle w:val="Hyperlink"/>
          </w:rPr>
          <w:t>[11]</w:t>
        </w:r>
      </w:hyperlink>
      <w:r>
        <w:t xml:space="preserve"> </w:t>
      </w:r>
      <w:hyperlink r:id="rId86" w:anchor="page=5" w:history="1">
        <w:r>
          <w:rPr>
            <w:rStyle w:val="Hyperlink"/>
          </w:rPr>
          <w:t>[12]</w:t>
        </w:r>
      </w:hyperlink>
    </w:p>
    <w:p w14:paraId="56235045" w14:textId="77777777" w:rsidR="00E41A2E" w:rsidRDefault="00000000">
      <w:pPr>
        <w:spacing w:after="160"/>
      </w:pPr>
      <w:hyperlink r:id="rId87" w:anchor="page=22" w:history="1">
        <w:r>
          <w:rPr>
            <w:rStyle w:val="Hyperlink"/>
          </w:rPr>
          <w:t>[13]</w:t>
        </w:r>
      </w:hyperlink>
    </w:p>
    <w:p w14:paraId="23CB4A46" w14:textId="77777777" w:rsidR="00E41A2E" w:rsidRDefault="00000000">
      <w:pPr>
        <w:spacing w:after="160"/>
      </w:pPr>
      <w:hyperlink r:id="rId88" w:anchor="page=13" w:history="1">
        <w:r>
          <w:rPr>
            <w:rStyle w:val="Hyperlink"/>
          </w:rPr>
          <w:t>[14]</w:t>
        </w:r>
      </w:hyperlink>
      <w:r>
        <w:t xml:space="preserve"> </w:t>
      </w:r>
      <w:hyperlink r:id="rId89" w:anchor="page=23" w:history="1">
        <w:r>
          <w:rPr>
            <w:rStyle w:val="Hyperlink"/>
          </w:rPr>
          <w:t>[15]</w:t>
        </w:r>
      </w:hyperlink>
    </w:p>
    <w:p w14:paraId="48ED25CA" w14:textId="77777777" w:rsidR="00E41A2E" w:rsidRDefault="00000000">
      <w:pPr>
        <w:spacing w:before="280" w:after="120"/>
      </w:pPr>
      <w:r>
        <w:rPr>
          <w:b/>
          <w:bCs/>
          <w:color w:val="1F4E5F"/>
        </w:rPr>
        <w:t>Cited Sources</w:t>
      </w:r>
    </w:p>
    <w:p w14:paraId="4CCF7F5D" w14:textId="77777777" w:rsidR="00E41A2E" w:rsidRDefault="00000000">
      <w:pPr>
        <w:pStyle w:val="ListParagraph"/>
        <w:numPr>
          <w:ilvl w:val="0"/>
          <w:numId w:val="2"/>
        </w:numPr>
        <w:spacing w:after="100"/>
      </w:pPr>
      <w:hyperlink r:id="rId90" w:anchor="page=10" w:history="1">
        <w:r>
          <w:rPr>
            <w:rStyle w:val="Hyperlink"/>
          </w:rPr>
          <w:t>Guidelines on the application of Article 102 TFEU to abusive exclusionary conduct by dominant undertakings (C(2026) 6118 final, 3 September 2026), p. 10</w:t>
        </w:r>
      </w:hyperlink>
    </w:p>
    <w:p w14:paraId="4F55E97A" w14:textId="77777777" w:rsidR="00E41A2E" w:rsidRDefault="00000000">
      <w:pPr>
        <w:pStyle w:val="ListParagraph"/>
        <w:numPr>
          <w:ilvl w:val="0"/>
          <w:numId w:val="2"/>
        </w:numPr>
        <w:spacing w:after="100"/>
      </w:pPr>
      <w:hyperlink r:id="rId91" w:anchor="page=11" w:history="1">
        <w:r>
          <w:rPr>
            <w:rStyle w:val="Hyperlink"/>
          </w:rPr>
          <w:t>Guidelines on the application of Article 102 TFEU to abusive exclusionary conduct by dominant undertakings (C(2026) 6118 final, 3 September 2026), p. 11</w:t>
        </w:r>
      </w:hyperlink>
    </w:p>
    <w:p w14:paraId="2DEACD3B" w14:textId="77777777" w:rsidR="00E41A2E" w:rsidRDefault="00000000">
      <w:pPr>
        <w:pStyle w:val="ListParagraph"/>
        <w:numPr>
          <w:ilvl w:val="0"/>
          <w:numId w:val="2"/>
        </w:numPr>
        <w:spacing w:after="100"/>
      </w:pPr>
      <w:hyperlink r:id="rId92" w:anchor="page=12" w:history="1">
        <w:r>
          <w:rPr>
            <w:rStyle w:val="Hyperlink"/>
          </w:rPr>
          <w:t>Guidelines on the application of Article 102 TFEU to abusive exclusionary conduct by dominant undertakings (C(2026) 6118 final, 3 September 2026), p. 12</w:t>
        </w:r>
      </w:hyperlink>
    </w:p>
    <w:p w14:paraId="23D01718" w14:textId="77777777" w:rsidR="00E41A2E" w:rsidRDefault="00000000">
      <w:pPr>
        <w:pStyle w:val="ListParagraph"/>
        <w:numPr>
          <w:ilvl w:val="0"/>
          <w:numId w:val="2"/>
        </w:numPr>
        <w:spacing w:after="100"/>
      </w:pPr>
      <w:hyperlink r:id="rId93" w:anchor="page=13" w:history="1">
        <w:r>
          <w:rPr>
            <w:rStyle w:val="Hyperlink"/>
          </w:rPr>
          <w:t>Guidelines on the application of Article 102 TFEU to abusive exclusionary conduct by dominant undertakings (C(2026) 6118 final, 3 September 2026), p. 13</w:t>
        </w:r>
      </w:hyperlink>
    </w:p>
    <w:p w14:paraId="0112B237" w14:textId="77777777" w:rsidR="00E41A2E" w:rsidRDefault="00000000">
      <w:pPr>
        <w:pStyle w:val="ListParagraph"/>
        <w:numPr>
          <w:ilvl w:val="0"/>
          <w:numId w:val="2"/>
        </w:numPr>
        <w:spacing w:after="100"/>
      </w:pPr>
      <w:hyperlink r:id="rId94" w:anchor="page=15" w:history="1">
        <w:r>
          <w:rPr>
            <w:rStyle w:val="Hyperlink"/>
          </w:rPr>
          <w:t>Guidelines on the application of Article 102 TFEU to abusive exclusionary conduct by dominant undertakings (C(2026) 6118 final, 3 September 2026), p. 15</w:t>
        </w:r>
      </w:hyperlink>
    </w:p>
    <w:p w14:paraId="454B87D3" w14:textId="77777777" w:rsidR="00E41A2E" w:rsidRDefault="00000000">
      <w:pPr>
        <w:pStyle w:val="ListParagraph"/>
        <w:numPr>
          <w:ilvl w:val="0"/>
          <w:numId w:val="2"/>
        </w:numPr>
        <w:spacing w:after="100"/>
      </w:pPr>
      <w:hyperlink r:id="rId95" w:history="1">
        <w:r>
          <w:rPr>
            <w:rStyle w:val="Hyperlink"/>
          </w:rPr>
          <w:t>European Commission Adopts Guidelines on Exclusionary ...</w:t>
        </w:r>
      </w:hyperlink>
    </w:p>
    <w:p w14:paraId="7DA68B0F" w14:textId="77777777" w:rsidR="00E41A2E" w:rsidRDefault="00000000">
      <w:pPr>
        <w:pStyle w:val="ListParagraph"/>
        <w:numPr>
          <w:ilvl w:val="0"/>
          <w:numId w:val="2"/>
        </w:numPr>
        <w:spacing w:after="100"/>
      </w:pPr>
      <w:hyperlink r:id="rId96" w:history="1">
        <w:r>
          <w:rPr>
            <w:rStyle w:val="Hyperlink"/>
          </w:rPr>
          <w:t>Competition policy | Fact Sheets on the European Union ...</w:t>
        </w:r>
      </w:hyperlink>
    </w:p>
    <w:p w14:paraId="7931A8D8" w14:textId="77777777" w:rsidR="00E41A2E" w:rsidRDefault="00000000">
      <w:pPr>
        <w:pStyle w:val="ListParagraph"/>
        <w:numPr>
          <w:ilvl w:val="0"/>
          <w:numId w:val="2"/>
        </w:numPr>
        <w:spacing w:after="100"/>
      </w:pPr>
      <w:hyperlink r:id="rId97" w:anchor="page=7" w:history="1">
        <w:r>
          <w:rPr>
            <w:rStyle w:val="Hyperlink"/>
          </w:rPr>
          <w:t>Commission Notice on the definition of the relevant market for the purposes of Union competition law (C/2024/1645), p. 7</w:t>
        </w:r>
      </w:hyperlink>
    </w:p>
    <w:p w14:paraId="012763FA" w14:textId="77777777" w:rsidR="00E41A2E" w:rsidRDefault="00000000">
      <w:pPr>
        <w:pStyle w:val="ListParagraph"/>
        <w:numPr>
          <w:ilvl w:val="0"/>
          <w:numId w:val="2"/>
        </w:numPr>
        <w:spacing w:after="100"/>
      </w:pPr>
      <w:hyperlink r:id="rId98" w:anchor="page=30" w:history="1">
        <w:r>
          <w:rPr>
            <w:rStyle w:val="Hyperlink"/>
          </w:rPr>
          <w:t>Commission Notice on the definition of the relevant market for the purposes of Union competition law (C/2024/1645), p. 30</w:t>
        </w:r>
      </w:hyperlink>
    </w:p>
    <w:p w14:paraId="5F332AE3" w14:textId="77777777" w:rsidR="00E41A2E" w:rsidRDefault="00000000">
      <w:pPr>
        <w:pStyle w:val="ListParagraph"/>
        <w:numPr>
          <w:ilvl w:val="0"/>
          <w:numId w:val="2"/>
        </w:numPr>
        <w:spacing w:after="100"/>
      </w:pPr>
      <w:hyperlink r:id="rId99" w:anchor="page=31" w:history="1">
        <w:r>
          <w:rPr>
            <w:rStyle w:val="Hyperlink"/>
          </w:rPr>
          <w:t>Commission Notice on the definition of the relevant market for the purposes of Union competition law (C/2024/1645), p. 31</w:t>
        </w:r>
      </w:hyperlink>
    </w:p>
    <w:p w14:paraId="490121BA" w14:textId="77777777" w:rsidR="00E41A2E" w:rsidRDefault="00000000">
      <w:pPr>
        <w:pStyle w:val="ListParagraph"/>
        <w:numPr>
          <w:ilvl w:val="0"/>
          <w:numId w:val="2"/>
        </w:numPr>
        <w:spacing w:after="100"/>
      </w:pPr>
      <w:hyperlink r:id="rId100" w:anchor="page=32" w:history="1">
        <w:r>
          <w:rPr>
            <w:rStyle w:val="Hyperlink"/>
          </w:rPr>
          <w:t>Commission Notice on the definition of the relevant market for the purposes of Union competition law (C/2024/1645), p. 32</w:t>
        </w:r>
      </w:hyperlink>
    </w:p>
    <w:p w14:paraId="4B77CB04" w14:textId="77777777" w:rsidR="00E41A2E" w:rsidRDefault="00000000">
      <w:pPr>
        <w:pStyle w:val="ListParagraph"/>
        <w:numPr>
          <w:ilvl w:val="0"/>
          <w:numId w:val="2"/>
        </w:numPr>
        <w:spacing w:after="100"/>
      </w:pPr>
      <w:hyperlink r:id="rId101" w:anchor="page=5" w:history="1">
        <w:r>
          <w:rPr>
            <w:rStyle w:val="Hyperlink"/>
          </w:rPr>
          <w:t>Commission Notice on the definition of the relevant market for the purposes of Union competition law (C/2024/1645), p. 5</w:t>
        </w:r>
      </w:hyperlink>
    </w:p>
    <w:p w14:paraId="4DB42840" w14:textId="77777777" w:rsidR="00E41A2E" w:rsidRDefault="00000000">
      <w:pPr>
        <w:pStyle w:val="ListParagraph"/>
        <w:numPr>
          <w:ilvl w:val="0"/>
          <w:numId w:val="2"/>
        </w:numPr>
        <w:spacing w:after="100"/>
      </w:pPr>
      <w:hyperlink r:id="rId102" w:anchor="page=22" w:history="1">
        <w:r>
          <w:rPr>
            <w:rStyle w:val="Hyperlink"/>
          </w:rPr>
          <w:t>Commission Notice on the definition of the relevant market for the purposes of Union competition law (C/2024/1645), p. 22</w:t>
        </w:r>
      </w:hyperlink>
    </w:p>
    <w:p w14:paraId="13790A40" w14:textId="77777777" w:rsidR="00E41A2E" w:rsidRDefault="00000000">
      <w:pPr>
        <w:pStyle w:val="ListParagraph"/>
        <w:numPr>
          <w:ilvl w:val="0"/>
          <w:numId w:val="2"/>
        </w:numPr>
        <w:spacing w:after="100"/>
      </w:pPr>
      <w:hyperlink r:id="rId103" w:anchor="page=13" w:history="1">
        <w:r>
          <w:rPr>
            <w:rStyle w:val="Hyperlink"/>
          </w:rPr>
          <w:t>Commission Notice on the definition of the relevant market for the purposes of Union competition law (C/2024/1645), p. 13</w:t>
        </w:r>
      </w:hyperlink>
    </w:p>
    <w:p w14:paraId="258AFB6A" w14:textId="77777777" w:rsidR="00E41A2E" w:rsidRDefault="00000000">
      <w:pPr>
        <w:pStyle w:val="ListParagraph"/>
        <w:numPr>
          <w:ilvl w:val="0"/>
          <w:numId w:val="2"/>
        </w:numPr>
        <w:spacing w:after="100"/>
      </w:pPr>
      <w:hyperlink r:id="rId104" w:anchor="page=23" w:history="1">
        <w:r>
          <w:rPr>
            <w:rStyle w:val="Hyperlink"/>
          </w:rPr>
          <w:t>Commission Notice on the definition of the relevant market for the purposes of Union competition law (C/2024/1645), p. 23</w:t>
        </w:r>
      </w:hyperlink>
    </w:p>
    <w:p w14:paraId="5FDBD3E5" w14:textId="77777777" w:rsidR="00E41A2E" w:rsidRDefault="00000000">
      <w:pPr>
        <w:pStyle w:val="ListParagraph"/>
        <w:numPr>
          <w:ilvl w:val="0"/>
          <w:numId w:val="2"/>
        </w:numPr>
        <w:spacing w:after="100"/>
      </w:pPr>
      <w:hyperlink r:id="rId105" w:history="1">
        <w:r>
          <w:rPr>
            <w:rStyle w:val="Hyperlink"/>
          </w:rPr>
          <w:t>Europemballage and Continental Can v Commission (C-6/72</w:t>
        </w:r>
      </w:hyperlink>
    </w:p>
    <w:p w14:paraId="0F5CCF7C" w14:textId="77777777" w:rsidR="00E41A2E" w:rsidRDefault="00000000">
      <w:pPr>
        <w:pStyle w:val="ListParagraph"/>
        <w:numPr>
          <w:ilvl w:val="0"/>
          <w:numId w:val="2"/>
        </w:numPr>
        <w:spacing w:after="100"/>
      </w:pPr>
      <w:hyperlink r:id="rId106" w:history="1">
        <w:r>
          <w:rPr>
            <w:rStyle w:val="Hyperlink"/>
          </w:rPr>
          <w:t>Microsoft v Commission (T-201/04</w:t>
        </w:r>
      </w:hyperlink>
    </w:p>
    <w:p w14:paraId="769092F9" w14:textId="77777777" w:rsidR="00E41A2E" w:rsidRDefault="00000000">
      <w:pPr>
        <w:pStyle w:val="ListParagraph"/>
        <w:numPr>
          <w:ilvl w:val="0"/>
          <w:numId w:val="2"/>
        </w:numPr>
        <w:spacing w:after="100"/>
      </w:pPr>
      <w:hyperlink r:id="rId107" w:anchor="page=54" w:history="1">
        <w:r>
          <w:rPr>
            <w:rStyle w:val="Hyperlink"/>
          </w:rPr>
          <w:t>Guidelines on the application of Article 102 TFEU to abusive exclusionary conduct by dominant undertakings (C(2026) 6118 final, 3 September 2026), p. 54</w:t>
        </w:r>
      </w:hyperlink>
    </w:p>
    <w:p w14:paraId="23634CE0" w14:textId="77777777" w:rsidR="00E41A2E" w:rsidRDefault="00000000">
      <w:pPr>
        <w:pStyle w:val="ListParagraph"/>
        <w:numPr>
          <w:ilvl w:val="0"/>
          <w:numId w:val="2"/>
        </w:numPr>
        <w:spacing w:after="100"/>
      </w:pPr>
      <w:hyperlink r:id="rId108" w:anchor="page=14" w:history="1">
        <w:r>
          <w:rPr>
            <w:rStyle w:val="Hyperlink"/>
          </w:rPr>
          <w:t>Guidelines on the application of Article 102 TFEU to abusive exclusionary conduct by dominant undertakings (C(2026) 6118 final, 3 September 2026), p. 14</w:t>
        </w:r>
      </w:hyperlink>
    </w:p>
    <w:p w14:paraId="3388EEF0" w14:textId="77777777" w:rsidR="00E41A2E" w:rsidRDefault="00000000">
      <w:pPr>
        <w:pStyle w:val="ListParagraph"/>
        <w:numPr>
          <w:ilvl w:val="0"/>
          <w:numId w:val="2"/>
        </w:numPr>
        <w:spacing w:after="100"/>
      </w:pPr>
      <w:hyperlink r:id="rId109" w:history="1">
        <w:r>
          <w:rPr>
            <w:rStyle w:val="Hyperlink"/>
          </w:rPr>
          <w:t>C-85/76</w:t>
        </w:r>
      </w:hyperlink>
    </w:p>
    <w:p w14:paraId="2743448E" w14:textId="77777777" w:rsidR="00E41A2E" w:rsidRDefault="00000000">
      <w:pPr>
        <w:pStyle w:val="ListParagraph"/>
        <w:numPr>
          <w:ilvl w:val="0"/>
          <w:numId w:val="2"/>
        </w:numPr>
        <w:spacing w:after="100"/>
      </w:pPr>
      <w:hyperlink r:id="rId110" w:history="1">
        <w:r>
          <w:rPr>
            <w:rStyle w:val="Hyperlink"/>
          </w:rPr>
          <w:t>C-62/86</w:t>
        </w:r>
      </w:hyperlink>
    </w:p>
    <w:p w14:paraId="5AA9CD7B" w14:textId="77777777" w:rsidR="00E41A2E" w:rsidRDefault="00000000">
      <w:pPr>
        <w:pStyle w:val="ListParagraph"/>
        <w:numPr>
          <w:ilvl w:val="0"/>
          <w:numId w:val="2"/>
        </w:numPr>
        <w:spacing w:after="100"/>
      </w:pPr>
      <w:hyperlink r:id="rId111" w:history="1">
        <w:r>
          <w:rPr>
            <w:rStyle w:val="Hyperlink"/>
          </w:rPr>
          <w:t>AT.39985 Motorola</w:t>
        </w:r>
      </w:hyperlink>
    </w:p>
    <w:p w14:paraId="3F3CD5FA" w14:textId="77777777" w:rsidR="00E41A2E" w:rsidRDefault="00000000">
      <w:pPr>
        <w:pStyle w:val="ListParagraph"/>
        <w:numPr>
          <w:ilvl w:val="0"/>
          <w:numId w:val="2"/>
        </w:numPr>
        <w:spacing w:after="100"/>
      </w:pPr>
      <w:hyperlink r:id="rId112" w:history="1">
        <w:r>
          <w:rPr>
            <w:rStyle w:val="Hyperlink"/>
          </w:rPr>
          <w:t>AT.39939 Samsung</w:t>
        </w:r>
      </w:hyperlink>
    </w:p>
    <w:p w14:paraId="1BE9C00C" w14:textId="77777777" w:rsidR="00E41A2E" w:rsidRDefault="00000000">
      <w:pPr>
        <w:pStyle w:val="ListParagraph"/>
        <w:numPr>
          <w:ilvl w:val="0"/>
          <w:numId w:val="2"/>
        </w:numPr>
        <w:spacing w:after="100"/>
      </w:pPr>
      <w:hyperlink r:id="rId113" w:anchor="page=34" w:history="1">
        <w:r>
          <w:rPr>
            <w:rStyle w:val="Hyperlink"/>
          </w:rPr>
          <w:t>Guidelines on the application of Article 102 TFEU to abusive exclusionary conduct by dominant undertakings (C(2026) 6118 final, 3 September 2026), p. 34</w:t>
        </w:r>
      </w:hyperlink>
    </w:p>
    <w:p w14:paraId="7179593C" w14:textId="77777777" w:rsidR="00E41A2E" w:rsidRDefault="00000000">
      <w:pPr>
        <w:pStyle w:val="ListParagraph"/>
        <w:numPr>
          <w:ilvl w:val="0"/>
          <w:numId w:val="2"/>
        </w:numPr>
        <w:spacing w:after="100"/>
      </w:pPr>
      <w:hyperlink r:id="rId114" w:anchor="page=35" w:history="1">
        <w:r>
          <w:rPr>
            <w:rStyle w:val="Hyperlink"/>
          </w:rPr>
          <w:t>Guidelines on the application of Article 102 TFEU to abusive exclusionary conduct by dominant undertakings (C(2026) 6118 final, 3 September 2026), p. 35</w:t>
        </w:r>
      </w:hyperlink>
    </w:p>
    <w:p w14:paraId="57613A92" w14:textId="77777777" w:rsidR="00E41A2E" w:rsidRDefault="00000000">
      <w:pPr>
        <w:pStyle w:val="ListParagraph"/>
        <w:numPr>
          <w:ilvl w:val="0"/>
          <w:numId w:val="2"/>
        </w:numPr>
        <w:spacing w:after="100"/>
      </w:pPr>
      <w:hyperlink r:id="rId115" w:anchor="page=9" w:history="1">
        <w:r>
          <w:rPr>
            <w:rStyle w:val="Hyperlink"/>
          </w:rPr>
          <w:t>page 9</w:t>
        </w:r>
      </w:hyperlink>
    </w:p>
    <w:p w14:paraId="4810E2E8" w14:textId="77777777" w:rsidR="00E41A2E" w:rsidRDefault="00000000">
      <w:pPr>
        <w:pStyle w:val="ListParagraph"/>
        <w:numPr>
          <w:ilvl w:val="0"/>
          <w:numId w:val="2"/>
        </w:numPr>
        <w:spacing w:after="100"/>
      </w:pPr>
      <w:hyperlink r:id="rId116" w:history="1">
        <w:r>
          <w:rPr>
            <w:rStyle w:val="Hyperlink"/>
          </w:rPr>
          <w:t>AT.39711 Qualcomm (Predation</w:t>
        </w:r>
      </w:hyperlink>
    </w:p>
    <w:p w14:paraId="4ADDBF63" w14:textId="77777777" w:rsidR="00E41A2E" w:rsidRDefault="00000000">
      <w:pPr>
        <w:pStyle w:val="ListParagraph"/>
        <w:numPr>
          <w:ilvl w:val="0"/>
          <w:numId w:val="2"/>
        </w:numPr>
        <w:spacing w:after="100"/>
      </w:pPr>
      <w:hyperlink r:id="rId117" w:anchor="page=356" w:history="1">
        <w:r>
          <w:rPr>
            <w:rStyle w:val="Hyperlink"/>
          </w:rPr>
          <w:t>page 356</w:t>
        </w:r>
      </w:hyperlink>
    </w:p>
    <w:p w14:paraId="38042264" w14:textId="77777777" w:rsidR="00E41A2E" w:rsidRDefault="00000000">
      <w:pPr>
        <w:pStyle w:val="ListParagraph"/>
        <w:numPr>
          <w:ilvl w:val="0"/>
          <w:numId w:val="2"/>
        </w:numPr>
        <w:spacing w:after="100"/>
      </w:pPr>
      <w:hyperlink r:id="rId118" w:anchor="page=60" w:history="1">
        <w:r>
          <w:rPr>
            <w:rStyle w:val="Hyperlink"/>
          </w:rPr>
          <w:t>page 60</w:t>
        </w:r>
      </w:hyperlink>
    </w:p>
    <w:p w14:paraId="11A81F9C" w14:textId="77777777" w:rsidR="00E41A2E" w:rsidRDefault="00000000">
      <w:pPr>
        <w:pStyle w:val="ListParagraph"/>
        <w:numPr>
          <w:ilvl w:val="0"/>
          <w:numId w:val="2"/>
        </w:numPr>
        <w:spacing w:after="100"/>
      </w:pPr>
      <w:hyperlink r:id="rId119" w:history="1">
        <w:r>
          <w:rPr>
            <w:rStyle w:val="Hyperlink"/>
          </w:rPr>
          <w:t>Google - Adtech and Data-related practices</w:t>
        </w:r>
      </w:hyperlink>
    </w:p>
    <w:p w14:paraId="79D16FDF" w14:textId="77777777" w:rsidR="00E41A2E" w:rsidRDefault="00000000">
      <w:pPr>
        <w:pStyle w:val="ListParagraph"/>
        <w:numPr>
          <w:ilvl w:val="0"/>
          <w:numId w:val="2"/>
        </w:numPr>
        <w:spacing w:after="100"/>
      </w:pPr>
      <w:hyperlink r:id="rId120" w:history="1">
        <w:r>
          <w:rPr>
            <w:rStyle w:val="Hyperlink"/>
          </w:rPr>
          <w:t>Microsoft Teams</w:t>
        </w:r>
      </w:hyperlink>
    </w:p>
    <w:p w14:paraId="72BDB3CC" w14:textId="77777777" w:rsidR="00E41A2E" w:rsidRDefault="00000000">
      <w:pPr>
        <w:pStyle w:val="ListParagraph"/>
        <w:numPr>
          <w:ilvl w:val="0"/>
          <w:numId w:val="2"/>
        </w:numPr>
        <w:spacing w:after="100"/>
      </w:pPr>
      <w:hyperlink r:id="rId121" w:history="1">
        <w:r>
          <w:rPr>
            <w:rStyle w:val="Hyperlink"/>
          </w:rPr>
          <w:t>Apple - App Store Practices (music streaming</w:t>
        </w:r>
      </w:hyperlink>
    </w:p>
    <w:sectPr w:rsidR="00E41A2E">
      <w:headerReference w:type="default" r:id="rId122"/>
      <w:footerReference w:type="default" r:id="rId123"/>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256D" w14:textId="77777777" w:rsidR="00524810" w:rsidRDefault="00524810">
      <w:r>
        <w:separator/>
      </w:r>
    </w:p>
  </w:endnote>
  <w:endnote w:type="continuationSeparator" w:id="0">
    <w:p w14:paraId="037AFB9A" w14:textId="77777777" w:rsidR="00524810" w:rsidRDefault="0052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92D1" w14:textId="77777777" w:rsidR="00E41A2E"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B08C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C7C2F" w14:textId="77777777" w:rsidR="00524810" w:rsidRDefault="00524810">
      <w:r>
        <w:separator/>
      </w:r>
    </w:p>
  </w:footnote>
  <w:footnote w:type="continuationSeparator" w:id="0">
    <w:p w14:paraId="50C2B989" w14:textId="77777777" w:rsidR="00524810" w:rsidRDefault="0052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C343" w14:textId="77777777" w:rsidR="00E41A2E"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ED4"/>
    <w:multiLevelType w:val="hybridMultilevel"/>
    <w:tmpl w:val="37BEC432"/>
    <w:lvl w:ilvl="0" w:tplc="6C1CF106">
      <w:start w:val="1"/>
      <w:numFmt w:val="decimal"/>
      <w:lvlText w:val="[%1]"/>
      <w:lvlJc w:val="left"/>
      <w:pPr>
        <w:ind w:left="450" w:hanging="300"/>
      </w:pPr>
    </w:lvl>
    <w:lvl w:ilvl="1" w:tplc="25209154">
      <w:numFmt w:val="decimal"/>
      <w:lvlText w:val=""/>
      <w:lvlJc w:val="left"/>
    </w:lvl>
    <w:lvl w:ilvl="2" w:tplc="B8A638EA">
      <w:numFmt w:val="decimal"/>
      <w:lvlText w:val=""/>
      <w:lvlJc w:val="left"/>
    </w:lvl>
    <w:lvl w:ilvl="3" w:tplc="D7383E40">
      <w:numFmt w:val="decimal"/>
      <w:lvlText w:val=""/>
      <w:lvlJc w:val="left"/>
    </w:lvl>
    <w:lvl w:ilvl="4" w:tplc="6B483914">
      <w:numFmt w:val="decimal"/>
      <w:lvlText w:val=""/>
      <w:lvlJc w:val="left"/>
    </w:lvl>
    <w:lvl w:ilvl="5" w:tplc="06A65DFC">
      <w:numFmt w:val="decimal"/>
      <w:lvlText w:val=""/>
      <w:lvlJc w:val="left"/>
    </w:lvl>
    <w:lvl w:ilvl="6" w:tplc="1D826364">
      <w:numFmt w:val="decimal"/>
      <w:lvlText w:val=""/>
      <w:lvlJc w:val="left"/>
    </w:lvl>
    <w:lvl w:ilvl="7" w:tplc="4C364988">
      <w:numFmt w:val="decimal"/>
      <w:lvlText w:val=""/>
      <w:lvlJc w:val="left"/>
    </w:lvl>
    <w:lvl w:ilvl="8" w:tplc="78AA8F72">
      <w:numFmt w:val="decimal"/>
      <w:lvlText w:val=""/>
      <w:lvlJc w:val="left"/>
    </w:lvl>
  </w:abstractNum>
  <w:abstractNum w:abstractNumId="1" w15:restartNumberingAfterBreak="0">
    <w:nsid w:val="5F8A018B"/>
    <w:multiLevelType w:val="hybridMultilevel"/>
    <w:tmpl w:val="A0D48BB8"/>
    <w:lvl w:ilvl="0" w:tplc="758CEA70">
      <w:start w:val="1"/>
      <w:numFmt w:val="bullet"/>
      <w:lvlText w:val="●"/>
      <w:lvlJc w:val="left"/>
      <w:pPr>
        <w:ind w:left="720" w:hanging="360"/>
      </w:pPr>
    </w:lvl>
    <w:lvl w:ilvl="1" w:tplc="7A3485BA">
      <w:start w:val="1"/>
      <w:numFmt w:val="bullet"/>
      <w:lvlText w:val="○"/>
      <w:lvlJc w:val="left"/>
      <w:pPr>
        <w:ind w:left="1440" w:hanging="360"/>
      </w:pPr>
    </w:lvl>
    <w:lvl w:ilvl="2" w:tplc="D25EE8D6">
      <w:start w:val="1"/>
      <w:numFmt w:val="bullet"/>
      <w:lvlText w:val="■"/>
      <w:lvlJc w:val="left"/>
      <w:pPr>
        <w:ind w:left="2160" w:hanging="360"/>
      </w:pPr>
    </w:lvl>
    <w:lvl w:ilvl="3" w:tplc="DF347D48">
      <w:start w:val="1"/>
      <w:numFmt w:val="bullet"/>
      <w:lvlText w:val="●"/>
      <w:lvlJc w:val="left"/>
      <w:pPr>
        <w:ind w:left="2880" w:hanging="360"/>
      </w:pPr>
    </w:lvl>
    <w:lvl w:ilvl="4" w:tplc="BD8EA476">
      <w:start w:val="1"/>
      <w:numFmt w:val="bullet"/>
      <w:lvlText w:val="○"/>
      <w:lvlJc w:val="left"/>
      <w:pPr>
        <w:ind w:left="3600" w:hanging="360"/>
      </w:pPr>
    </w:lvl>
    <w:lvl w:ilvl="5" w:tplc="B5E000DA">
      <w:start w:val="1"/>
      <w:numFmt w:val="bullet"/>
      <w:lvlText w:val="■"/>
      <w:lvlJc w:val="left"/>
      <w:pPr>
        <w:ind w:left="4320" w:hanging="360"/>
      </w:pPr>
    </w:lvl>
    <w:lvl w:ilvl="6" w:tplc="F7F40F12">
      <w:start w:val="1"/>
      <w:numFmt w:val="bullet"/>
      <w:lvlText w:val="●"/>
      <w:lvlJc w:val="left"/>
      <w:pPr>
        <w:ind w:left="5040" w:hanging="360"/>
      </w:pPr>
    </w:lvl>
    <w:lvl w:ilvl="7" w:tplc="ABF8DCD4">
      <w:start w:val="1"/>
      <w:numFmt w:val="bullet"/>
      <w:lvlText w:val="●"/>
      <w:lvlJc w:val="left"/>
      <w:pPr>
        <w:ind w:left="5760" w:hanging="360"/>
      </w:pPr>
    </w:lvl>
    <w:lvl w:ilvl="8" w:tplc="4C966B62">
      <w:start w:val="1"/>
      <w:numFmt w:val="bullet"/>
      <w:lvlText w:val="●"/>
      <w:lvlJc w:val="left"/>
      <w:pPr>
        <w:ind w:left="6480" w:hanging="360"/>
      </w:pPr>
    </w:lvl>
  </w:abstractNum>
  <w:num w:numId="1" w16cid:durableId="273295174">
    <w:abstractNumId w:val="1"/>
    <w:lvlOverride w:ilvl="0">
      <w:startOverride w:val="1"/>
    </w:lvlOverride>
  </w:num>
  <w:num w:numId="2" w16cid:durableId="1693338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A2E"/>
    <w:rsid w:val="001B08C5"/>
    <w:rsid w:val="00524810"/>
    <w:rsid w:val="00B43875"/>
    <w:rsid w:val="00E41A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D71E"/>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ur-lex.europa.eu/legal-content/EN/TXT/PDF/?uri=OJ:C_202401645" TargetMode="External"/><Relationship Id="rId117" Type="http://schemas.openxmlformats.org/officeDocument/2006/relationships/hyperlink" Target="https://ec.europa.eu/competition/antitrust/cases/dec_docs/39711/39711_4493_4.pdf" TargetMode="External"/><Relationship Id="rId21" Type="http://schemas.openxmlformats.org/officeDocument/2006/relationships/hyperlink" Target="https://eur-lex.europa.eu/legal-content/EN/TXT/PDF/?uri=OJ:C_202401645" TargetMode="External"/><Relationship Id="rId42" Type="http://schemas.openxmlformats.org/officeDocument/2006/relationships/hyperlink" Target="https://competition-policy.ec.europa.eu/document/download/ac0e592e-2c8e-4a45-aae5-d82e7327b022_en?filename=Guidelines_on_exclusionary_abuses_of_dominance_102TFEU.pdf" TargetMode="External"/><Relationship Id="rId47" Type="http://schemas.openxmlformats.org/officeDocument/2006/relationships/hyperlink" Target="https://competition-policy.ec.europa.eu/document/download/ac0e592e-2c8e-4a45-aae5-d82e7327b022_en?filename=Guidelines_on_exclusionary_abuses_of_dominance_102TFEU.pdf" TargetMode="External"/><Relationship Id="rId63" Type="http://schemas.openxmlformats.org/officeDocument/2006/relationships/hyperlink" Target="https://ec.europa.eu/competition/antitrust/cases/dec_docs/39711/39711_4493_4.pdf" TargetMode="External"/><Relationship Id="rId68" Type="http://schemas.openxmlformats.org/officeDocument/2006/relationships/hyperlink" Target="https://competition-policy.ec.europa.eu/document/download/ac0e592e-2c8e-4a45-aae5-d82e7327b022_en?filename=Guidelines_on_exclusionary_abuses_of_dominance_102TFEU.pdf" TargetMode="External"/><Relationship Id="rId84" Type="http://schemas.openxmlformats.org/officeDocument/2006/relationships/hyperlink" Target="https://eur-lex.europa.eu/legal-content/EN/TXT/PDF/?uri=OJ:C_202401645" TargetMode="External"/><Relationship Id="rId89" Type="http://schemas.openxmlformats.org/officeDocument/2006/relationships/hyperlink" Target="https://eur-lex.europa.eu/legal-content/EN/TXT/PDF/?uri=OJ:C_202401645" TargetMode="External"/><Relationship Id="rId112" Type="http://schemas.openxmlformats.org/officeDocument/2006/relationships/hyperlink" Target="https://ec.europa.eu/competition/antitrust/cases/dec_docs/39939/39939_1501_5.pdf" TargetMode="External"/><Relationship Id="rId16" Type="http://schemas.openxmlformats.org/officeDocument/2006/relationships/hyperlink" Target="https://eur-lex.europa.eu/legal-content/EN/TXT/PDF/?uri=OJ:C_202401645" TargetMode="External"/><Relationship Id="rId107" Type="http://schemas.openxmlformats.org/officeDocument/2006/relationships/hyperlink" Target="https://competition-policy.ec.europa.eu/document/download/ac0e592e-2c8e-4a45-aae5-d82e7327b022_en?filename=Guidelines_on_exclusionary_abuses_of_dominance_102TFEU.pdf" TargetMode="External"/><Relationship Id="rId11" Type="http://schemas.openxmlformats.org/officeDocument/2006/relationships/hyperlink" Target="https://competition-policy.ec.europa.eu/document/download/ac0e592e-2c8e-4a45-aae5-d82e7327b022_en?filename=Guidelines_on_exclusionary_abuses_of_dominance_102TFEU.pdf" TargetMode="External"/><Relationship Id="rId32" Type="http://schemas.openxmlformats.org/officeDocument/2006/relationships/hyperlink" Target="https://competition-policy.ec.europa.eu/document/download/ac0e592e-2c8e-4a45-aae5-d82e7327b022_en?filename=Guidelines_on_exclusionary_abuses_of_dominance_102TFEU.pdf" TargetMode="External"/><Relationship Id="rId37" Type="http://schemas.openxmlformats.org/officeDocument/2006/relationships/hyperlink" Target="https://competition-policy.ec.europa.eu/document/download/ac0e592e-2c8e-4a45-aae5-d82e7327b022_en?filename=Guidelines_on_exclusionary_abuses_of_dominance_102TFEU.pdf" TargetMode="External"/><Relationship Id="rId53" Type="http://schemas.openxmlformats.org/officeDocument/2006/relationships/hyperlink" Target="https://competition-policy.ec.europa.eu/document/download/ac0e592e-2c8e-4a45-aae5-d82e7327b022_en?filename=Guidelines_on_exclusionary_abuses_of_dominance_102TFEU.pdf" TargetMode="External"/><Relationship Id="rId58" Type="http://schemas.openxmlformats.org/officeDocument/2006/relationships/hyperlink" Target="https://ec.europa.eu/competition/antitrust/cases/dec_docs/39985/39985_928_16.pdf" TargetMode="External"/><Relationship Id="rId74" Type="http://schemas.openxmlformats.org/officeDocument/2006/relationships/hyperlink" Target="https://www.lw.com/admin/upload/SiteAttachments/European-Commission-Adopts-Guidelines-on-Exclusionary-Conduct-by-Dominant-Firms.pdf" TargetMode="External"/><Relationship Id="rId79" Type="http://schemas.openxmlformats.org/officeDocument/2006/relationships/hyperlink" Target="https://competition-policy.ec.europa.eu/document/download/ac0e592e-2c8e-4a45-aae5-d82e7327b022_en?filename=Guidelines_on_exclusionary_abuses_of_dominance_102TFEU.pdf" TargetMode="External"/><Relationship Id="rId102" Type="http://schemas.openxmlformats.org/officeDocument/2006/relationships/hyperlink" Target="https://eur-lex.europa.eu/legal-content/EN/TXT/PDF/?uri=OJ:C_202401645" TargetMode="External"/><Relationship Id="rId123"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competition-policy.ec.europa.eu/document/download/ac0e592e-2c8e-4a45-aae5-d82e7327b022_en?filename=Guidelines_on_exclusionary_abuses_of_dominance_102TFEU.pdf" TargetMode="External"/><Relationship Id="rId95" Type="http://schemas.openxmlformats.org/officeDocument/2006/relationships/hyperlink" Target="https://www.lw.com/admin/upload/SiteAttachments/European-Commission-Adopts-Guidelines-on-Exclusionary-Conduct-by-Dominant-Firms.pdf" TargetMode="External"/><Relationship Id="rId22" Type="http://schemas.openxmlformats.org/officeDocument/2006/relationships/hyperlink" Target="https://eur-lex.europa.eu/legal-content/EN/TXT/PDF/?uri=OJ:C_202401645" TargetMode="External"/><Relationship Id="rId27" Type="http://schemas.openxmlformats.org/officeDocument/2006/relationships/hyperlink" Target="https://curia.europa.eu/juris/liste.jsf?num=T-201/04&amp;language=en" TargetMode="External"/><Relationship Id="rId43" Type="http://schemas.openxmlformats.org/officeDocument/2006/relationships/hyperlink" Target="https://competition-policy.ec.europa.eu/document/download/ac0e592e-2c8e-4a45-aae5-d82e7327b022_en?filename=Guidelines_on_exclusionary_abuses_of_dominance_102TFEU.pdf" TargetMode="External"/><Relationship Id="rId48" Type="http://schemas.openxmlformats.org/officeDocument/2006/relationships/hyperlink" Target="https://ec.europa.eu/competition/antitrust/cases/dec_docs/39939/39939_1501_5.pdf" TargetMode="External"/><Relationship Id="rId64" Type="http://schemas.openxmlformats.org/officeDocument/2006/relationships/hyperlink" Target="https://ec.europa.eu/competition/antitrust/cases/dec_docs/39711/39711_4493_4.pdf" TargetMode="External"/><Relationship Id="rId69" Type="http://schemas.openxmlformats.org/officeDocument/2006/relationships/hyperlink" Target="https://competition-policy.ec.europa.eu/document/download/ac0e592e-2c8e-4a45-aae5-d82e7327b022_en?filename=Guidelines_on_exclusionary_abuses_of_dominance_102TFEU.pdf" TargetMode="External"/><Relationship Id="rId113" Type="http://schemas.openxmlformats.org/officeDocument/2006/relationships/hyperlink" Target="https://competition-policy.ec.europa.eu/document/download/ac0e592e-2c8e-4a45-aae5-d82e7327b022_en?filename=Guidelines_on_exclusionary_abuses_of_dominance_102TFEU.pdf" TargetMode="External"/><Relationship Id="rId118" Type="http://schemas.openxmlformats.org/officeDocument/2006/relationships/hyperlink" Target="https://ec.europa.eu/competition/antitrust/cases/dec_docs/39711/39711_4493_4.pdf" TargetMode="External"/><Relationship Id="rId80" Type="http://schemas.openxmlformats.org/officeDocument/2006/relationships/hyperlink" Target="https://competition-policy.ec.europa.eu/document/download/ac0e592e-2c8e-4a45-aae5-d82e7327b022_en?filename=Guidelines_on_exclusionary_abuses_of_dominance_102TFEU.pdf" TargetMode="External"/><Relationship Id="rId85" Type="http://schemas.openxmlformats.org/officeDocument/2006/relationships/hyperlink" Target="https://eur-lex.europa.eu/legal-content/EN/TXT/PDF/?uri=OJ:C_202401645" TargetMode="External"/><Relationship Id="rId12" Type="http://schemas.openxmlformats.org/officeDocument/2006/relationships/hyperlink" Target="https://www.lw.com/admin/upload/SiteAttachments/European-Commission-Adopts-Guidelines-on-Exclusionary-Conduct-by-Dominant-Firms.pdf" TargetMode="External"/><Relationship Id="rId17" Type="http://schemas.openxmlformats.org/officeDocument/2006/relationships/hyperlink" Target="https://eur-lex.europa.eu/legal-content/EN/TXT/PDF/?uri=OJ:C_202401645" TargetMode="External"/><Relationship Id="rId33" Type="http://schemas.openxmlformats.org/officeDocument/2006/relationships/hyperlink" Target="https://competition-policy.ec.europa.eu/document/download/ac0e592e-2c8e-4a45-aae5-d82e7327b022_en?filename=Guidelines_on_exclusionary_abuses_of_dominance_102TFEU.pdf" TargetMode="External"/><Relationship Id="rId38" Type="http://schemas.openxmlformats.org/officeDocument/2006/relationships/hyperlink" Target="https://curia.europa.eu/juris/liste.jsf?num=C-62/86&amp;language=en" TargetMode="External"/><Relationship Id="rId59" Type="http://schemas.openxmlformats.org/officeDocument/2006/relationships/hyperlink" Target="https://ec.europa.eu/competition/antitrust/cases/dec_docs/39985/39985_928_16.pdf" TargetMode="External"/><Relationship Id="rId103" Type="http://schemas.openxmlformats.org/officeDocument/2006/relationships/hyperlink" Target="https://eur-lex.europa.eu/legal-content/EN/TXT/PDF/?uri=OJ:C_202401645" TargetMode="External"/><Relationship Id="rId108" Type="http://schemas.openxmlformats.org/officeDocument/2006/relationships/hyperlink" Target="https://competition-policy.ec.europa.eu/document/download/ac0e592e-2c8e-4a45-aae5-d82e7327b022_en?filename=Guidelines_on_exclusionary_abuses_of_dominance_102TFEU.pdf" TargetMode="External"/><Relationship Id="rId124" Type="http://schemas.openxmlformats.org/officeDocument/2006/relationships/fontTable" Target="fontTable.xml"/><Relationship Id="rId54" Type="http://schemas.openxmlformats.org/officeDocument/2006/relationships/hyperlink" Target="https://competition-policy.ec.europa.eu/document/download/ac0e592e-2c8e-4a45-aae5-d82e7327b022_en?filename=Guidelines_on_exclusionary_abuses_of_dominance_102TFEU.pdf" TargetMode="External"/><Relationship Id="rId70" Type="http://schemas.openxmlformats.org/officeDocument/2006/relationships/hyperlink" Target="https://competition-policy.ec.europa.eu/document/download/ac0e592e-2c8e-4a45-aae5-d82e7327b022_en?filename=Guidelines_on_exclusionary_abuses_of_dominance_102TFEU.pdf" TargetMode="External"/><Relationship Id="rId75" Type="http://schemas.openxmlformats.org/officeDocument/2006/relationships/hyperlink" Target="https://eur-lex.europa.eu/legal-content/EN/TXT/PDF/?uri=OJ:C_202401645" TargetMode="External"/><Relationship Id="rId91" Type="http://schemas.openxmlformats.org/officeDocument/2006/relationships/hyperlink" Target="https://competition-policy.ec.europa.eu/document/download/ac0e592e-2c8e-4a45-aae5-d82e7327b022_en?filename=Guidelines_on_exclusionary_abuses_of_dominance_102TFEU.pdf" TargetMode="External"/><Relationship Id="rId96" Type="http://schemas.openxmlformats.org/officeDocument/2006/relationships/hyperlink" Target="https://www.europarl.europa.eu/factsheets/en/sheet/82/competition-policy"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ur-lex.europa.eu/legal-content/EN/TXT/PDF/?uri=OJ:C_202401645" TargetMode="External"/><Relationship Id="rId28" Type="http://schemas.openxmlformats.org/officeDocument/2006/relationships/hyperlink" Target="https://competition-policy.ec.europa.eu/document/download/ac0e592e-2c8e-4a45-aae5-d82e7327b022_en?filename=Guidelines_on_exclusionary_abuses_of_dominance_102TFEU.pdf" TargetMode="External"/><Relationship Id="rId49" Type="http://schemas.openxmlformats.org/officeDocument/2006/relationships/hyperlink" Target="https://competition-policy.ec.europa.eu/document/download/ac0e592e-2c8e-4a45-aae5-d82e7327b022_en?filename=Guidelines_on_exclusionary_abuses_of_dominance_102TFEU.pdf" TargetMode="External"/><Relationship Id="rId114" Type="http://schemas.openxmlformats.org/officeDocument/2006/relationships/hyperlink" Target="https://competition-policy.ec.europa.eu/document/download/ac0e592e-2c8e-4a45-aae5-d82e7327b022_en?filename=Guidelines_on_exclusionary_abuses_of_dominance_102TFEU.pdf" TargetMode="External"/><Relationship Id="rId119" Type="http://schemas.openxmlformats.org/officeDocument/2006/relationships/hyperlink" Target="https://ec.europa.eu/competition/antitrust/cases1/20263/AT_40670_18812.pdf" TargetMode="External"/><Relationship Id="rId44" Type="http://schemas.openxmlformats.org/officeDocument/2006/relationships/hyperlink" Target="https://competition-policy.ec.europa.eu/document/download/ac0e592e-2c8e-4a45-aae5-d82e7327b022_en?filename=Guidelines_on_exclusionary_abuses_of_dominance_102TFEU.pdf" TargetMode="External"/><Relationship Id="rId60" Type="http://schemas.openxmlformats.org/officeDocument/2006/relationships/hyperlink" Target="https://ec.europa.eu/competition/antitrust/cases/dec_docs/39985/39985_928_16.pdf" TargetMode="External"/><Relationship Id="rId65" Type="http://schemas.openxmlformats.org/officeDocument/2006/relationships/hyperlink" Target="https://ec.europa.eu/competition/antitrust/cases1/20263/AT_40670_18812.pdf" TargetMode="External"/><Relationship Id="rId81" Type="http://schemas.openxmlformats.org/officeDocument/2006/relationships/hyperlink" Target="https://competition-policy.ec.europa.eu/document/download/ac0e592e-2c8e-4a45-aae5-d82e7327b022_en?filename=Guidelines_on_exclusionary_abuses_of_dominance_102TFEU.pdf" TargetMode="External"/><Relationship Id="rId86" Type="http://schemas.openxmlformats.org/officeDocument/2006/relationships/hyperlink" Target="https://eur-lex.europa.eu/legal-content/EN/TXT/PDF/?uri=OJ:C_202401645" TargetMode="External"/><Relationship Id="rId13" Type="http://schemas.openxmlformats.org/officeDocument/2006/relationships/hyperlink" Target="https://eur-lex.europa.eu/legal-content/EN/TXT/PDF/?uri=OJ:C_202401645" TargetMode="External"/><Relationship Id="rId18" Type="http://schemas.openxmlformats.org/officeDocument/2006/relationships/hyperlink" Target="https://eur-lex.europa.eu/legal-content/EN/TXT/PDF/?uri=OJ:C_202401645" TargetMode="External"/><Relationship Id="rId39" Type="http://schemas.openxmlformats.org/officeDocument/2006/relationships/hyperlink" Target="https://competition-policy.ec.europa.eu/document/download/ac0e592e-2c8e-4a45-aae5-d82e7327b022_en?filename=Guidelines_on_exclusionary_abuses_of_dominance_102TFEU.pdf" TargetMode="External"/><Relationship Id="rId109" Type="http://schemas.openxmlformats.org/officeDocument/2006/relationships/hyperlink" Target="https://curia.europa.eu/juris/liste.jsf?num=C-85/76&amp;language=en" TargetMode="External"/><Relationship Id="rId34" Type="http://schemas.openxmlformats.org/officeDocument/2006/relationships/hyperlink" Target="https://competition-policy.ec.europa.eu/document/download/ac0e592e-2c8e-4a45-aae5-d82e7327b022_en?filename=Guidelines_on_exclusionary_abuses_of_dominance_102TFEU.pdf" TargetMode="External"/><Relationship Id="rId50" Type="http://schemas.openxmlformats.org/officeDocument/2006/relationships/hyperlink" Target="https://competition-policy.ec.europa.eu/document/download/ac0e592e-2c8e-4a45-aae5-d82e7327b022_en?filename=Guidelines_on_exclusionary_abuses_of_dominance_102TFEU.pdf" TargetMode="External"/><Relationship Id="rId55" Type="http://schemas.openxmlformats.org/officeDocument/2006/relationships/hyperlink" Target="https://competition-policy.ec.europa.eu/document/download/ac0e592e-2c8e-4a45-aae5-d82e7327b022_en?filename=Guidelines_on_exclusionary_abuses_of_dominance_102TFEU.pdf" TargetMode="External"/><Relationship Id="rId76" Type="http://schemas.openxmlformats.org/officeDocument/2006/relationships/hyperlink" Target="https://www.europarl.europa.eu/factsheets/en/sheet/82/competition-policy" TargetMode="External"/><Relationship Id="rId97" Type="http://schemas.openxmlformats.org/officeDocument/2006/relationships/hyperlink" Target="https://eur-lex.europa.eu/legal-content/EN/TXT/PDF/?uri=OJ:C_202401645" TargetMode="External"/><Relationship Id="rId104" Type="http://schemas.openxmlformats.org/officeDocument/2006/relationships/hyperlink" Target="https://eur-lex.europa.eu/legal-content/EN/TXT/PDF/?uri=OJ:C_202401645" TargetMode="External"/><Relationship Id="rId120" Type="http://schemas.openxmlformats.org/officeDocument/2006/relationships/hyperlink" Target="https://ec.europa.eu/competition/antitrust/cases1/202548/AT_40721_7220.pdf" TargetMode="External"/><Relationship Id="rId125" Type="http://schemas.openxmlformats.org/officeDocument/2006/relationships/theme" Target="theme/theme1.xml"/><Relationship Id="rId7" Type="http://schemas.openxmlformats.org/officeDocument/2006/relationships/hyperlink" Target="https://competition-policy.ec.europa.eu/document/download/ac0e592e-2c8e-4a45-aae5-d82e7327b022_en?filename=Guidelines_on_exclusionary_abuses_of_dominance_102TFEU.pdf" TargetMode="External"/><Relationship Id="rId71" Type="http://schemas.openxmlformats.org/officeDocument/2006/relationships/hyperlink" Target="https://competition-policy.ec.europa.eu/document/download/ac0e592e-2c8e-4a45-aae5-d82e7327b022_en?filename=Guidelines_on_exclusionary_abuses_of_dominance_102TFEU.pdf" TargetMode="External"/><Relationship Id="rId92" Type="http://schemas.openxmlformats.org/officeDocument/2006/relationships/hyperlink" Target="https://competition-policy.ec.europa.eu/document/download/ac0e592e-2c8e-4a45-aae5-d82e7327b022_en?filename=Guidelines_on_exclusionary_abuses_of_dominance_102TFEU.pdf" TargetMode="External"/><Relationship Id="rId2" Type="http://schemas.openxmlformats.org/officeDocument/2006/relationships/styles" Target="styles.xml"/><Relationship Id="rId29" Type="http://schemas.openxmlformats.org/officeDocument/2006/relationships/hyperlink" Target="https://competition-policy.ec.europa.eu/document/download/ac0e592e-2c8e-4a45-aae5-d82e7327b022_en?filename=Guidelines_on_exclusionary_abuses_of_dominance_102TFEU.pdf" TargetMode="External"/><Relationship Id="rId24" Type="http://schemas.openxmlformats.org/officeDocument/2006/relationships/hyperlink" Target="https://eur-lex.europa.eu/legal-content/EN/TXT/PDF/?uri=OJ:C_202401645" TargetMode="External"/><Relationship Id="rId40" Type="http://schemas.openxmlformats.org/officeDocument/2006/relationships/hyperlink" Target="https://competition-policy.ec.europa.eu/document/download/ac0e592e-2c8e-4a45-aae5-d82e7327b022_en?filename=Guidelines_on_exclusionary_abuses_of_dominance_102TFEU.pdf" TargetMode="External"/><Relationship Id="rId45" Type="http://schemas.openxmlformats.org/officeDocument/2006/relationships/hyperlink" Target="https://competition-policy.ec.europa.eu/document/download/ac0e592e-2c8e-4a45-aae5-d82e7327b022_en?filename=Guidelines_on_exclusionary_abuses_of_dominance_102TFEU.pdf" TargetMode="External"/><Relationship Id="rId66" Type="http://schemas.openxmlformats.org/officeDocument/2006/relationships/hyperlink" Target="https://ec.europa.eu/competition/antitrust/cases1/202548/AT_40721_7220.pdf" TargetMode="External"/><Relationship Id="rId87" Type="http://schemas.openxmlformats.org/officeDocument/2006/relationships/hyperlink" Target="https://eur-lex.europa.eu/legal-content/EN/TXT/PDF/?uri=OJ:C_202401645" TargetMode="External"/><Relationship Id="rId110" Type="http://schemas.openxmlformats.org/officeDocument/2006/relationships/hyperlink" Target="https://curia.europa.eu/juris/liste.jsf?num=C-62/86&amp;language=en" TargetMode="External"/><Relationship Id="rId115" Type="http://schemas.openxmlformats.org/officeDocument/2006/relationships/hyperlink" Target="https://ec.europa.eu/competition/antitrust/cases/dec_docs/39985/39985_928_16.pdf" TargetMode="External"/><Relationship Id="rId61" Type="http://schemas.openxmlformats.org/officeDocument/2006/relationships/hyperlink" Target="https://ec.europa.eu/competition/antitrust/cases/dec_docs/39711/39711_4493_4.pdf" TargetMode="External"/><Relationship Id="rId82" Type="http://schemas.openxmlformats.org/officeDocument/2006/relationships/hyperlink" Target="https://eur-lex.europa.eu/legal-content/EN/TXT/PDF/?uri=OJ:C_202401645" TargetMode="External"/><Relationship Id="rId19" Type="http://schemas.openxmlformats.org/officeDocument/2006/relationships/hyperlink" Target="https://eur-lex.europa.eu/legal-content/EN/TXT/PDF/?uri=OJ:C_202401645" TargetMode="External"/><Relationship Id="rId14" Type="http://schemas.openxmlformats.org/officeDocument/2006/relationships/hyperlink" Target="https://eur-lex.europa.eu/legal-content/EN/TXT/PDF/?uri=OJ:C_202401645" TargetMode="External"/><Relationship Id="rId30" Type="http://schemas.openxmlformats.org/officeDocument/2006/relationships/hyperlink" Target="https://competition-policy.ec.europa.eu/document/download/ac0e592e-2c8e-4a45-aae5-d82e7327b022_en?filename=Guidelines_on_exclusionary_abuses_of_dominance_102TFEU.pdf" TargetMode="External"/><Relationship Id="rId35" Type="http://schemas.openxmlformats.org/officeDocument/2006/relationships/hyperlink" Target="https://competition-policy.ec.europa.eu/document/download/ac0e592e-2c8e-4a45-aae5-d82e7327b022_en?filename=Guidelines_on_exclusionary_abuses_of_dominance_102TFEU.pdf" TargetMode="External"/><Relationship Id="rId56" Type="http://schemas.openxmlformats.org/officeDocument/2006/relationships/hyperlink" Target="https://competition-policy.ec.europa.eu/document/download/ac0e592e-2c8e-4a45-aae5-d82e7327b022_en?filename=Guidelines_on_exclusionary_abuses_of_dominance_102TFEU.pdf" TargetMode="External"/><Relationship Id="rId77" Type="http://schemas.openxmlformats.org/officeDocument/2006/relationships/hyperlink" Target="https://competition-policy.ec.europa.eu/document/download/ac0e592e-2c8e-4a45-aae5-d82e7327b022_en?filename=Guidelines_on_exclusionary_abuses_of_dominance_102TFEU.pdf" TargetMode="External"/><Relationship Id="rId100" Type="http://schemas.openxmlformats.org/officeDocument/2006/relationships/hyperlink" Target="https://eur-lex.europa.eu/legal-content/EN/TXT/PDF/?uri=OJ:C_202401645" TargetMode="External"/><Relationship Id="rId105" Type="http://schemas.openxmlformats.org/officeDocument/2006/relationships/hyperlink" Target="https://curia.europa.eu/juris/liste.jsf?num=C-6/72&amp;language=en" TargetMode="External"/><Relationship Id="rId8" Type="http://schemas.openxmlformats.org/officeDocument/2006/relationships/hyperlink" Target="https://competition-policy.ec.europa.eu/document/download/ac0e592e-2c8e-4a45-aae5-d82e7327b022_en?filename=Guidelines_on_exclusionary_abuses_of_dominance_102TFEU.pdf" TargetMode="External"/><Relationship Id="rId51" Type="http://schemas.openxmlformats.org/officeDocument/2006/relationships/hyperlink" Target="https://competition-policy.ec.europa.eu/document/download/ac0e592e-2c8e-4a45-aae5-d82e7327b022_en?filename=Guidelines_on_exclusionary_abuses_of_dominance_102TFEU.pdf" TargetMode="External"/><Relationship Id="rId72" Type="http://schemas.openxmlformats.org/officeDocument/2006/relationships/hyperlink" Target="https://competition-policy.ec.europa.eu/document/download/ac0e592e-2c8e-4a45-aae5-d82e7327b022_en?filename=Guidelines_on_exclusionary_abuses_of_dominance_102TFEU.pdf" TargetMode="External"/><Relationship Id="rId93" Type="http://schemas.openxmlformats.org/officeDocument/2006/relationships/hyperlink" Target="https://competition-policy.ec.europa.eu/document/download/ac0e592e-2c8e-4a45-aae5-d82e7327b022_en?filename=Guidelines_on_exclusionary_abuses_of_dominance_102TFEU.pdf" TargetMode="External"/><Relationship Id="rId98" Type="http://schemas.openxmlformats.org/officeDocument/2006/relationships/hyperlink" Target="https://eur-lex.europa.eu/legal-content/EN/TXT/PDF/?uri=OJ:C_202401645" TargetMode="External"/><Relationship Id="rId121" Type="http://schemas.openxmlformats.org/officeDocument/2006/relationships/hyperlink" Target="https://ec.europa.eu/competition/antitrust/cases1/202419/AT_40437_10026012_3547_4.pdf" TargetMode="External"/><Relationship Id="rId3" Type="http://schemas.openxmlformats.org/officeDocument/2006/relationships/settings" Target="settings.xml"/><Relationship Id="rId25" Type="http://schemas.openxmlformats.org/officeDocument/2006/relationships/hyperlink" Target="https://curia.europa.eu/juris/liste.jsf?num=C-6/72&amp;language=en" TargetMode="External"/><Relationship Id="rId46" Type="http://schemas.openxmlformats.org/officeDocument/2006/relationships/hyperlink" Target="https://ec.europa.eu/competition/antitrust/cases/dec_docs/39985/39985_928_16.pdf" TargetMode="External"/><Relationship Id="rId67" Type="http://schemas.openxmlformats.org/officeDocument/2006/relationships/hyperlink" Target="https://ec.europa.eu/competition/antitrust/cases1/202419/AT_40437_10026012_3547_4.pdf" TargetMode="External"/><Relationship Id="rId116" Type="http://schemas.openxmlformats.org/officeDocument/2006/relationships/hyperlink" Target="https://ec.europa.eu/competition/antitrust/cases/dec_docs/39711/39711_4493_4.pdf" TargetMode="External"/><Relationship Id="rId20" Type="http://schemas.openxmlformats.org/officeDocument/2006/relationships/hyperlink" Target="https://eur-lex.europa.eu/legal-content/EN/TXT/PDF/?uri=OJ:C_202401645" TargetMode="External"/><Relationship Id="rId41" Type="http://schemas.openxmlformats.org/officeDocument/2006/relationships/hyperlink" Target="https://competition-policy.ec.europa.eu/document/download/ac0e592e-2c8e-4a45-aae5-d82e7327b022_en?filename=Guidelines_on_exclusionary_abuses_of_dominance_102TFEU.pdf" TargetMode="External"/><Relationship Id="rId62" Type="http://schemas.openxmlformats.org/officeDocument/2006/relationships/hyperlink" Target="https://ec.europa.eu/competition/antitrust/cases/dec_docs/39711/39711_4493_4.pdf" TargetMode="External"/><Relationship Id="rId83" Type="http://schemas.openxmlformats.org/officeDocument/2006/relationships/hyperlink" Target="https://eur-lex.europa.eu/legal-content/EN/TXT/PDF/?uri=OJ:C_202401645" TargetMode="External"/><Relationship Id="rId88" Type="http://schemas.openxmlformats.org/officeDocument/2006/relationships/hyperlink" Target="https://eur-lex.europa.eu/legal-content/EN/TXT/PDF/?uri=OJ:C_202401645" TargetMode="External"/><Relationship Id="rId111" Type="http://schemas.openxmlformats.org/officeDocument/2006/relationships/hyperlink" Target="https://ec.europa.eu/competition/antitrust/cases/dec_docs/39985/39985_928_16.pdf" TargetMode="External"/><Relationship Id="rId15" Type="http://schemas.openxmlformats.org/officeDocument/2006/relationships/hyperlink" Target="https://eur-lex.europa.eu/legal-content/EN/TXT/PDF/?uri=OJ:C_202401645" TargetMode="External"/><Relationship Id="rId36" Type="http://schemas.openxmlformats.org/officeDocument/2006/relationships/hyperlink" Target="https://curia.europa.eu/juris/liste.jsf?num=C-85/76&amp;language=en" TargetMode="External"/><Relationship Id="rId57" Type="http://schemas.openxmlformats.org/officeDocument/2006/relationships/hyperlink" Target="https://competition-policy.ec.europa.eu/document/download/ac0e592e-2c8e-4a45-aae5-d82e7327b022_en?filename=Guidelines_on_exclusionary_abuses_of_dominance_102TFEU.pdf" TargetMode="External"/><Relationship Id="rId106" Type="http://schemas.openxmlformats.org/officeDocument/2006/relationships/hyperlink" Target="https://curia.europa.eu/juris/liste.jsf?num=T-201/04&amp;language=en" TargetMode="External"/><Relationship Id="rId10" Type="http://schemas.openxmlformats.org/officeDocument/2006/relationships/hyperlink" Target="https://competition-policy.ec.europa.eu/document/download/ac0e592e-2c8e-4a45-aae5-d82e7327b022_en?filename=Guidelines_on_exclusionary_abuses_of_dominance_102TFEU.pdf" TargetMode="External"/><Relationship Id="rId31" Type="http://schemas.openxmlformats.org/officeDocument/2006/relationships/hyperlink" Target="https://competition-policy.ec.europa.eu/document/download/ac0e592e-2c8e-4a45-aae5-d82e7327b022_en?filename=Guidelines_on_exclusionary_abuses_of_dominance_102TFEU.pdf" TargetMode="External"/><Relationship Id="rId52" Type="http://schemas.openxmlformats.org/officeDocument/2006/relationships/hyperlink" Target="https://competition-policy.ec.europa.eu/document/download/ac0e592e-2c8e-4a45-aae5-d82e7327b022_en?filename=Guidelines_on_exclusionary_abuses_of_dominance_102TFEU.pdf" TargetMode="External"/><Relationship Id="rId73" Type="http://schemas.openxmlformats.org/officeDocument/2006/relationships/hyperlink" Target="https://eur-lex.europa.eu/legal-content/EN/TXT/PDF/?uri=OJ:C_202401645" TargetMode="External"/><Relationship Id="rId78" Type="http://schemas.openxmlformats.org/officeDocument/2006/relationships/hyperlink" Target="https://competition-policy.ec.europa.eu/document/download/ac0e592e-2c8e-4a45-aae5-d82e7327b022_en?filename=Guidelines_on_exclusionary_abuses_of_dominance_102TFEU.pdf" TargetMode="External"/><Relationship Id="rId94" Type="http://schemas.openxmlformats.org/officeDocument/2006/relationships/hyperlink" Target="https://competition-policy.ec.europa.eu/document/download/ac0e592e-2c8e-4a45-aae5-d82e7327b022_en?filename=Guidelines_on_exclusionary_abuses_of_dominance_102TFEU.pdf" TargetMode="External"/><Relationship Id="rId99" Type="http://schemas.openxmlformats.org/officeDocument/2006/relationships/hyperlink" Target="https://eur-lex.europa.eu/legal-content/EN/TXT/PDF/?uri=OJ:C_202401645" TargetMode="External"/><Relationship Id="rId101" Type="http://schemas.openxmlformats.org/officeDocument/2006/relationships/hyperlink" Target="https://eur-lex.europa.eu/legal-content/EN/TXT/PDF/?uri=OJ:C_202401645" TargetMode="External"/><Relationship Id="rId12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mpetition-policy.ec.europa.eu/document/download/ac0e592e-2c8e-4a45-aae5-d82e7327b022_en?filename=Guidelines_on_exclusionary_abuses_of_dominance_102TFEU.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6714</Words>
  <Characters>38274</Characters>
  <Application>Microsoft Office Word</Application>
  <DocSecurity>0</DocSecurity>
  <Lines>318</Lines>
  <Paragraphs>89</Paragraphs>
  <ScaleCrop>false</ScaleCrop>
  <Company/>
  <LinksUpToDate>false</LinksUpToDate>
  <CharactersWithSpaces>44899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2</cp:revision>
  <dcterms:created xsi:type="dcterms:W3CDTF">2026-09-23T09:37:00Z</dcterms:created>
  <dcterms:modified xsi:type="dcterms:W3CDTF">2026-09-23T09:38:00Z</dcterms:modified>
</cp:coreProperties>
</file>