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1</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Explain resale price maintenance and why it is treated as a by-object restriction.</w:t>
      </w:r>
    </w:p>
    <w:p>
      <w:pPr>
        <w:spacing w:after="120"/>
      </w:pPr>
      <w:r>
        <w:rPr>
          <w:rFonts w:ascii="Calibri" w:cs="Calibri" w:eastAsia="Calibri" w:hAnsi="Calibri"/>
          <w:b/>
          <w:bCs/>
          <w:color w:val="1F4E5F"/>
          <w:sz w:val="22"/>
          <w:szCs w:val="22"/>
        </w:rPr>
        <w:t xml:space="preserve">System Response</w:t>
      </w:r>
    </w:p>
    <w:p>
      <w:pPr>
        <w:spacing w:after="140" w:before="320"/>
      </w:pPr>
      <w:r>
        <w:rPr>
          <w:rFonts w:ascii="Calibri" w:cs="Calibri" w:eastAsia="Calibri" w:hAnsi="Calibri"/>
          <w:b/>
          <w:bCs/>
          <w:i w:val="false"/>
          <w:iCs w:val="false"/>
          <w:color w:val="1F4E5F"/>
          <w:sz w:val="30"/>
          <w:szCs w:val="30"/>
        </w:rPr>
        <w:t xml:space="preserve">Overview</w:t>
      </w:r>
    </w:p>
    <w:p>
      <w:pPr>
        <w:spacing w:after="160"/>
      </w:pPr>
      <w:r>
        <w:rPr>
          <w:rFonts w:ascii="Calibri" w:cs="Calibri" w:eastAsia="Calibri" w:hAnsi="Calibri"/>
          <w:sz w:val="22"/>
          <w:szCs w:val="22"/>
        </w:rPr>
        <w:t xml:space="preserve">This answer delves into the concept of Resale Price Maintenance (RPM) and its classification as a by-object restriction under EU competition law. RPM involves agreements that restrict a buyer's ability to set resale prices, often leading to anti-competitive outcomes such as reduced intra-brand price competition and potential market-wide price elevation. The classification of RPM as a by-object restriction is based on its inherent capacity to harm competition, presuming negative impacts without detailed effects analysis. The answer concludes that RPM is generally excluded from block exemptions due to its potential to facilitate collusion and elevate prices, unless justified by substantial pro-competitive efficiencies under Article 101(3) TFEU.</w:t>
      </w:r>
    </w:p>
    <w:p>
      <w:pPr>
        <w:spacing w:after="160"/>
      </w:pPr>
      <w:r>
        <w:rPr>
          <w:rFonts w:ascii="Calibri" w:cs="Calibri" w:eastAsia="Calibri" w:hAnsi="Calibri"/>
          <w:sz w:val="22"/>
          <w:szCs w:val="22"/>
        </w:rPr>
        <w:t xml:space="preserve">The answer is structured into two main parts. Part 1, comprising Sections 1.1 and 1.2, defines the concepts of Resale Price Maintenance and By-Object Restriction, establishing the foundational understanding of RPM's classification. Part 2 outlines the methodology for assessing RPM as a by-object restriction, beginning with Step 1: Identify the Restraint and Its Forms, which establishes the specific form of RPM present. Step 2: Classify the Restraint and Theories of Harm, explores RPM's classification and potential harms. Step 3: Assess Pro-Competitive Rationales and Exceptions, evaluates possible justifications under Article 101(3) TFEU. Step 4: Legal Assessment, determines RPM's compliance with EU law. Step 5: Economic Assessment, analyzes RPM's impact on competition. Finally, Step 6: Worked Examples, illustrates the application of these principles in real-world cases, demonstrating the practical execution of the assessment process.</w:t>
      </w:r>
    </w:p>
    <w:p>
      <w:pPr>
        <w:spacing w:after="140" w:before="320"/>
      </w:pPr>
      <w:r>
        <w:rPr>
          <w:rFonts w:ascii="Calibri" w:cs="Calibri" w:eastAsia="Calibri" w:hAnsi="Calibri"/>
          <w:b/>
          <w:bCs/>
          <w:i w:val="false"/>
          <w:iCs w:val="false"/>
          <w:color w:val="1F4E5F"/>
          <w:sz w:val="30"/>
          <w:szCs w:val="30"/>
        </w:rPr>
        <w:t xml:space="preserve">Part 1: Concepts in the question</w:t>
      </w:r>
    </w:p>
    <w:p>
      <w:pPr>
        <w:spacing w:after="140" w:before="260"/>
      </w:pPr>
      <w:r>
        <w:rPr>
          <w:rFonts w:ascii="Calibri" w:cs="Calibri" w:eastAsia="Calibri" w:hAnsi="Calibri"/>
          <w:b/>
          <w:bCs/>
          <w:i w:val="false"/>
          <w:iCs w:val="false"/>
          <w:color w:val="1F4E5F"/>
          <w:sz w:val="26"/>
          <w:szCs w:val="26"/>
        </w:rPr>
        <w:t xml:space="preserve">1.1 Resale Price Maintenance</w:t>
      </w:r>
    </w:p>
    <w:p>
      <w:pPr>
        <w:spacing w:after="160"/>
      </w:pPr>
      <w:r>
        <w:rPr>
          <w:rFonts w:ascii="Calibri" w:cs="Calibri" w:eastAsia="Calibri" w:hAnsi="Calibri"/>
          <w:sz w:val="22"/>
          <w:szCs w:val="22"/>
        </w:rPr>
        <w:t xml:space="preserve">Resale Price Maintenance (RPM) is a critical concept in EU competition law, serving as a foundational element for understanding its classification as a by-object restriction. RPM refers to agreements or concerted practices that directly or indirectly restrict a buyer's ability to set its own resale prices, including the establishment of fixed or minimum resale prices </w:t>
      </w:r>
      <w:hyperlink w:history="1" r:id="rIduruvfgv0vgg7k_m1yboua">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 This practice is treated as a hardcore restriction under Article 4(a) of the Vertical Block Exemption Regulation (VBER), which excludes such agreements from the block exemption typically granted to vertical agreements </w:t>
      </w:r>
      <w:hyperlink w:history="1" r:id="rIdl_rwgr3z_q2f1cn5jgwzm">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essential elements of RPM include a vertical relationship between supplier and buyer, and a direct or indirect mechanism that restricts the buyer's pricing freedom. This can manifest through explicit contractual clauses or through indirect means such as pressure, incentives, or monitoring that effectively control resale prices </w:t>
      </w:r>
      <w:hyperlink w:history="1" r:id="rIdunfgapz4ancdgw_mltrsj">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 The legal focus is not solely on the presence of a formal clause but on whether the supplier exerts control over the reseller’s pricing autonomy in practice </w:t>
      </w:r>
      <w:hyperlink w:history="1" r:id="rIdkbj50xb02lvwc606-pdgy">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Vertical Guidelines provide a comprehensive framework for understanding RPM, emphasizing its classification as a hardcore restriction due to its inherent potential to harm competition. RPM is seen as inherently capable of restricting competition by object, as it typically removes or weakens intra-brand price competition and limits distributors' ability to compete on price </w:t>
      </w:r>
      <w:hyperlink w:history="1" r:id="rIdddwypawmvavaph4pjgh7p">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 This classification is based on the presumption that RPM generally results in a net harm to competition, thus excluding it from the block exemption provided by Article 2(1) of the VBER </w:t>
      </w:r>
      <w:hyperlink w:history="1" r:id="rIdvxgfy_ocggjrqkksuwjo2">
        <w:r>
          <w:rPr>
            <w:rStyle w:val="Hyperlink"/>
            <w:rFonts w:ascii="Calibri" w:cs="Calibri" w:eastAsia="Calibri" w:hAnsi="Calibri"/>
            <w:sz w:val="22"/>
            <w:szCs w:val="22"/>
          </w:rPr>
          <w:t xml:space="preserve">[6]</w:t>
        </w:r>
      </w:hyperlink>
    </w:p>
    <w:p>
      <w:pPr>
        <w:spacing w:after="160"/>
      </w:pPr>
      <w:r>
        <w:rPr>
          <w:rFonts w:ascii="Calibri" w:cs="Calibri" w:eastAsia="Calibri" w:hAnsi="Calibri"/>
          <w:sz w:val="22"/>
          <w:szCs w:val="22"/>
        </w:rPr>
        <w:t xml:space="preserve">In relevant markets, RPM is scrutinized for its potential to facilitate collusion or elevate market-wide prices, thereby softening downstream competition and reducing incentives for discounting </w:t>
      </w:r>
      <w:hyperlink w:history="1" r:id="rId3bmjnl2jr94qyqzehmykx">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 This section sets the stage for the subsequent discussion on why RPM is classified as a by-object restriction, which will be explored in Section 1.2.</w:t>
      </w:r>
    </w:p>
    <w:p>
      <w:pPr>
        <w:spacing w:after="140" w:before="260"/>
      </w:pPr>
      <w:r>
        <w:rPr>
          <w:rFonts w:ascii="Calibri" w:cs="Calibri" w:eastAsia="Calibri" w:hAnsi="Calibri"/>
          <w:b/>
          <w:bCs/>
          <w:i w:val="false"/>
          <w:iCs w:val="false"/>
          <w:color w:val="1F4E5F"/>
          <w:sz w:val="26"/>
          <w:szCs w:val="26"/>
        </w:rPr>
        <w:t xml:space="preserve">1.2 By-Object Restriction</w:t>
      </w:r>
    </w:p>
    <w:p>
      <w:pPr>
        <w:spacing w:after="160"/>
      </w:pPr>
      <w:r>
        <w:rPr>
          <w:rFonts w:ascii="Calibri" w:cs="Calibri" w:eastAsia="Calibri" w:hAnsi="Calibri"/>
          <w:sz w:val="22"/>
          <w:szCs w:val="22"/>
        </w:rPr>
        <w:t xml:space="preserve">Building on the concept of Resale Price Maintenance (RPM) introduced in Section 1.1, this section delves into its classification as a by-object restriction under EU competition law. This classification is pivotal as it shapes the legal and economic assessment of RPM, which will be further explored in subsequent sections.</w:t>
      </w:r>
    </w:p>
    <w:p>
      <w:pPr>
        <w:spacing w:after="160"/>
      </w:pPr>
      <w:r>
        <w:rPr>
          <w:rFonts w:ascii="Calibri" w:cs="Calibri" w:eastAsia="Calibri" w:hAnsi="Calibri"/>
          <w:sz w:val="22"/>
          <w:szCs w:val="22"/>
        </w:rPr>
        <w:t xml:space="preserve">A by-object restriction is a type of agreement or practice that is deemed inherently harmful to competition, such that its negative impact can be presumed without a detailed analysis of its effects </w:t>
      </w:r>
      <w:hyperlink w:history="1" r:id="rIdlsbxuhqu13farswavqmau">
        <w:r>
          <w:rPr>
            <w:rStyle w:val="Hyperlink"/>
            <w:rFonts w:ascii="Calibri" w:cs="Calibri" w:eastAsia="Calibri" w:hAnsi="Calibri"/>
            <w:sz w:val="22"/>
            <w:szCs w:val="22"/>
          </w:rPr>
          <w:t xml:space="preserve">[7]</w:t>
        </w:r>
      </w:hyperlink>
      <w:r>
        <w:rPr>
          <w:rFonts w:ascii="Calibri" w:cs="Calibri" w:eastAsia="Calibri" w:hAnsi="Calibri"/>
          <w:sz w:val="22"/>
          <w:szCs w:val="22"/>
        </w:rPr>
        <w:t xml:space="preserve"> Article 101(1) TFEU prohibits agreements that have as their object or effect the prevention, restriction, or distortion of competition within the internal market. The classification of an agreement as a by-object restriction is based on the nature of the agreement itself, its objectives, and the economic and legal context in which it operates </w:t>
      </w:r>
      <w:hyperlink w:history="1" r:id="rIdngnsk99fiu4uipv6wx0ui">
        <w:r>
          <w:rPr>
            <w:rStyle w:val="Hyperlink"/>
            <w:rFonts w:ascii="Calibri" w:cs="Calibri" w:eastAsia="Calibri" w:hAnsi="Calibri"/>
            <w:sz w:val="22"/>
            <w:szCs w:val="22"/>
          </w:rPr>
          <w:t xml:space="preserve">[7]</w:t>
        </w:r>
      </w:hyperlink>
    </w:p>
    <w:p>
      <w:pPr>
        <w:spacing w:after="160"/>
      </w:pPr>
      <w:r>
        <w:rPr>
          <w:rFonts w:ascii="Calibri" w:cs="Calibri" w:eastAsia="Calibri" w:hAnsi="Calibri"/>
          <w:sz w:val="22"/>
          <w:szCs w:val="22"/>
        </w:rPr>
        <w:t xml:space="preserve">The rationale for classifying RPM as a by-object restriction lies in its inherent capacity to harm competition. RPM typically restricts intra-brand price competition by setting fixed or minimum resale prices, thereby limiting the ability of distributors to compete on price. This can facilitate collusion and lead to market-wide price elevation, making it inherently harmful to the competitive process </w:t>
      </w:r>
      <w:hyperlink w:history="1" r:id="rIdnb0c_xxo-ipxetw53a6cj">
        <w:r>
          <w:rPr>
            <w:rStyle w:val="Hyperlink"/>
            <w:rFonts w:ascii="Calibri" w:cs="Calibri" w:eastAsia="Calibri" w:hAnsi="Calibri"/>
            <w:sz w:val="22"/>
            <w:szCs w:val="22"/>
          </w:rPr>
          <w:t xml:space="preserve">[8]</w:t>
        </w:r>
      </w:hyperlink>
      <w:r>
        <w:rPr>
          <w:rFonts w:ascii="Calibri" w:cs="Calibri" w:eastAsia="Calibri" w:hAnsi="Calibri"/>
          <w:sz w:val="22"/>
          <w:szCs w:val="22"/>
        </w:rPr>
        <w:t xml:space="preserve"> The Horizontal Guidelines emphasize that such restrictions are considered harmful by their very nature, without the need for a detailed effects analysis </w:t>
      </w:r>
      <w:hyperlink w:history="1" r:id="rIdzncfssyol9iu-bxtcwfpk">
        <w:r>
          <w:rPr>
            <w:rStyle w:val="Hyperlink"/>
            <w:rFonts w:ascii="Calibri" w:cs="Calibri" w:eastAsia="Calibri" w:hAnsi="Calibri"/>
            <w:sz w:val="22"/>
            <w:szCs w:val="22"/>
          </w:rPr>
          <w:t xml:space="preserve">[7]</w:t>
        </w:r>
      </w:hyperlink>
    </w:p>
    <w:p>
      <w:pPr>
        <w:spacing w:after="160"/>
      </w:pPr>
      <w:r>
        <w:rPr>
          <w:rFonts w:ascii="Calibri" w:cs="Calibri" w:eastAsia="Calibri" w:hAnsi="Calibri"/>
          <w:sz w:val="22"/>
          <w:szCs w:val="22"/>
        </w:rPr>
        <w:t xml:space="preserve">The legal framework governing by-object restrictions requires a contextual assessment of the agreement's content, objectives, and the economic and legal context. This ensures that the classification is not purely formalistic but grounded in a robust understanding of the agreement's potential to harm competition </w:t>
      </w:r>
      <w:hyperlink w:history="1" r:id="rIdjss4jy3sqitfacr4nadui">
        <w:r>
          <w:rPr>
            <w:rStyle w:val="Hyperlink"/>
            <w:rFonts w:ascii="Calibri" w:cs="Calibri" w:eastAsia="Calibri" w:hAnsi="Calibri"/>
            <w:sz w:val="22"/>
            <w:szCs w:val="22"/>
          </w:rPr>
          <w:t xml:space="preserve">[7]</w:t>
        </w:r>
      </w:hyperlink>
      <w:r>
        <w:rPr>
          <w:rFonts w:ascii="Calibri" w:cs="Calibri" w:eastAsia="Calibri" w:hAnsi="Calibri"/>
          <w:sz w:val="22"/>
          <w:szCs w:val="22"/>
        </w:rPr>
        <w:t xml:space="preserve"> The guidelines also note that the absence of a direct link between the agreement and consumer prices does not preclude a finding of a by-object restriction, as the focus is on protecting the market structure and competition as a whole </w:t>
      </w:r>
      <w:hyperlink w:history="1" r:id="rIdxwysevkj3tehbczeppett">
        <w:r>
          <w:rPr>
            <w:rStyle w:val="Hyperlink"/>
            <w:rFonts w:ascii="Calibri" w:cs="Calibri" w:eastAsia="Calibri" w:hAnsi="Calibri"/>
            <w:sz w:val="22"/>
            <w:szCs w:val="22"/>
          </w:rPr>
          <w:t xml:space="preserve">[7]</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In the next section, we will explore the methodology for assessing RPM, beginning with the identification of the restraint and its various forms.</w:t>
      </w:r>
    </w:p>
    <w:p>
      <w:pPr>
        <w:spacing w:after="140" w:before="320"/>
      </w:pPr>
      <w:r>
        <w:rPr>
          <w:rFonts w:ascii="Calibri" w:cs="Calibri" w:eastAsia="Calibri" w:hAnsi="Calibri"/>
          <w:b/>
          <w:bCs/>
          <w:i w:val="false"/>
          <w:iCs w:val="false"/>
          <w:color w:val="1F4E5F"/>
          <w:sz w:val="30"/>
          <w:szCs w:val="30"/>
        </w:rPr>
        <w:t xml:space="preserve">Part 2: Methodology for assessing resale price maintenance as a by-object restriction</w:t>
      </w:r>
    </w:p>
    <w:p>
      <w:pPr>
        <w:spacing w:after="140" w:before="260"/>
      </w:pPr>
      <w:r>
        <w:rPr>
          <w:rFonts w:ascii="Calibri" w:cs="Calibri" w:eastAsia="Calibri" w:hAnsi="Calibri"/>
          <w:b/>
          <w:bCs/>
          <w:i w:val="false"/>
          <w:iCs w:val="false"/>
          <w:color w:val="1F4E5F"/>
          <w:sz w:val="26"/>
          <w:szCs w:val="26"/>
        </w:rPr>
        <w:t xml:space="preserve">2.1 Step 1: Identify the Restraint and Its Forms</w:t>
      </w:r>
    </w:p>
    <w:p>
      <w:pPr>
        <w:spacing w:after="160"/>
      </w:pPr>
      <w:r>
        <w:rPr>
          <w:rFonts w:ascii="Calibri" w:cs="Calibri" w:eastAsia="Calibri" w:hAnsi="Calibri"/>
          <w:sz w:val="22"/>
          <w:szCs w:val="22"/>
        </w:rPr>
        <w:t xml:space="preserve">Following the conceptual foundation laid in Section 1.2 on the classification of Resale Price Maintenance (RPM) as a by-object restriction, this section initiates the methodological assessment by focusing on the identification of RPM within agreements. This step is crucial as it sets the stage for subsequent analysis by pinpointing the specific form of RPM present, which is essential for understanding its competitive implications.</w:t>
      </w:r>
    </w:p>
    <w:p>
      <w:pPr>
        <w:spacing w:after="160"/>
      </w:pPr>
      <w:r>
        <w:rPr>
          <w:rFonts w:ascii="Calibri" w:cs="Calibri" w:eastAsia="Calibri" w:hAnsi="Calibri"/>
          <w:sz w:val="22"/>
          <w:szCs w:val="22"/>
        </w:rPr>
        <w:t xml:space="preserve">What this step establishes This step answers the question: "What specific form of RPM is present in the agreement?" It is positioned at this point to ensure that any subsequent legal and economic assessments are grounded in a clear understanding of the restraint's nature. Identifying RPM is foundational because it determines whether the agreement falls within the scope of Article 101(1) TFEU as a by-object restriction, thereby influencing the entire analytical process.</w:t>
      </w:r>
    </w:p>
    <w:p>
      <w:pPr>
        <w:spacing w:after="160"/>
      </w:pPr>
      <w:r>
        <w:rPr>
          <w:rFonts w:ascii="Calibri" w:cs="Calibri" w:eastAsia="Calibri" w:hAnsi="Calibri"/>
          <w:sz w:val="22"/>
          <w:szCs w:val="22"/>
        </w:rPr>
        <w:t xml:space="preserve">General approach The general approach to identifying RPM involves examining whether an agreement or concerted practice directly or indirectly restricts a buyer's ability to set its resale prices. According to the Vertical Guidelines, RPM can manifest through direct means, such as contractual provisions that set fixed or minimum prices, or indirect means, such as incentives or monitoring that effectively control resale prices </w:t>
      </w:r>
      <w:hyperlink w:history="1" r:id="rIdu8xcayzjwq_fhhpqucels">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 The guidelines emphasize that the presence of a formal clause is not necessary; the focus is on whether the supplier exerts control over the reseller’s pricing autonomy in practice </w:t>
      </w:r>
      <w:hyperlink w:history="1" r:id="rIdfzodr2llsxab6eswlfrhh">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Evidence required includes contractual documents, communications between parties, and any monitoring or enforcement mechanisms that suggest control over resale prices. The threshold for identification is whether the agreement has the object of restricting the buyer's pricing freedom, which is sufficient to classify it as RPM </w:t>
      </w:r>
      <w:hyperlink w:history="1" r:id="rIdpbcxeydghezll58phbv6z">
        <w:r>
          <w:rPr>
            <w:rStyle w:val="Hyperlink"/>
            <w:rFonts w:ascii="Calibri" w:cs="Calibri" w:eastAsia="Calibri" w:hAnsi="Calibri"/>
            <w:sz w:val="22"/>
            <w:szCs w:val="22"/>
          </w:rPr>
          <w:t xml:space="preserve">[9]</w:t>
        </w:r>
      </w:hyperlink>
    </w:p>
    <w:p>
      <w:pPr>
        <w:spacing w:after="160"/>
      </w:pPr>
      <w:r>
        <w:rPr>
          <w:rFonts w:ascii="Calibri" w:cs="Calibri" w:eastAsia="Calibri" w:hAnsi="Calibri"/>
          <w:sz w:val="22"/>
          <w:szCs w:val="22"/>
        </w:rPr>
        <w:t xml:space="preserve">Adaptation to the relevant markets In scenarios without a specific market context, the identification process remains largely consistent with the general approach. However, the absence of a defined market may require a broader examination of the agreement's terms and the parties' conduct to infer the presence of RPM. The table below outlines the key elements and their application:</w:t>
      </w:r>
    </w:p>
    <w:p>
      <w:pPr>
        <w:spacing w:after="160"/>
      </w:pPr>
      <w:r>
        <w:rPr>
          <w:rFonts w:ascii="Calibri" w:cs="Calibri" w:eastAsia="Calibri" w:hAnsi="Calibri"/>
          <w:sz w:val="22"/>
          <w:szCs w:val="22"/>
        </w:rPr>
        <w:t xml:space="preserve">Element General approach Relevant markets adaptation</w:t>
      </w:r>
    </w:p>
    <w:p>
      <w:pPr>
        <w:spacing w:after="160"/>
      </w:pPr>
      <w:r>
        <w:rPr>
          <w:rFonts w:ascii="Calibri" w:cs="Calibri" w:eastAsia="Calibri" w:hAnsi="Calibri"/>
          <w:sz w:val="22"/>
          <w:szCs w:val="22"/>
        </w:rPr>
        <w:t xml:space="preserve">Direct means Contractual provisions setting fixed/minimum prices </w:t>
      </w:r>
      <w:hyperlink w:history="1" r:id="rIdezzqs3rj5e4fea0nqunt-">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 Examination of all contractual terms and communications for implicit price control</w:t>
      </w:r>
    </w:p>
    <w:p>
      <w:pPr>
        <w:spacing w:after="160"/>
      </w:pPr>
      <w:r>
        <w:rPr>
          <w:rFonts w:ascii="Calibri" w:cs="Calibri" w:eastAsia="Calibri" w:hAnsi="Calibri"/>
          <w:sz w:val="22"/>
          <w:szCs w:val="22"/>
        </w:rPr>
        <w:t xml:space="preserve">Indirect means Incentives, monitoring, or penalties that control prices </w:t>
      </w:r>
      <w:hyperlink w:history="1" r:id="rIdymt-sk311lrzso3hxqe8x">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 Broader analysis of conduct and market behavior to infer indirect control mechanisms</w:t>
      </w:r>
    </w:p>
    <w:p>
      <w:pPr>
        <w:spacing w:after="160"/>
      </w:pPr>
      <w:r>
        <w:rPr>
          <w:rFonts w:ascii="Calibri" w:cs="Calibri" w:eastAsia="Calibri" w:hAnsi="Calibri"/>
          <w:sz w:val="22"/>
          <w:szCs w:val="22"/>
        </w:rPr>
        <w:t xml:space="preserve">Evidence Contractual documents, communications, monitoring systems </w:t>
      </w:r>
      <w:hyperlink w:history="1" r:id="rIdclnfd7qmvkqozk8dfirfy">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Comprehensive review of all available documentation and market interactions</w:t>
      </w:r>
    </w:p>
    <w:p>
      <w:pPr>
        <w:spacing w:after="160"/>
      </w:pPr>
      <w:r>
        <w:rPr>
          <w:rFonts w:ascii="Calibri" w:cs="Calibri" w:eastAsia="Calibri" w:hAnsi="Calibri"/>
          <w:sz w:val="22"/>
          <w:szCs w:val="22"/>
        </w:rPr>
        <w:t xml:space="preserve">Illustrative cases</w:t>
      </w:r>
    </w:p>
    <w:p>
      <w:pPr>
        <w:spacing w:after="160"/>
      </w:pPr>
      <w:r>
        <w:rPr>
          <w:rFonts w:ascii="Calibri" w:cs="Calibri" w:eastAsia="Calibri" w:hAnsi="Calibri"/>
          <w:sz w:val="22"/>
          <w:szCs w:val="22"/>
        </w:rPr>
        <w:t xml:space="preserve">Case </w:t>
      </w:r>
      <w:hyperlink w:history="1" r:id="rId7bhqabppguigkgd-vi4cn">
        <w:r>
          <w:rPr>
            <w:rStyle w:val="Hyperlink"/>
            <w:rFonts w:ascii="Calibri" w:cs="Calibri" w:eastAsia="Calibri" w:hAnsi="Calibri"/>
            <w:sz w:val="22"/>
            <w:szCs w:val="22"/>
          </w:rPr>
          <w:t xml:space="preserve">[10]</w:t>
        </w:r>
      </w:hyperlink>
      <w:r>
        <w:rPr>
          <w:rFonts w:ascii="Calibri" w:cs="Calibri" w:eastAsia="Calibri" w:hAnsi="Calibri"/>
          <w:sz w:val="22"/>
          <w:szCs w:val="22"/>
        </w:rPr>
        <w:t xml:space="preserve"> Background: This case involved an agreement that imposed fixed resale prices on distributors, which was challenged under EU competition law. How it applies: The case illustrates the identification of RPM through direct contractual provisions that set fixed prices, highlighting the importance of examining the agreement's terms to determine the presence of RPM </w:t>
      </w:r>
      <w:hyperlink w:history="1" r:id="rIdno7hhq7rjwb1m6fucn8xg">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Case </w:t>
      </w:r>
      <w:hyperlink w:history="1" r:id="rIdphrivkovc2hmizgtsqpx3">
        <w:r>
          <w:rPr>
            <w:rStyle w:val="Hyperlink"/>
            <w:rFonts w:ascii="Calibri" w:cs="Calibri" w:eastAsia="Calibri" w:hAnsi="Calibri"/>
            <w:sz w:val="22"/>
            <w:szCs w:val="22"/>
          </w:rPr>
          <w:t xml:space="preserve">[11]</w:t>
        </w:r>
      </w:hyperlink>
      <w:r>
        <w:rPr>
          <w:rFonts w:ascii="Calibri" w:cs="Calibri" w:eastAsia="Calibri" w:hAnsi="Calibri"/>
          <w:sz w:val="22"/>
          <w:szCs w:val="22"/>
        </w:rPr>
        <w:t xml:space="preserve"> Background: This case dealt with indirect RPM mechanisms, where incentives and penalties were used to maintain price levels. How it applies: It demonstrates the identification of RPM through indirect means, emphasizing the need to assess the practical effects of incentives and penalties on pricing freedom </w:t>
      </w:r>
      <w:hyperlink w:history="1" r:id="rIdubq6hjeo4vr5kx_xdapvg">
        <w:r>
          <w:rPr>
            <w:rStyle w:val="Hyperlink"/>
            <w:rFonts w:ascii="Calibri" w:cs="Calibri" w:eastAsia="Calibri" w:hAnsi="Calibri"/>
            <w:sz w:val="22"/>
            <w:szCs w:val="22"/>
          </w:rPr>
          <w:t xml:space="preserve">[9]</w:t>
        </w:r>
      </w:hyperlink>
    </w:p>
    <w:p>
      <w:pPr>
        <w:spacing w:after="160"/>
      </w:pPr>
      <w:r>
        <w:rPr>
          <w:rFonts w:ascii="Calibri" w:cs="Calibri" w:eastAsia="Calibri" w:hAnsi="Calibri"/>
          <w:sz w:val="22"/>
          <w:szCs w:val="22"/>
        </w:rPr>
        <w:t xml:space="preserve">Output of this step The output of this step is the identification of RPM in the agreement, which serves as the basis for the subsequent classification of the restraint and exploration of potential theories of harm in Section 2.2.</w:t>
      </w:r>
    </w:p>
    <w:p>
      <w:pPr>
        <w:spacing w:after="140" w:before="260"/>
      </w:pPr>
      <w:r>
        <w:rPr>
          <w:rFonts w:ascii="Calibri" w:cs="Calibri" w:eastAsia="Calibri" w:hAnsi="Calibri"/>
          <w:b/>
          <w:bCs/>
          <w:i w:val="false"/>
          <w:iCs w:val="false"/>
          <w:color w:val="1F4E5F"/>
          <w:sz w:val="26"/>
          <w:szCs w:val="26"/>
        </w:rPr>
        <w:t xml:space="preserve">2.2 Step 2: Classify the Restraint and Theories of Harm</w:t>
      </w:r>
    </w:p>
    <w:p>
      <w:pPr>
        <w:spacing w:after="160"/>
      </w:pPr>
      <w:r>
        <w:rPr>
          <w:rFonts w:ascii="Calibri" w:cs="Calibri" w:eastAsia="Calibri" w:hAnsi="Calibri"/>
          <w:sz w:val="22"/>
          <w:szCs w:val="22"/>
        </w:rPr>
        <w:t xml:space="preserve">Following the identification of Resale Price Maintenance (RPM) in Section 2.1, this step focuses on classifying RPM as a hardcore restriction and exploring the associated theories of harm. This classification is crucial as it sets the stage for assessing any pro-competitive justifications in the subsequent step.</w:t>
      </w:r>
    </w:p>
    <w:p>
      <w:pPr>
        <w:spacing w:after="160"/>
      </w:pPr>
      <w:r>
        <w:rPr>
          <w:rFonts w:ascii="Calibri" w:cs="Calibri" w:eastAsia="Calibri" w:hAnsi="Calibri"/>
          <w:sz w:val="22"/>
          <w:szCs w:val="22"/>
        </w:rPr>
        <w:t xml:space="preserve">What this step establishes This step answers the question of how RPM is classified under EU competition law and why it is considered inherently harmful. It comes at this point to build on the identification of RPM, providing a legal and economic framework for understanding its potential harms. This classification is essential for determining the applicability of any exemptions or justifications under Article 101(3) TFEU.</w:t>
      </w:r>
    </w:p>
    <w:p>
      <w:pPr>
        <w:spacing w:after="160"/>
      </w:pPr>
      <w:r>
        <w:rPr>
          <w:rFonts w:ascii="Calibri" w:cs="Calibri" w:eastAsia="Calibri" w:hAnsi="Calibri"/>
          <w:sz w:val="22"/>
          <w:szCs w:val="22"/>
        </w:rPr>
        <w:t xml:space="preserve">General approach The general approach to classifying RPM involves recognizing it as a hardcore restriction under Article 4(a) of the Vertical Block Exemption Regulation (VBER) </w:t>
      </w:r>
      <w:hyperlink w:history="1" r:id="rId6vlobx2ila_xmv2ajjhww">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 Hardcore restrictions are serious limitations on competition that typically result in market harm and are excluded from block exemptions </w:t>
      </w:r>
      <w:hyperlink w:history="1" r:id="rIdekbb3zcc6pyugrd7-jzct">
        <w:r>
          <w:rPr>
            <w:rStyle w:val="Hyperlink"/>
            <w:rFonts w:ascii="Calibri" w:cs="Calibri" w:eastAsia="Calibri" w:hAnsi="Calibri"/>
            <w:sz w:val="22"/>
            <w:szCs w:val="22"/>
          </w:rPr>
          <w:t xml:space="preserve">[12]</w:t>
        </w:r>
      </w:hyperlink>
      <w:r>
        <w:rPr>
          <w:rFonts w:ascii="Calibri" w:cs="Calibri" w:eastAsia="Calibri" w:hAnsi="Calibri"/>
          <w:sz w:val="22"/>
          <w:szCs w:val="22"/>
        </w:rPr>
        <w:t xml:space="preserve"> The classification as a by-object restriction is based on the presumption that RPM inherently restricts competition by setting fixed or minimum resale prices, thereby limiting intra-brand price competition </w:t>
      </w:r>
      <w:hyperlink w:history="1" r:id="rIdqpj5dcg1m19p5lgvvga03">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Theories of harm associated with RPM include the facilitation of collusion among suppliers, reduction of price competition among retailers, and potential exclusion of efficient low-price distributors </w:t>
      </w:r>
      <w:hyperlink w:history="1" r:id="rIdoyxtauqsdgstnccd-87iw">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These harms are assessed based on the content of the agreement, its objectives, and the economic and legal context </w:t>
      </w:r>
      <w:hyperlink w:history="1" r:id="rId0hm1cgpvf1wxhclp1ygvz">
        <w:r>
          <w:rPr>
            <w:rStyle w:val="Hyperlink"/>
            <w:rFonts w:ascii="Calibri" w:cs="Calibri" w:eastAsia="Calibri" w:hAnsi="Calibri"/>
            <w:sz w:val="22"/>
            <w:szCs w:val="22"/>
          </w:rPr>
          <w:t xml:space="preserve">[7]</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Adaptation to the relevant markets</w:t>
      </w:r>
    </w:p>
    <w:p>
      <w:pPr>
        <w:spacing w:after="160"/>
      </w:pPr>
      <w:r>
        <w:rPr>
          <w:rFonts w:ascii="Calibri" w:cs="Calibri" w:eastAsia="Calibri" w:hAnsi="Calibri"/>
          <w:sz w:val="22"/>
          <w:szCs w:val="22"/>
        </w:rPr>
        <w:t xml:space="preserve">Element General approach Relevant markets adaptation Guideline reference</w:t>
      </w:r>
    </w:p>
    <w:p>
      <w:pPr>
        <w:spacing w:after="160"/>
      </w:pPr>
      <w:r>
        <w:rPr>
          <w:rFonts w:ascii="Calibri" w:cs="Calibri" w:eastAsia="Calibri" w:hAnsi="Calibri"/>
          <w:sz w:val="22"/>
          <w:szCs w:val="22"/>
        </w:rPr>
        <w:t xml:space="preserve">Classification RPM as a hardcore restriction and by-object restriction Same classification applies, focusing on market-specific dynamics </w:t>
      </w:r>
      <w:hyperlink w:history="1" r:id="rId9aawajnwmgaf24ae292mn">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Theories of harm Collusion facilitation, reduced price competition, exclusion of low-price distributors Emphasis on market structure and competitive dynamics specific to the industry </w:t>
      </w:r>
      <w:hyperlink w:history="1" r:id="rIdk9k_pjez8h27xi8jexmkz">
        <w:r>
          <w:rPr>
            <w:rStyle w:val="Hyperlink"/>
            <w:rFonts w:ascii="Calibri" w:cs="Calibri" w:eastAsia="Calibri" w:hAnsi="Calibri"/>
            <w:sz w:val="22"/>
            <w:szCs w:val="22"/>
          </w:rPr>
          <w:t xml:space="preserve">[9]</w:t>
        </w:r>
      </w:hyperlink>
    </w:p>
    <w:p>
      <w:pPr>
        <w:spacing w:after="160"/>
      </w:pPr>
      <w:r>
        <w:rPr>
          <w:rFonts w:ascii="Calibri" w:cs="Calibri" w:eastAsia="Calibri" w:hAnsi="Calibri"/>
          <w:sz w:val="22"/>
          <w:szCs w:val="22"/>
        </w:rPr>
        <w:t xml:space="preserve">Contextual assessment Content, objectives, economic and legal context Tailored to the specific market conditions and competitive landscape </w:t>
      </w:r>
      <w:hyperlink w:history="1" r:id="rId2i8or0fqrukojgv4ni08p">
        <w:r>
          <w:rPr>
            <w:rStyle w:val="Hyperlink"/>
            <w:rFonts w:ascii="Calibri" w:cs="Calibri" w:eastAsia="Calibri" w:hAnsi="Calibri"/>
            <w:sz w:val="22"/>
            <w:szCs w:val="22"/>
          </w:rPr>
          <w:t xml:space="preserve">[7]</w:t>
        </w:r>
      </w:hyperlink>
    </w:p>
    <w:p>
      <w:pPr>
        <w:spacing w:after="160"/>
      </w:pPr>
      <w:r>
        <w:rPr>
          <w:rFonts w:ascii="Calibri" w:cs="Calibri" w:eastAsia="Calibri" w:hAnsi="Calibri"/>
          <w:sz w:val="22"/>
          <w:szCs w:val="22"/>
        </w:rPr>
        <w:t xml:space="preserve">Illustrative cases</w:t>
      </w:r>
    </w:p>
    <w:p>
      <w:pPr>
        <w:spacing w:after="160"/>
      </w:pPr>
      <w:r>
        <w:rPr>
          <w:rFonts w:ascii="Calibri" w:cs="Calibri" w:eastAsia="Calibri" w:hAnsi="Calibri"/>
          <w:sz w:val="22"/>
          <w:szCs w:val="22"/>
        </w:rPr>
        <w:t xml:space="preserve">Case </w:t>
      </w:r>
      <w:hyperlink w:history="1" r:id="rIdxxj04qqpah65c4u7_jd5g">
        <w:r>
          <w:rPr>
            <w:rStyle w:val="Hyperlink"/>
            <w:rFonts w:ascii="Calibri" w:cs="Calibri" w:eastAsia="Calibri" w:hAnsi="Calibri"/>
            <w:sz w:val="22"/>
            <w:szCs w:val="22"/>
          </w:rPr>
          <w:t xml:space="preserve">[10]</w:t>
        </w:r>
      </w:hyperlink>
      <w:r>
        <w:rPr>
          <w:rFonts w:ascii="Calibri" w:cs="Calibri" w:eastAsia="Calibri" w:hAnsi="Calibri"/>
          <w:sz w:val="22"/>
          <w:szCs w:val="22"/>
        </w:rPr>
        <w:t xml:space="preserve"> Background: This case involved the application of RPM in a vertical agreement, where the Court of Justice of the European Union (CJEU) examined the inherent anti-competitive nature of such practices. How it applies: The case illustrates the classification of RPM as a by-object restriction, emphasizing its potential to harm competition by limiting price-setting freedom and facilitating collusion </w:t>
      </w:r>
      <w:hyperlink w:history="1" r:id="rIdudp7bwf60-5fokvk-0f8p">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Case </w:t>
      </w:r>
      <w:hyperlink w:history="1" r:id="rIdcnxfacdn0lebiege2piy-">
        <w:r>
          <w:rPr>
            <w:rStyle w:val="Hyperlink"/>
            <w:rFonts w:ascii="Calibri" w:cs="Calibri" w:eastAsia="Calibri" w:hAnsi="Calibri"/>
            <w:sz w:val="22"/>
            <w:szCs w:val="22"/>
          </w:rPr>
          <w:t xml:space="preserve">[11]</w:t>
        </w:r>
      </w:hyperlink>
      <w:r>
        <w:rPr>
          <w:rFonts w:ascii="Calibri" w:cs="Calibri" w:eastAsia="Calibri" w:hAnsi="Calibri"/>
          <w:sz w:val="22"/>
          <w:szCs w:val="22"/>
        </w:rPr>
        <w:t xml:space="preserve"> Background: This case addressed the anti-competitive effects of RPM in a distribution agreement, focusing on its impact on market dynamics. How it applies: It reinforces the classification of RPM as a hardcore restriction, highlighting the theories of harm such as reduced intra-brand competition and potential market-wide price elevation </w:t>
      </w:r>
      <w:hyperlink w:history="1" r:id="rIduhnf4w6n9wvvst6p5gn-1">
        <w:r>
          <w:rPr>
            <w:rStyle w:val="Hyperlink"/>
            <w:rFonts w:ascii="Calibri" w:cs="Calibri" w:eastAsia="Calibri" w:hAnsi="Calibri"/>
            <w:sz w:val="22"/>
            <w:szCs w:val="22"/>
          </w:rPr>
          <w:t xml:space="preserve">[9]</w:t>
        </w:r>
      </w:hyperlink>
    </w:p>
    <w:p>
      <w:pPr>
        <w:spacing w:after="160"/>
      </w:pPr>
      <w:r>
        <w:rPr>
          <w:rFonts w:ascii="Calibri" w:cs="Calibri" w:eastAsia="Calibri" w:hAnsi="Calibri"/>
          <w:sz w:val="22"/>
          <w:szCs w:val="22"/>
        </w:rPr>
        <w:t xml:space="preserve">Output of this step The output of this step is the classification of RPM as a hardcore restriction and a by-object restriction, along with the identification of potential harms such as collusion facilitation and reduced price competition. This sets the stage for the next step, which will assess any pro-competitive rationales and exceptions.</w:t>
      </w:r>
    </w:p>
    <w:p>
      <w:pPr>
        <w:spacing w:after="140" w:before="260"/>
      </w:pPr>
      <w:r>
        <w:rPr>
          <w:rFonts w:ascii="Calibri" w:cs="Calibri" w:eastAsia="Calibri" w:hAnsi="Calibri"/>
          <w:b/>
          <w:bCs/>
          <w:i w:val="false"/>
          <w:iCs w:val="false"/>
          <w:color w:val="1F4E5F"/>
          <w:sz w:val="26"/>
          <w:szCs w:val="26"/>
        </w:rPr>
        <w:t xml:space="preserve">2.3 Step 3: Assess Pro-Competitive Rationales and Exceptions</w:t>
      </w:r>
    </w:p>
    <w:p>
      <w:pPr>
        <w:spacing w:after="160"/>
      </w:pPr>
      <w:r>
        <w:rPr>
          <w:rFonts w:ascii="Calibri" w:cs="Calibri" w:eastAsia="Calibri" w:hAnsi="Calibri"/>
          <w:sz w:val="22"/>
          <w:szCs w:val="22"/>
        </w:rPr>
        <w:t xml:space="preserve">Having classified Resale Price Maintenance (RPM) as a by-object restriction and identified potential harms in Section 2.2, the next step is to evaluate whether any pro-competitive justifications or exceptions can outweigh these anti-competitive effects. This assessment is crucial as it determines whether RPM can be exempted under Article 101(3) TFEU, which allows for certain efficiencies to justify otherwise restrictive practices.</w:t>
      </w:r>
    </w:p>
    <w:p>
      <w:pPr>
        <w:spacing w:after="160"/>
      </w:pPr>
      <w:r>
        <w:rPr>
          <w:rFonts w:ascii="Calibri" w:cs="Calibri" w:eastAsia="Calibri" w:hAnsi="Calibri"/>
          <w:sz w:val="22"/>
          <w:szCs w:val="22"/>
        </w:rPr>
        <w:t xml:space="preserve">What this step establishes This step addresses whether RPM, despite its classification as a by-object restriction, can be justified on the grounds of pro-competitive rationales. It is positioned here to ensure that any potential efficiencies are considered before proceeding to the legal assessment. The question it answers is whether the efficiencies generated by RPM are substantial enough to meet the criteria set out in Article 101(3) TFEU, thereby allowing the practice to escape prohibition.</w:t>
      </w:r>
    </w:p>
    <w:p>
      <w:pPr>
        <w:spacing w:after="160"/>
      </w:pPr>
      <w:r>
        <w:rPr>
          <w:rFonts w:ascii="Calibri" w:cs="Calibri" w:eastAsia="Calibri" w:hAnsi="Calibri"/>
          <w:sz w:val="22"/>
          <w:szCs w:val="22"/>
        </w:rPr>
        <w:t xml:space="preserve">General approach The guidelines stipulate that for RPM to be justified under Article 101(3), the parties must demonstrate that the practice leads to efficiencies that benefit consumers, is indispensable to achieving those efficiencies, and does not eliminate competition </w:t>
      </w:r>
      <w:hyperlink w:history="1" r:id="rIdqss_xnpx0uz4yb9xbvle9">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The burden of proof lies with the undertaking claiming the benefit of Article 101(3) </w:t>
      </w:r>
      <w:hyperlink w:history="1" r:id="rIdrwvh_9eshv0a0ajtjjaxd">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The evidence required includes concrete data showing that the efficiencies are likely to materialize and that they outweigh the anti-competitive effects </w:t>
      </w:r>
      <w:hyperlink w:history="1" r:id="rIdtm58csyxkrbw7ra2n4vtj">
        <w:r>
          <w:rPr>
            <w:rStyle w:val="Hyperlink"/>
            <w:rFonts w:ascii="Calibri" w:cs="Calibri" w:eastAsia="Calibri" w:hAnsi="Calibri"/>
            <w:sz w:val="22"/>
            <w:szCs w:val="22"/>
          </w:rPr>
          <w:t xml:space="preserve">[13]</w:t>
        </w:r>
      </w:hyperlink>
    </w:p>
    <w:p>
      <w:pPr>
        <w:spacing w:after="160"/>
      </w:pPr>
      <w:r>
        <w:rPr>
          <w:rFonts w:ascii="Calibri" w:cs="Calibri" w:eastAsia="Calibri" w:hAnsi="Calibri"/>
          <w:sz w:val="22"/>
          <w:szCs w:val="22"/>
        </w:rPr>
        <w:t xml:space="preserve">Adaptation to the relevant markets</w:t>
      </w:r>
    </w:p>
    <w:p>
      <w:pPr>
        <w:spacing w:after="160"/>
      </w:pPr>
      <w:r>
        <w:rPr>
          <w:rFonts w:ascii="Calibri" w:cs="Calibri" w:eastAsia="Calibri" w:hAnsi="Calibri"/>
          <w:sz w:val="22"/>
          <w:szCs w:val="22"/>
        </w:rPr>
        <w:t xml:space="preserve">Element General approach Relevant markets Guideline reference</w:t>
      </w:r>
    </w:p>
    <w:p>
      <w:pPr>
        <w:spacing w:after="160"/>
      </w:pPr>
      <w:r>
        <w:rPr>
          <w:rFonts w:ascii="Calibri" w:cs="Calibri" w:eastAsia="Calibri" w:hAnsi="Calibri"/>
          <w:sz w:val="22"/>
          <w:szCs w:val="22"/>
        </w:rPr>
        <w:t xml:space="preserve">Efficiency gains Must result from integration of economic activities Must be specific to the market context </w:t>
      </w:r>
      <w:hyperlink w:history="1" r:id="rIdi0mgbqxi_jlldzzwugb8s">
        <w:r>
          <w:rPr>
            <w:rStyle w:val="Hyperlink"/>
            <w:rFonts w:ascii="Calibri" w:cs="Calibri" w:eastAsia="Calibri" w:hAnsi="Calibri"/>
            <w:sz w:val="22"/>
            <w:szCs w:val="22"/>
          </w:rPr>
          <w:t xml:space="preserve">[13]</w:t>
        </w:r>
      </w:hyperlink>
    </w:p>
    <w:p>
      <w:pPr>
        <w:spacing w:after="160"/>
      </w:pPr>
      <w:r>
        <w:rPr>
          <w:rFonts w:ascii="Calibri" w:cs="Calibri" w:eastAsia="Calibri" w:hAnsi="Calibri"/>
          <w:sz w:val="22"/>
          <w:szCs w:val="22"/>
        </w:rPr>
        <w:t xml:space="preserve">Indispensability No less restrictive alternative Market-specific analysis required </w:t>
      </w:r>
      <w:hyperlink w:history="1" r:id="rIdfg8usto5sxc00kmbrx7d5">
        <w:r>
          <w:rPr>
            <w:rStyle w:val="Hyperlink"/>
            <w:rFonts w:ascii="Calibri" w:cs="Calibri" w:eastAsia="Calibri" w:hAnsi="Calibri"/>
            <w:sz w:val="22"/>
            <w:szCs w:val="22"/>
          </w:rPr>
          <w:t xml:space="preserve">[14]</w:t>
        </w:r>
      </w:hyperlink>
    </w:p>
    <w:p>
      <w:pPr>
        <w:spacing w:after="160"/>
      </w:pPr>
      <w:r>
        <w:rPr>
          <w:rFonts w:ascii="Calibri" w:cs="Calibri" w:eastAsia="Calibri" w:hAnsi="Calibri"/>
          <w:sz w:val="22"/>
          <w:szCs w:val="22"/>
        </w:rPr>
        <w:t xml:space="preserve">Consumer pass-on Efficiencies must benefit consumers Must be demonstrable in the market </w:t>
      </w:r>
      <w:hyperlink w:history="1" r:id="rIdexcesxkz3efw-oaxmg6_a">
        <w:r>
          <w:rPr>
            <w:rStyle w:val="Hyperlink"/>
            <w:rFonts w:ascii="Calibri" w:cs="Calibri" w:eastAsia="Calibri" w:hAnsi="Calibri"/>
            <w:sz w:val="22"/>
            <w:szCs w:val="22"/>
          </w:rPr>
          <w:t xml:space="preserve">[13]</w:t>
        </w:r>
      </w:hyperlink>
    </w:p>
    <w:p>
      <w:pPr>
        <w:spacing w:after="160"/>
      </w:pPr>
      <w:r>
        <w:rPr>
          <w:rFonts w:ascii="Calibri" w:cs="Calibri" w:eastAsia="Calibri" w:hAnsi="Calibri"/>
          <w:sz w:val="22"/>
          <w:szCs w:val="22"/>
        </w:rPr>
        <w:t xml:space="preserve">No elimination of competition Must not eliminate competition Contextual assessment required </w:t>
      </w:r>
      <w:hyperlink w:history="1" r:id="rIdl4mg8u-zkqxrncmdxu04i">
        <w:r>
          <w:rPr>
            <w:rStyle w:val="Hyperlink"/>
            <w:rFonts w:ascii="Calibri" w:cs="Calibri" w:eastAsia="Calibri" w:hAnsi="Calibri"/>
            <w:sz w:val="22"/>
            <w:szCs w:val="22"/>
          </w:rPr>
          <w:t xml:space="preserve">[13]</w:t>
        </w:r>
      </w:hyperlink>
    </w:p>
    <w:p>
      <w:pPr>
        <w:spacing w:after="160"/>
      </w:pPr>
      <w:r>
        <w:rPr>
          <w:rFonts w:ascii="Calibri" w:cs="Calibri" w:eastAsia="Calibri" w:hAnsi="Calibri"/>
          <w:sz w:val="22"/>
          <w:szCs w:val="22"/>
        </w:rPr>
        <w:t xml:space="preserve">Illustrative cases </w:t>
      </w:r>
      <w:hyperlink w:history="1" r:id="rIddrapzap7ewxnhkuzzxgzq">
        <w:r>
          <w:rPr>
            <w:rStyle w:val="Hyperlink"/>
            <w:rFonts w:ascii="Calibri" w:cs="Calibri" w:eastAsia="Calibri" w:hAnsi="Calibri"/>
            <w:sz w:val="22"/>
            <w:szCs w:val="22"/>
          </w:rPr>
          <w:t xml:space="preserve">[15]</w:t>
        </w:r>
      </w:hyperlink>
      <w:r>
        <w:rPr>
          <w:rFonts w:ascii="Calibri" w:cs="Calibri" w:eastAsia="Calibri" w:hAnsi="Calibri"/>
          <w:sz w:val="22"/>
          <w:szCs w:val="22"/>
        </w:rPr>
        <w:t xml:space="preserve"> Background: This case involved the assessment of RPM under Article 101(3) TFEU, focusing on whether the practice could be justified by efficiencies. How it applies: The Court emphasized the need for concrete evidence of efficiencies and their pass-on to consumers. It highlighted that mere assertions of efficiency are insufficient, and a detailed analysis of the market context is necessary </w:t>
      </w:r>
      <w:hyperlink w:history="1" r:id="rIdbiofxmiqlduhwb0cn3qgl">
        <w:r>
          <w:rPr>
            <w:rStyle w:val="Hyperlink"/>
            <w:rFonts w:ascii="Calibri" w:cs="Calibri" w:eastAsia="Calibri" w:hAnsi="Calibri"/>
            <w:sz w:val="22"/>
            <w:szCs w:val="22"/>
          </w:rPr>
          <w:t xml:space="preserve">[16]</w:t>
        </w:r>
      </w:hyperlink>
      <w:r>
        <w:rPr>
          <w:rFonts w:ascii="Calibri" w:cs="Calibri" w:eastAsia="Calibri" w:hAnsi="Calibri"/>
          <w:sz w:val="22"/>
          <w:szCs w:val="22"/>
        </w:rPr>
        <w:t xml:space="preserve">.</w:t>
      </w:r>
    </w:p>
    <w:p>
      <w:pPr>
        <w:spacing w:after="160"/>
      </w:pPr>
      <w:hyperlink w:history="1" r:id="rIdcgowpllxkg50koat2by3l">
        <w:r>
          <w:rPr>
            <w:rStyle w:val="Hyperlink"/>
            <w:rFonts w:ascii="Calibri" w:cs="Calibri" w:eastAsia="Calibri" w:hAnsi="Calibri"/>
            <w:sz w:val="22"/>
            <w:szCs w:val="22"/>
          </w:rPr>
          <w:t xml:space="preserve">[17]</w:t>
        </w:r>
      </w:hyperlink>
      <w:r>
        <w:rPr>
          <w:rFonts w:ascii="Calibri" w:cs="Calibri" w:eastAsia="Calibri" w:hAnsi="Calibri"/>
          <w:sz w:val="22"/>
          <w:szCs w:val="22"/>
        </w:rPr>
        <w:t xml:space="preserve"> Background: This case examined the indispensability of RPM in achieving claimed efficiencies. How it applies: The Court ruled that RPM must be the least restrictive means of achieving the efficiencies, requiring a thorough examination of alternative measures </w:t>
      </w:r>
      <w:hyperlink w:history="1" r:id="rId0bepxchgisx65sn_zjwel">
        <w:r>
          <w:rPr>
            <w:rStyle w:val="Hyperlink"/>
            <w:rFonts w:ascii="Calibri" w:cs="Calibri" w:eastAsia="Calibri" w:hAnsi="Calibri"/>
            <w:sz w:val="22"/>
            <w:szCs w:val="22"/>
          </w:rPr>
          <w:t xml:space="preserve">[16]</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Output of this step The output of this step is a comprehensive assessment of pro-competitive justifications and exceptions for RPM, determining whether the practice can be exempted under Article 101(3) TFEU. This assessment feeds into the subsequent legal evaluation of RPM under EU competition law, which will be explored in Section 2.4.</w:t>
      </w:r>
    </w:p>
    <w:p>
      <w:pPr>
        <w:spacing w:after="140" w:before="260"/>
      </w:pPr>
      <w:r>
        <w:rPr>
          <w:rFonts w:ascii="Calibri" w:cs="Calibri" w:eastAsia="Calibri" w:hAnsi="Calibri"/>
          <w:b/>
          <w:bCs/>
          <w:i w:val="false"/>
          <w:iCs w:val="false"/>
          <w:color w:val="1F4E5F"/>
          <w:sz w:val="26"/>
          <w:szCs w:val="26"/>
        </w:rPr>
        <w:t xml:space="preserve">2.4 Step 4: Legal Assessment</w:t>
      </w:r>
    </w:p>
    <w:p>
      <w:pPr>
        <w:spacing w:after="160"/>
      </w:pPr>
      <w:r>
        <w:rPr>
          <w:rFonts w:ascii="Calibri" w:cs="Calibri" w:eastAsia="Calibri" w:hAnsi="Calibri"/>
          <w:sz w:val="22"/>
          <w:szCs w:val="22"/>
        </w:rPr>
        <w:t xml:space="preserve">Following the assessment of pro-competitive rationales and exceptions in Section 2.3, this section provides a legal evaluation of Resale Price Maintenance (RPM) under EU competition law, specifically Article 101 TFEU. This step is crucial as it determines whether RPM, classified as a by-object restriction, can be justified under the legal framework, thereby influencing the subsequent economic assessment.</w:t>
      </w:r>
    </w:p>
    <w:p>
      <w:pPr>
        <w:spacing w:after="160"/>
      </w:pPr>
      <w:r>
        <w:rPr>
          <w:rFonts w:ascii="Calibri" w:cs="Calibri" w:eastAsia="Calibri" w:hAnsi="Calibri"/>
          <w:sz w:val="22"/>
          <w:szCs w:val="22"/>
        </w:rPr>
        <w:t xml:space="preserve">What this step establishes This step answers the question of whether RPM, as a by-object restriction, can be legally justified under Article 101 TFEU. It comes at this point in the methodology because, after identifying and classifying RPM and assessing potential justifications, a legal evaluation is necessary to determine its compliance with EU competition law. This assessment is pivotal in deciding whether RPM can be exempted under Article 101(3) TFEU, which allows for exceptions if certain conditions are met.</w:t>
      </w:r>
    </w:p>
    <w:p>
      <w:pPr>
        <w:spacing w:after="160"/>
      </w:pPr>
      <w:r>
        <w:rPr>
          <w:rFonts w:ascii="Calibri" w:cs="Calibri" w:eastAsia="Calibri" w:hAnsi="Calibri"/>
          <w:sz w:val="22"/>
          <w:szCs w:val="22"/>
        </w:rPr>
        <w:t xml:space="preserve">General approach The legal assessment of RPM under Article 101 TFEU involves several key steps. First, RPM is identified as a restriction by object, meaning it is presumed to harm competition without needing a detailed effects analysis </w:t>
      </w:r>
      <w:hyperlink w:history="1" r:id="rIdb4qmuxcy8iwho8bg8tbvz">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However, this presumption is not absolute, and undertakings may seek an exemption under Article 101(3) TFEU by demonstrating that RPM leads to efficiency gains that benefit consumers, is indispensable to achieving these gains, and does not eliminate competition </w:t>
      </w:r>
      <w:hyperlink w:history="1" r:id="rId8okwxqp0yfmvbpq5880f3">
        <w:r>
          <w:rPr>
            <w:rStyle w:val="Hyperlink"/>
            <w:rFonts w:ascii="Calibri" w:cs="Calibri" w:eastAsia="Calibri" w:hAnsi="Calibri"/>
            <w:sz w:val="22"/>
            <w:szCs w:val="22"/>
          </w:rPr>
          <w:t xml:space="preserve">[18]</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burden of proof lies with the parties seeking the exemption, who must provide evidence of the claimed efficiencies and their indispensability </w:t>
      </w:r>
      <w:hyperlink w:history="1" r:id="rIdwi2ae8mbrsxepnvuignqq">
        <w:r>
          <w:rPr>
            <w:rStyle w:val="Hyperlink"/>
            <w:rFonts w:ascii="Calibri" w:cs="Calibri" w:eastAsia="Calibri" w:hAnsi="Calibri"/>
            <w:sz w:val="22"/>
            <w:szCs w:val="22"/>
          </w:rPr>
          <w:t xml:space="preserve">[19]</w:t>
        </w:r>
      </w:hyperlink>
      <w:r>
        <w:rPr>
          <w:rFonts w:ascii="Calibri" w:cs="Calibri" w:eastAsia="Calibri" w:hAnsi="Calibri"/>
          <w:sz w:val="22"/>
          <w:szCs w:val="22"/>
        </w:rPr>
        <w:t xml:space="preserve"> The legal framework requires a contextual assessment of the agreement's content, objectives, and the economic and legal context to ensure that the classification as a by-object restriction is justified </w:t>
      </w:r>
      <w:hyperlink w:history="1" r:id="rIdsugofithorw_w0t0ahkp6">
        <w:r>
          <w:rPr>
            <w:rStyle w:val="Hyperlink"/>
            <w:rFonts w:ascii="Calibri" w:cs="Calibri" w:eastAsia="Calibri" w:hAnsi="Calibri"/>
            <w:sz w:val="22"/>
            <w:szCs w:val="22"/>
          </w:rPr>
          <w:t xml:space="preserve">[20]</w:t>
        </w:r>
      </w:hyperlink>
    </w:p>
    <w:p>
      <w:pPr>
        <w:spacing w:after="160"/>
      </w:pPr>
      <w:r>
        <w:rPr>
          <w:rFonts w:ascii="Calibri" w:cs="Calibri" w:eastAsia="Calibri" w:hAnsi="Calibri"/>
          <w:sz w:val="22"/>
          <w:szCs w:val="22"/>
        </w:rPr>
        <w:t xml:space="preserve">Adaptation to the relevant markets</w:t>
      </w:r>
    </w:p>
    <w:p>
      <w:pPr>
        <w:spacing w:after="160"/>
      </w:pPr>
      <w:r>
        <w:rPr>
          <w:rFonts w:ascii="Calibri" w:cs="Calibri" w:eastAsia="Calibri" w:hAnsi="Calibri"/>
          <w:sz w:val="22"/>
          <w:szCs w:val="22"/>
        </w:rPr>
        <w:t xml:space="preserve">Element General approach Relevant markets adaptation</w:t>
      </w:r>
    </w:p>
    <w:p>
      <w:pPr>
        <w:spacing w:after="160"/>
      </w:pPr>
      <w:r>
        <w:rPr>
          <w:rFonts w:ascii="Calibri" w:cs="Calibri" w:eastAsia="Calibri" w:hAnsi="Calibri"/>
          <w:sz w:val="22"/>
          <w:szCs w:val="22"/>
        </w:rPr>
        <w:t xml:space="preserve">Classific ation RPM is a by-object restriction </w:t>
      </w:r>
      <w:hyperlink w:history="1" r:id="rIdemkonh5rrqjwok7dmagq5">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Same classification applies, but market specifics may influence the contextual assessment.</w:t>
      </w:r>
    </w:p>
    <w:p>
      <w:pPr>
        <w:spacing w:after="160"/>
      </w:pPr>
      <w:r>
        <w:rPr>
          <w:rFonts w:ascii="Calibri" w:cs="Calibri" w:eastAsia="Calibri" w:hAnsi="Calibri"/>
          <w:sz w:val="22"/>
          <w:szCs w:val="22"/>
        </w:rPr>
        <w:t xml:space="preserve">Exemption criteria Efficiency gains, consumer benefit, indispensability, no elimination of competition </w:t>
      </w:r>
      <w:hyperlink w:history="1" r:id="rIdigeu0eezlfedb8anjhj86">
        <w:r>
          <w:rPr>
            <w:rStyle w:val="Hyperlink"/>
            <w:rFonts w:ascii="Calibri" w:cs="Calibri" w:eastAsia="Calibri" w:hAnsi="Calibri"/>
            <w:sz w:val="22"/>
            <w:szCs w:val="22"/>
          </w:rPr>
          <w:t xml:space="preserve">[18]</w:t>
        </w:r>
      </w:hyperlink>
      <w:r>
        <w:rPr>
          <w:rFonts w:ascii="Calibri" w:cs="Calibri" w:eastAsia="Calibri" w:hAnsi="Calibri"/>
          <w:sz w:val="22"/>
          <w:szCs w:val="22"/>
        </w:rPr>
        <w:t xml:space="preserve"> Criteria remain, but market dynamics may affect the evaluation of efficiencies and indispensability.</w:t>
      </w:r>
    </w:p>
    <w:p>
      <w:pPr>
        <w:spacing w:after="160"/>
      </w:pPr>
      <w:r>
        <w:rPr>
          <w:rFonts w:ascii="Calibri" w:cs="Calibri" w:eastAsia="Calibri" w:hAnsi="Calibri"/>
          <w:sz w:val="22"/>
          <w:szCs w:val="22"/>
        </w:rPr>
        <w:t xml:space="preserve">Burden of proof On the parties seeking exemption </w:t>
      </w:r>
      <w:hyperlink w:history="1" r:id="rIdogr4vzoyh2xfncetjqpt1">
        <w:r>
          <w:rPr>
            <w:rStyle w:val="Hyperlink"/>
            <w:rFonts w:ascii="Calibri" w:cs="Calibri" w:eastAsia="Calibri" w:hAnsi="Calibri"/>
            <w:sz w:val="22"/>
            <w:szCs w:val="22"/>
          </w:rPr>
          <w:t xml:space="preserve">[19]</w:t>
        </w:r>
      </w:hyperlink>
      <w:r>
        <w:rPr>
          <w:rFonts w:ascii="Calibri" w:cs="Calibri" w:eastAsia="Calibri" w:hAnsi="Calibri"/>
          <w:sz w:val="22"/>
          <w:szCs w:val="22"/>
        </w:rPr>
        <w:t xml:space="preserve"> Unchanged, but evidence may vary based on market characteristics.</w:t>
      </w:r>
    </w:p>
    <w:p>
      <w:pPr>
        <w:spacing w:after="160"/>
      </w:pPr>
      <w:r>
        <w:rPr>
          <w:rFonts w:ascii="Calibri" w:cs="Calibri" w:eastAsia="Calibri" w:hAnsi="Calibri"/>
          <w:sz w:val="22"/>
          <w:szCs w:val="22"/>
        </w:rPr>
        <w:t xml:space="preserve">Illustrative cases </w:t>
      </w:r>
      <w:hyperlink w:history="1" r:id="rIdonqebskkaaz8etridgkel">
        <w:r>
          <w:rPr>
            <w:rStyle w:val="Hyperlink"/>
            <w:rFonts w:ascii="Calibri" w:cs="Calibri" w:eastAsia="Calibri" w:hAnsi="Calibri"/>
            <w:sz w:val="22"/>
            <w:szCs w:val="22"/>
          </w:rPr>
          <w:t xml:space="preserve">[10]</w:t>
        </w:r>
      </w:hyperlink>
      <w:r>
        <w:rPr>
          <w:rFonts w:ascii="Calibri" w:cs="Calibri" w:eastAsia="Calibri" w:hAnsi="Calibri"/>
          <w:sz w:val="22"/>
          <w:szCs w:val="22"/>
        </w:rPr>
        <w:t xml:space="preserve"> Background: This case involved the application of RPM and its classification as a by-object restriction under Article 101 TFEU. How it applies: The case illustrates the legal presumption against RPM as a by-object restriction, emphasizing the need for a contextual assessment to determine whether the presumption holds. The decision underscores the importance of evaluating the agreement's content and market context to justify any exemption claims </w:t>
      </w:r>
      <w:hyperlink w:history="1" r:id="rIduaobicjex41ffgudaydsw">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Output of this step The output of this step is a legal assessment of RPM under Article 101 TFEU, determining whether it qualifies for an exemption based on the criteria outlined. This assessment informs the subsequent economic evaluation of RPM's impact on competition, which will be explored in the next section.</w:t>
      </w:r>
    </w:p>
    <w:p>
      <w:pPr>
        <w:spacing w:after="140" w:before="260"/>
      </w:pPr>
      <w:r>
        <w:rPr>
          <w:rFonts w:ascii="Calibri" w:cs="Calibri" w:eastAsia="Calibri" w:hAnsi="Calibri"/>
          <w:b/>
          <w:bCs/>
          <w:i w:val="false"/>
          <w:iCs w:val="false"/>
          <w:color w:val="1F4E5F"/>
          <w:sz w:val="26"/>
          <w:szCs w:val="26"/>
        </w:rPr>
        <w:t xml:space="preserve">2.5 Step 5: Economic Assessment</w:t>
      </w:r>
    </w:p>
    <w:p>
      <w:pPr>
        <w:spacing w:after="160"/>
      </w:pPr>
      <w:r>
        <w:rPr>
          <w:rFonts w:ascii="Calibri" w:cs="Calibri" w:eastAsia="Calibri" w:hAnsi="Calibri"/>
          <w:sz w:val="22"/>
          <w:szCs w:val="22"/>
        </w:rPr>
        <w:t xml:space="preserve">Following the legal assessment of Resale Price Maintenance (RPM) in Section 2.4, this step delves into the economic assessment, which is crucial for understanding RPM's impact on competition and market dynamics. An economic assessment involves analyzing the economic theories and empirical evidence relevant to RPM, providing a comprehensive view of its effects on competition.</w:t>
      </w:r>
    </w:p>
    <w:p>
      <w:pPr>
        <w:spacing w:after="160"/>
      </w:pPr>
      <w:r>
        <w:rPr>
          <w:rFonts w:ascii="Calibri" w:cs="Calibri" w:eastAsia="Calibri" w:hAnsi="Calibri"/>
          <w:sz w:val="22"/>
          <w:szCs w:val="22"/>
        </w:rPr>
        <w:t xml:space="preserve">What this step establishes This step answers the question of how RPM affects competition and market dynamics, considering both potential harms and efficiencies. It is positioned here to build on the legal assessment by providing an economic perspective, which is essential for a holistic understanding of RPM's impact. The economic assessment evaluates whether RPM leads to anti-competitive outcomes, such as reduced price competition or facilitated collusion, and whether any pro-competitive justifications might apply.</w:t>
      </w:r>
    </w:p>
    <w:p>
      <w:pPr>
        <w:spacing w:after="160"/>
      </w:pPr>
      <w:r>
        <w:rPr>
          <w:rFonts w:ascii="Calibri" w:cs="Calibri" w:eastAsia="Calibri" w:hAnsi="Calibri"/>
          <w:sz w:val="22"/>
          <w:szCs w:val="22"/>
        </w:rPr>
        <w:t xml:space="preserve">General approach The guidelines suggest that the economic assessment of RPM should consider both the potential anti-competitive effects and any efficiency justifications. RPM can restrict intra-brand and inter-brand competition by facilitating collusion among suppliers and reducing price competition among retailers </w:t>
      </w:r>
      <w:hyperlink w:history="1" r:id="rIdwzkltmkhkbwwg6rgbzymm">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The assessment should examine market conditions, such as the level of market concentration and the presence of barriers to entry, which can influence the likelihood of RPM leading to anti-competitive outcomes </w:t>
      </w:r>
      <w:hyperlink w:history="1" r:id="rIdf1mm60hp2k53dsozlvpjk">
        <w:r>
          <w:rPr>
            <w:rStyle w:val="Hyperlink"/>
            <w:rFonts w:ascii="Calibri" w:cs="Calibri" w:eastAsia="Calibri" w:hAnsi="Calibri"/>
            <w:sz w:val="22"/>
            <w:szCs w:val="22"/>
          </w:rPr>
          <w:t xml:space="preserve">[21]</w:t>
        </w:r>
      </w:hyperlink>
    </w:p>
    <w:p>
      <w:pPr>
        <w:spacing w:after="160"/>
      </w:pPr>
      <w:r>
        <w:rPr>
          <w:rFonts w:ascii="Calibri" w:cs="Calibri" w:eastAsia="Calibri" w:hAnsi="Calibri"/>
          <w:sz w:val="22"/>
          <w:szCs w:val="22"/>
        </w:rPr>
        <w:t xml:space="preserve">The economic assessment also considers potential efficiencies, such as the prevention of free-riding on pre-sale services, which can justify RPM in certain circumstances </w:t>
      </w:r>
      <w:hyperlink w:history="1" r:id="rIdil8hgnsszifjwsheffiv4">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 The guidelines emphasize that any claimed efficiencies must be substantiated and shown to outweigh the anti-competitive effects </w:t>
      </w:r>
      <w:hyperlink w:history="1" r:id="rIdiyswm-dogajxkrsadqp4f">
        <w:r>
          <w:rPr>
            <w:rStyle w:val="Hyperlink"/>
            <w:rFonts w:ascii="Calibri" w:cs="Calibri" w:eastAsia="Calibri" w:hAnsi="Calibri"/>
            <w:sz w:val="22"/>
            <w:szCs w:val="22"/>
          </w:rPr>
          <w:t xml:space="preserve">[9]</w:t>
        </w:r>
      </w:hyperlink>
    </w:p>
    <w:p>
      <w:pPr>
        <w:spacing w:after="160"/>
      </w:pPr>
      <w:r>
        <w:rPr>
          <w:rFonts w:ascii="Calibri" w:cs="Calibri" w:eastAsia="Calibri" w:hAnsi="Calibri"/>
          <w:sz w:val="22"/>
          <w:szCs w:val="22"/>
        </w:rPr>
        <w:t xml:space="preserve">Adaptation to the relevant markets</w:t>
      </w:r>
    </w:p>
    <w:p>
      <w:pPr>
        <w:spacing w:after="160"/>
      </w:pPr>
      <w:r>
        <w:rPr>
          <w:rFonts w:ascii="Calibri" w:cs="Calibri" w:eastAsia="Calibri" w:hAnsi="Calibri"/>
          <w:sz w:val="22"/>
          <w:szCs w:val="22"/>
        </w:rPr>
        <w:t xml:space="preserve">Element General approach Relevant markets adaptation Guideline reference</w:t>
      </w:r>
    </w:p>
    <w:p>
      <w:pPr>
        <w:spacing w:after="160"/>
      </w:pPr>
      <w:r>
        <w:rPr>
          <w:rFonts w:ascii="Calibri" w:cs="Calibri" w:eastAsia="Calibri" w:hAnsi="Calibri"/>
          <w:sz w:val="22"/>
          <w:szCs w:val="22"/>
        </w:rPr>
        <w:t xml:space="preserve">Market concentration Assess the level of concentration and potential for collusion Consider specific market structures and the presence of dominant players </w:t>
      </w:r>
      <w:hyperlink w:history="1" r:id="rIdybd3ridgplsoyzxfsn6mx">
        <w:r>
          <w:rPr>
            <w:rStyle w:val="Hyperlink"/>
            <w:rFonts w:ascii="Calibri" w:cs="Calibri" w:eastAsia="Calibri" w:hAnsi="Calibri"/>
            <w:sz w:val="22"/>
            <w:szCs w:val="22"/>
          </w:rPr>
          <w:t xml:space="preserve">[9]</w:t>
        </w:r>
      </w:hyperlink>
    </w:p>
    <w:p>
      <w:pPr>
        <w:spacing w:after="160"/>
      </w:pPr>
      <w:r>
        <w:rPr>
          <w:rFonts w:ascii="Calibri" w:cs="Calibri" w:eastAsia="Calibri" w:hAnsi="Calibri"/>
          <w:sz w:val="22"/>
          <w:szCs w:val="22"/>
        </w:rPr>
        <w:t xml:space="preserve">Barriers to entry Evaluate barriers that may prevent new entrants Analyze specific barriers in the relevant market, such as regulatory or technological hurdles </w:t>
      </w:r>
      <w:hyperlink w:history="1" r:id="rIdgsr1g5gss-x7xj5umqyc3">
        <w:r>
          <w:rPr>
            <w:rStyle w:val="Hyperlink"/>
            <w:rFonts w:ascii="Calibri" w:cs="Calibri" w:eastAsia="Calibri" w:hAnsi="Calibri"/>
            <w:sz w:val="22"/>
            <w:szCs w:val="22"/>
          </w:rPr>
          <w:t xml:space="preserve">[21]</w:t>
        </w:r>
      </w:hyperlink>
    </w:p>
    <w:p>
      <w:pPr>
        <w:spacing w:after="160"/>
      </w:pPr>
      <w:r>
        <w:rPr>
          <w:rFonts w:ascii="Calibri" w:cs="Calibri" w:eastAsia="Calibri" w:hAnsi="Calibri"/>
          <w:sz w:val="22"/>
          <w:szCs w:val="22"/>
        </w:rPr>
        <w:t xml:space="preserve">Efficiency justifications Consider potential efficiencies, such as improved service quality Assess the relevance and magnitude of efficiencies in the specific market context </w:t>
      </w:r>
      <w:hyperlink w:history="1" r:id="rIdqbzfwmv6r9hjjgzpvxpsz">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Illustrative cases</w:t>
      </w:r>
    </w:p>
    <w:p>
      <w:pPr>
        <w:spacing w:after="160"/>
      </w:pPr>
      <w:hyperlink w:history="1" r:id="rIdikiy5xs4r_xwdwp21o7ad">
        <w:r>
          <w:rPr>
            <w:rStyle w:val="Hyperlink"/>
            <w:rFonts w:ascii="Calibri" w:cs="Calibri" w:eastAsia="Calibri" w:hAnsi="Calibri"/>
            <w:sz w:val="22"/>
            <w:szCs w:val="22"/>
          </w:rPr>
          <w:t xml:space="preserve">[10]</w:t>
        </w:r>
      </w:hyperlink>
      <w:r>
        <w:rPr>
          <w:rFonts w:ascii="Calibri" w:cs="Calibri" w:eastAsia="Calibri" w:hAnsi="Calibri"/>
          <w:sz w:val="22"/>
          <w:szCs w:val="22"/>
        </w:rPr>
        <w:t xml:space="preserve"> Background: This case involved RPM practices that were scrutinized under EU competition law. How it applies: The case illustrates the economic assessment of RPM by highlighting the potential for RPM to facilitate collusion and reduce price competition, which are key considerations in the economic analysis </w:t>
      </w:r>
      <w:hyperlink w:history="1" r:id="rIds3gdtoiwnl3fidl4joem8">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w:t>
      </w:r>
    </w:p>
    <w:p>
      <w:pPr>
        <w:spacing w:after="160"/>
      </w:pPr>
      <w:hyperlink w:history="1" r:id="rIdabgihcw0yudall1w2s5x_">
        <w:r>
          <w:rPr>
            <w:rStyle w:val="Hyperlink"/>
            <w:rFonts w:ascii="Calibri" w:cs="Calibri" w:eastAsia="Calibri" w:hAnsi="Calibri"/>
            <w:sz w:val="22"/>
            <w:szCs w:val="22"/>
          </w:rPr>
          <w:t xml:space="preserve">[11]</w:t>
        </w:r>
      </w:hyperlink>
      <w:r>
        <w:rPr>
          <w:rFonts w:ascii="Calibri" w:cs="Calibri" w:eastAsia="Calibri" w:hAnsi="Calibri"/>
          <w:sz w:val="22"/>
          <w:szCs w:val="22"/>
        </w:rPr>
        <w:t xml:space="preserve"> Background: This case examined the impact of RPM on market competition. How it applies: It demonstrates the importance of assessing market conditions and potential efficiencies, as RPM can have varying effects depending on the specific market context </w:t>
      </w:r>
      <w:hyperlink w:history="1" r:id="rIdeowwxf9uhuzx4fm9dmbmm">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Output of this step The economic assessment of RPM's impact on competition provides a nuanced understanding of its effects, which is essential for the subsequent step of applying these principles to real-world cases.</w:t>
      </w:r>
    </w:p>
    <w:p>
      <w:pPr>
        <w:spacing w:after="140" w:before="260"/>
      </w:pPr>
      <w:r>
        <w:rPr>
          <w:rFonts w:ascii="Calibri" w:cs="Calibri" w:eastAsia="Calibri" w:hAnsi="Calibri"/>
          <w:b/>
          <w:bCs/>
          <w:i w:val="false"/>
          <w:iCs w:val="false"/>
          <w:color w:val="1F4E5F"/>
          <w:sz w:val="26"/>
          <w:szCs w:val="26"/>
        </w:rPr>
        <w:t xml:space="preserve">2.6 Step 6: Worked Examples: How the Assessment Was Carried Out in Real Cases</w:t>
      </w:r>
    </w:p>
    <w:p>
      <w:pPr>
        <w:spacing w:after="160"/>
      </w:pPr>
      <w:r>
        <w:rPr>
          <w:rFonts w:ascii="Calibri" w:cs="Calibri" w:eastAsia="Calibri" w:hAnsi="Calibri"/>
          <w:sz w:val="22"/>
          <w:szCs w:val="22"/>
        </w:rPr>
        <w:t xml:space="preserve">This section synthesizes the methodology for assessing resale price maintenance (RPM) as a by-object restriction by applying it to real-world cases. Following the economic assessment in Section 2.5, we now illustrate the practical application of the assessment process through selected cases, demonstrating how each step of the methodology is executed in practice.</w:t>
      </w:r>
    </w:p>
    <w:p>
      <w:pPr>
        <w:spacing w:after="140" w:before="220"/>
      </w:pPr>
      <w:r>
        <w:rPr>
          <w:rFonts w:ascii="Calibri" w:cs="Calibri" w:eastAsia="Calibri" w:hAnsi="Calibri"/>
          <w:b/>
          <w:bCs/>
          <w:i/>
          <w:iCs/>
          <w:color w:val="1F4E5F"/>
          <w:sz w:val="24"/>
          <w:szCs w:val="24"/>
        </w:rPr>
        <w:t xml:space="preserve">Why these cases</w:t>
      </w:r>
    </w:p>
    <w:p>
      <w:pPr>
        <w:spacing w:after="160"/>
      </w:pPr>
      <w:r>
        <w:rPr>
          <w:rFonts w:ascii="Calibri" w:cs="Calibri" w:eastAsia="Calibri" w:hAnsi="Calibri"/>
          <w:sz w:val="22"/>
          <w:szCs w:val="22"/>
        </w:rPr>
        <w:t xml:space="preserve">The cases of </w:t>
      </w:r>
      <w:hyperlink w:history="1" r:id="rId2fr6qcuit2srdoxpyyhzv">
        <w:r>
          <w:rPr>
            <w:rStyle w:val="Hyperlink"/>
            <w:rFonts w:ascii="Calibri" w:cs="Calibri" w:eastAsia="Calibri" w:hAnsi="Calibri"/>
            <w:sz w:val="22"/>
            <w:szCs w:val="22"/>
          </w:rPr>
          <w:t xml:space="preserve">[22]</w:t>
        </w:r>
      </w:hyperlink>
      <w:r>
        <w:rPr>
          <w:rFonts w:ascii="Calibri" w:cs="Calibri" w:eastAsia="Calibri" w:hAnsi="Calibri"/>
          <w:sz w:val="22"/>
          <w:szCs w:val="22"/>
        </w:rPr>
        <w:t xml:space="preserve"> </w:t>
      </w:r>
      <w:hyperlink w:history="1" r:id="rIdm9radufpa8tziptztqkvn">
        <w:r>
          <w:rPr>
            <w:rStyle w:val="Hyperlink"/>
            <w:rFonts w:ascii="Calibri" w:cs="Calibri" w:eastAsia="Calibri" w:hAnsi="Calibri"/>
            <w:sz w:val="22"/>
            <w:szCs w:val="22"/>
          </w:rPr>
          <w:t xml:space="preserve">[23]</w:t>
        </w:r>
      </w:hyperlink>
      <w:r>
        <w:rPr>
          <w:rFonts w:ascii="Calibri" w:cs="Calibri" w:eastAsia="Calibri" w:hAnsi="Calibri"/>
          <w:sz w:val="22"/>
          <w:szCs w:val="22"/>
        </w:rPr>
        <w:t xml:space="preserve"> and </w:t>
      </w:r>
      <w:hyperlink w:history="1" r:id="rId_xmv-msavmixlyqen1kqq">
        <w:r>
          <w:rPr>
            <w:rStyle w:val="Hyperlink"/>
            <w:rFonts w:ascii="Calibri" w:cs="Calibri" w:eastAsia="Calibri" w:hAnsi="Calibri"/>
            <w:sz w:val="22"/>
            <w:szCs w:val="22"/>
          </w:rPr>
          <w:t xml:space="preserve">[24]</w:t>
        </w:r>
      </w:hyperlink>
      <w:r>
        <w:rPr>
          <w:rFonts w:ascii="Calibri" w:cs="Calibri" w:eastAsia="Calibri" w:hAnsi="Calibri"/>
          <w:sz w:val="22"/>
          <w:szCs w:val="22"/>
        </w:rPr>
        <w:t xml:space="preserve"> were chosen from the case database for their relevance in illustrating the application of RPM assessment under EU competition law. These cases exemplify the methodology's steps and highlight the nuances in legal and economic evaluations of RPM.</w:t>
      </w:r>
    </w:p>
    <w:p>
      <w:pPr>
        <w:spacing w:after="140" w:before="220"/>
      </w:pPr>
      <w:r>
        <w:rPr>
          <w:rFonts w:ascii="Calibri" w:cs="Calibri" w:eastAsia="Calibri" w:hAnsi="Calibri"/>
          <w:b/>
          <w:bCs/>
          <w:i/>
          <w:iCs/>
          <w:color w:val="1F4E5F"/>
          <w:sz w:val="24"/>
          <w:szCs w:val="24"/>
        </w:rPr>
        <w:t xml:space="preserve">Case walkthroughs</w:t>
      </w:r>
    </w:p>
    <w:p>
      <w:pPr>
        <w:spacing w:after="160"/>
      </w:pPr>
      <w:hyperlink w:history="1" r:id="rIdl65-7u8exyuhids7nj5ju">
        <w:r>
          <w:rPr>
            <w:rStyle w:val="Hyperlink"/>
            <w:rFonts w:ascii="Calibri" w:cs="Calibri" w:eastAsia="Calibri" w:hAnsi="Calibri"/>
            <w:sz w:val="22"/>
            <w:szCs w:val="22"/>
          </w:rPr>
          <w:t xml:space="preserve">[22]</w:t>
        </w:r>
      </w:hyperlink>
    </w:p>
    <w:p>
      <w:pPr>
        <w:spacing w:after="160"/>
      </w:pPr>
      <w:r>
        <w:rPr>
          <w:rFonts w:ascii="Calibri" w:cs="Calibri" w:eastAsia="Calibri" w:hAnsi="Calibri"/>
          <w:sz w:val="22"/>
          <w:szCs w:val="22"/>
        </w:rPr>
        <w:t xml:space="preserve">Step 1: Identify the Restraint and Its Forms The authority identified the RPM strategy implemented by Chloé, involving fixed promotional sales dates and a "no-markdown" policy, which distributors perceived as binding </w:t>
      </w:r>
      <w:hyperlink w:history="1" r:id="rIdc8xuu6ybykxl7-j_wa3u8">
        <w:r>
          <w:rPr>
            <w:rStyle w:val="Hyperlink"/>
            <w:rFonts w:ascii="Calibri" w:cs="Calibri" w:eastAsia="Calibri" w:hAnsi="Calibri"/>
            <w:sz w:val="22"/>
            <w:szCs w:val="22"/>
          </w:rPr>
          <w:t xml:space="preserve">[25]</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Step 2: Classify the Restraint and Theories of Harm The restraint was classified as a restriction of competition by object under Article 101(1) of the Treaty, with theories of harm including the elimination of intra-brand price competition </w:t>
      </w:r>
      <w:hyperlink w:history="1" r:id="rIdqmwv8helsi08zjfadvof1">
        <w:r>
          <w:rPr>
            <w:rStyle w:val="Hyperlink"/>
            <w:rFonts w:ascii="Calibri" w:cs="Calibri" w:eastAsia="Calibri" w:hAnsi="Calibri"/>
            <w:sz w:val="22"/>
            <w:szCs w:val="22"/>
          </w:rPr>
          <w:t xml:space="preserve">[26]</w:t>
        </w:r>
      </w:hyperlink>
    </w:p>
    <w:p>
      <w:pPr>
        <w:spacing w:after="160"/>
      </w:pPr>
      <w:r>
        <w:rPr>
          <w:rFonts w:ascii="Calibri" w:cs="Calibri" w:eastAsia="Calibri" w:hAnsi="Calibri"/>
          <w:sz w:val="22"/>
          <w:szCs w:val="22"/>
        </w:rPr>
        <w:t xml:space="preserve">Step 3: Assess Pro-Competitive Rationales and Exceptions No pro-competitive rationales or exceptions were found applicable under Article 101(3) of the Treaty </w:t>
      </w:r>
      <w:hyperlink w:history="1" r:id="rIdzublyas43qhmrgxza8w0s">
        <w:r>
          <w:rPr>
            <w:rStyle w:val="Hyperlink"/>
            <w:rFonts w:ascii="Calibri" w:cs="Calibri" w:eastAsia="Calibri" w:hAnsi="Calibri"/>
            <w:sz w:val="22"/>
            <w:szCs w:val="22"/>
          </w:rPr>
          <w:t xml:space="preserve">[27]</w:t>
        </w:r>
      </w:hyperlink>
    </w:p>
    <w:p>
      <w:pPr>
        <w:spacing w:after="160"/>
      </w:pPr>
      <w:r>
        <w:rPr>
          <w:rFonts w:ascii="Calibri" w:cs="Calibri" w:eastAsia="Calibri" w:hAnsi="Calibri"/>
          <w:sz w:val="22"/>
          <w:szCs w:val="22"/>
        </w:rPr>
        <w:t xml:space="preserve">Step 4: Legal Assessment The conduct was confirmed as a single and continuous infringement of Article 101(1) of the Treaty </w:t>
      </w:r>
      <w:hyperlink w:history="1" r:id="rIdigicnm78if9uxcx9yzuy4">
        <w:r>
          <w:rPr>
            <w:rStyle w:val="Hyperlink"/>
            <w:rFonts w:ascii="Calibri" w:cs="Calibri" w:eastAsia="Calibri" w:hAnsi="Calibri"/>
            <w:sz w:val="22"/>
            <w:szCs w:val="22"/>
          </w:rPr>
          <w:t xml:space="preserve">[25]</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Step 5: Economic Assessment The document does not provide a detailed economic assessment of the conduct or its effects.</w:t>
      </w:r>
    </w:p>
    <w:p>
      <w:pPr>
        <w:spacing w:after="160"/>
      </w:pPr>
      <w:r>
        <w:rPr>
          <w:rFonts w:ascii="Calibri" w:cs="Calibri" w:eastAsia="Calibri" w:hAnsi="Calibri"/>
          <w:sz w:val="22"/>
          <w:szCs w:val="22"/>
        </w:rPr>
        <w:t xml:space="preserve">Outcome A fine of EUR 19,690,000 was imposed on Chloé, with a requirement to end the infringement </w:t>
      </w:r>
      <w:hyperlink w:history="1" r:id="rIdy8zhebt0qt9hmnwy9jouo">
        <w:r>
          <w:rPr>
            <w:rStyle w:val="Hyperlink"/>
            <w:rFonts w:ascii="Calibri" w:cs="Calibri" w:eastAsia="Calibri" w:hAnsi="Calibri"/>
            <w:sz w:val="22"/>
            <w:szCs w:val="22"/>
          </w:rPr>
          <w:t xml:space="preserve">[28]</w:t>
        </w:r>
      </w:hyperlink>
      <w:r>
        <w:rPr>
          <w:rFonts w:ascii="Calibri" w:cs="Calibri" w:eastAsia="Calibri" w:hAnsi="Calibri"/>
          <w:sz w:val="22"/>
          <w:szCs w:val="22"/>
        </w:rPr>
        <w:t xml:space="preserve">.</w:t>
      </w:r>
    </w:p>
    <w:p>
      <w:pPr>
        <w:spacing w:after="160"/>
      </w:pPr>
      <w:hyperlink w:history="1" r:id="rIdeprglev-1teet96_mhrlg">
        <w:r>
          <w:rPr>
            <w:rStyle w:val="Hyperlink"/>
            <w:rFonts w:ascii="Calibri" w:cs="Calibri" w:eastAsia="Calibri" w:hAnsi="Calibri"/>
            <w:sz w:val="22"/>
            <w:szCs w:val="22"/>
          </w:rPr>
          <w:t xml:space="preserve">[23]</w:t>
        </w:r>
      </w:hyperlink>
    </w:p>
    <w:p>
      <w:pPr>
        <w:spacing w:after="160"/>
      </w:pPr>
      <w:r>
        <w:rPr>
          <w:rFonts w:ascii="Calibri" w:cs="Calibri" w:eastAsia="Calibri" w:hAnsi="Calibri"/>
          <w:sz w:val="22"/>
          <w:szCs w:val="22"/>
        </w:rPr>
        <w:t xml:space="preserve">Step 1: Identify the Restraint and Its Forms The RPM strategy involved setting minimum or fixed resale prices and prohibiting markdowns </w:t>
      </w:r>
      <w:hyperlink w:history="1" r:id="rIdgduennqkfgjj8wb9qtgup">
        <w:r>
          <w:rPr>
            <w:rStyle w:val="Hyperlink"/>
            <w:rFonts w:ascii="Calibri" w:cs="Calibri" w:eastAsia="Calibri" w:hAnsi="Calibri"/>
            <w:sz w:val="22"/>
            <w:szCs w:val="22"/>
          </w:rPr>
          <w:t xml:space="preserve">[29]</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Step 2: Classify the Restraint and Theories of Harm Classified as a restriction of competition by object, the RPM eliminated intra-brand price competition </w:t>
      </w:r>
      <w:hyperlink w:history="1" r:id="rIdxkn5ugk0cqliiinapdpyk">
        <w:r>
          <w:rPr>
            <w:rStyle w:val="Hyperlink"/>
            <w:rFonts w:ascii="Calibri" w:cs="Calibri" w:eastAsia="Calibri" w:hAnsi="Calibri"/>
            <w:sz w:val="22"/>
            <w:szCs w:val="22"/>
          </w:rPr>
          <w:t xml:space="preserve">[30]</w:t>
        </w:r>
      </w:hyperlink>
    </w:p>
    <w:p>
      <w:pPr>
        <w:spacing w:after="160"/>
      </w:pPr>
      <w:r>
        <w:rPr>
          <w:rFonts w:ascii="Calibri" w:cs="Calibri" w:eastAsia="Calibri" w:hAnsi="Calibri"/>
          <w:sz w:val="22"/>
          <w:szCs w:val="22"/>
        </w:rPr>
        <w:t xml:space="preserve">Step 3: Assess Pro-Competitive Rationales and Exceptions The document does not provide detailed information on pro-competitive rationales or exceptions.</w:t>
      </w:r>
    </w:p>
    <w:p>
      <w:pPr>
        <w:spacing w:after="160"/>
      </w:pPr>
      <w:r>
        <w:rPr>
          <w:rFonts w:ascii="Calibri" w:cs="Calibri" w:eastAsia="Calibri" w:hAnsi="Calibri"/>
          <w:sz w:val="22"/>
          <w:szCs w:val="22"/>
        </w:rPr>
        <w:t xml:space="preserve">Step 4: Legal Assessment The conduct was part of an overall plan to distort competition, acknowledged by Loewe </w:t>
      </w:r>
      <w:hyperlink w:history="1" r:id="rIdmexmj9zjrick7x5desbnu">
        <w:r>
          <w:rPr>
            <w:rStyle w:val="Hyperlink"/>
            <w:rFonts w:ascii="Calibri" w:cs="Calibri" w:eastAsia="Calibri" w:hAnsi="Calibri"/>
            <w:sz w:val="22"/>
            <w:szCs w:val="22"/>
          </w:rPr>
          <w:t xml:space="preserve">[31]</w:t>
        </w:r>
      </w:hyperlink>
    </w:p>
    <w:p>
      <w:pPr>
        <w:spacing w:after="160"/>
      </w:pPr>
      <w:r>
        <w:rPr>
          <w:rFonts w:ascii="Calibri" w:cs="Calibri" w:eastAsia="Calibri" w:hAnsi="Calibri"/>
          <w:sz w:val="22"/>
          <w:szCs w:val="22"/>
        </w:rPr>
        <w:t xml:space="preserve">Step 5: Economic Assessment The economic assessment considered the gravity and duration of the infringement, applying a gravity percentage of 8% </w:t>
      </w:r>
      <w:hyperlink w:history="1" r:id="rId6bc-oyxd7smdi3kmuqzn6">
        <w:r>
          <w:rPr>
            <w:rStyle w:val="Hyperlink"/>
            <w:rFonts w:ascii="Calibri" w:cs="Calibri" w:eastAsia="Calibri" w:hAnsi="Calibri"/>
            <w:sz w:val="22"/>
            <w:szCs w:val="22"/>
          </w:rPr>
          <w:t xml:space="preserve">[32]</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Outcome Loewe and its parent company LVMH were found liable, with a fine imposed based on sales value and infringement duration </w:t>
      </w:r>
      <w:hyperlink w:history="1" r:id="rIdgej9-s1iulxf4dvpnw9uv">
        <w:r>
          <w:rPr>
            <w:rStyle w:val="Hyperlink"/>
            <w:rFonts w:ascii="Calibri" w:cs="Calibri" w:eastAsia="Calibri" w:hAnsi="Calibri"/>
            <w:sz w:val="22"/>
            <w:szCs w:val="22"/>
          </w:rPr>
          <w:t xml:space="preserve">[33]</w:t>
        </w:r>
      </w:hyperlink>
    </w:p>
    <w:p>
      <w:pPr>
        <w:spacing w:after="160"/>
      </w:pPr>
      <w:hyperlink w:history="1" r:id="rIdihkgs1k1ht6na7klxbpgl">
        <w:r>
          <w:rPr>
            <w:rStyle w:val="Hyperlink"/>
            <w:rFonts w:ascii="Calibri" w:cs="Calibri" w:eastAsia="Calibri" w:hAnsi="Calibri"/>
            <w:sz w:val="22"/>
            <w:szCs w:val="22"/>
          </w:rPr>
          <w:t xml:space="preserve">[24]</w:t>
        </w:r>
      </w:hyperlink>
    </w:p>
    <w:p>
      <w:pPr>
        <w:spacing w:after="160"/>
      </w:pPr>
      <w:r>
        <w:rPr>
          <w:rFonts w:ascii="Calibri" w:cs="Calibri" w:eastAsia="Calibri" w:hAnsi="Calibri"/>
          <w:sz w:val="22"/>
          <w:szCs w:val="22"/>
        </w:rPr>
        <w:t xml:space="preserve">Step 1: Identify the Restraint and Its Forms The RPM involved setting fixed retail prices and discount rates, alongside online sales restrictions </w:t>
      </w:r>
      <w:hyperlink w:history="1" r:id="rIdvoc82snqhuz2dwikdjpvw">
        <w:r>
          <w:rPr>
            <w:rStyle w:val="Hyperlink"/>
            <w:rFonts w:ascii="Calibri" w:cs="Calibri" w:eastAsia="Calibri" w:hAnsi="Calibri"/>
            <w:sz w:val="22"/>
            <w:szCs w:val="22"/>
          </w:rPr>
          <w:t xml:space="preserve">[34]</w:t>
        </w:r>
      </w:hyperlink>
    </w:p>
    <w:p>
      <w:pPr>
        <w:spacing w:after="160"/>
      </w:pPr>
      <w:r>
        <w:rPr>
          <w:rFonts w:ascii="Calibri" w:cs="Calibri" w:eastAsia="Calibri" w:hAnsi="Calibri"/>
          <w:sz w:val="22"/>
          <w:szCs w:val="22"/>
        </w:rPr>
        <w:t xml:space="preserve">Step 2: Classify the Restraint and Theories of Harm Classified as "by object" restrictions, the RPM eliminated intra-brand price competition </w:t>
      </w:r>
      <w:hyperlink w:history="1" r:id="rIda_gddyqgs3kcn2y9jjwse">
        <w:r>
          <w:rPr>
            <w:rStyle w:val="Hyperlink"/>
            <w:rFonts w:ascii="Calibri" w:cs="Calibri" w:eastAsia="Calibri" w:hAnsi="Calibri"/>
            <w:sz w:val="22"/>
            <w:szCs w:val="22"/>
          </w:rPr>
          <w:t xml:space="preserve">[35]</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Step 3: Assess Pro-Competitive Rationales and Exceptions No pro-competitive rationales or exceptions were applicable </w:t>
      </w:r>
      <w:hyperlink w:history="1" r:id="rIdpidhwfpok6nsqeuuckcls">
        <w:r>
          <w:rPr>
            <w:rStyle w:val="Hyperlink"/>
            <w:rFonts w:ascii="Calibri" w:cs="Calibri" w:eastAsia="Calibri" w:hAnsi="Calibri"/>
            <w:sz w:val="22"/>
            <w:szCs w:val="22"/>
          </w:rPr>
          <w:t xml:space="preserve">[36]</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Step 4: Legal Assessment The practices were part of a single and continuous infringement strategy </w:t>
      </w:r>
      <w:hyperlink w:history="1" r:id="rIdg1ddl8uu_1pyuux8uapph">
        <w:r>
          <w:rPr>
            <w:rStyle w:val="Hyperlink"/>
            <w:rFonts w:ascii="Calibri" w:cs="Calibri" w:eastAsia="Calibri" w:hAnsi="Calibri"/>
            <w:sz w:val="22"/>
            <w:szCs w:val="22"/>
          </w:rPr>
          <w:t xml:space="preserve">[37]</w:t>
        </w:r>
      </w:hyperlink>
    </w:p>
    <w:p>
      <w:pPr>
        <w:spacing w:after="160"/>
      </w:pPr>
      <w:r>
        <w:rPr>
          <w:rFonts w:ascii="Calibri" w:cs="Calibri" w:eastAsia="Calibri" w:hAnsi="Calibri"/>
          <w:sz w:val="22"/>
          <w:szCs w:val="22"/>
        </w:rPr>
        <w:t xml:space="preserve">Step 5: Economic Assessment The economic assessment noted the impact on trade within the EEA, affecting competition structure </w:t>
      </w:r>
      <w:hyperlink w:history="1" r:id="rIdsfmjlok68molzmt3zhcqn">
        <w:r>
          <w:rPr>
            <w:rStyle w:val="Hyperlink"/>
            <w:rFonts w:ascii="Calibri" w:cs="Calibri" w:eastAsia="Calibri" w:hAnsi="Calibri"/>
            <w:sz w:val="22"/>
            <w:szCs w:val="22"/>
          </w:rPr>
          <w:t xml:space="preserve">[35]</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Outcome Gucci and its parent company, Kering, were held liable, with remedies and fines imposed </w:t>
      </w:r>
      <w:hyperlink w:history="1" r:id="rId1-k4liu71j-zni1fjfkn_">
        <w:r>
          <w:rPr>
            <w:rStyle w:val="Hyperlink"/>
            <w:rFonts w:ascii="Calibri" w:cs="Calibri" w:eastAsia="Calibri" w:hAnsi="Calibri"/>
            <w:sz w:val="22"/>
            <w:szCs w:val="22"/>
          </w:rPr>
          <w:t xml:space="preserve">[36]</w:t>
        </w:r>
      </w:hyperlink>
      <w:r>
        <w:rPr>
          <w:rFonts w:ascii="Calibri" w:cs="Calibri" w:eastAsia="Calibri" w:hAnsi="Calibri"/>
          <w:sz w:val="22"/>
          <w:szCs w:val="22"/>
        </w:rPr>
        <w:t xml:space="preserve">.</w:t>
      </w:r>
    </w:p>
    <w:p>
      <w:pPr>
        <w:spacing w:after="140" w:before="220"/>
      </w:pPr>
      <w:r>
        <w:rPr>
          <w:rFonts w:ascii="Calibri" w:cs="Calibri" w:eastAsia="Calibri" w:hAnsi="Calibri"/>
          <w:b/>
          <w:bCs/>
          <w:i/>
          <w:iCs/>
          <w:color w:val="1F4E5F"/>
          <w:sz w:val="24"/>
          <w:szCs w:val="24"/>
        </w:rPr>
        <w:t xml:space="preserve">Comparison across cases</w:t>
      </w:r>
    </w:p>
    <w:p>
      <w:pPr>
        <w:spacing w:after="140" w:before="220"/>
      </w:pPr>
      <w:r>
        <w:rPr>
          <w:rFonts w:ascii="Calibri" w:cs="Calibri" w:eastAsia="Calibri" w:hAnsi="Calibri"/>
          <w:b/>
          <w:bCs/>
          <w:i/>
          <w:iCs/>
          <w:color w:val="1F4E5F"/>
          <w:sz w:val="24"/>
          <w:szCs w:val="24"/>
        </w:rPr>
        <w:t xml:space="preserve">What the cases show about the methodology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4E5F" w:val="clear"/>
            <w:tcMar>
              <w:top w:type="dxa" w:w="80"/>
              <w:left w:type="dxa" w:w="100"/>
              <w:bottom w:type="dxa" w:w="80"/>
              <w:right w:type="dxa" w:w="100"/>
            </w:tcMar>
          </w:tcPr>
          <w:p>
            <w:r>
              <w:rPr>
                <w:rFonts w:ascii="Calibri" w:cs="Calibri" w:eastAsia="Calibri" w:hAnsi="Calibri"/>
                <w:b/>
                <w:bCs/>
                <w:color w:val="FFFFFF"/>
                <w:sz w:val="18"/>
                <w:szCs w:val="18"/>
              </w:rPr>
              <w:t xml:space="preserve">Step</w:t>
            </w:r>
          </w:p>
        </w:tc>
        <w:tc>
          <w:tcPr>
            <w:tcW w:type="pct" w:w="25%"/>
            <w:shd w:fill="1F4E5F" w:val="clear"/>
            <w:tcMar>
              <w:top w:type="dxa" w:w="80"/>
              <w:left w:type="dxa" w:w="100"/>
              <w:bottom w:type="dxa" w:w="80"/>
              <w:right w:type="dxa" w:w="100"/>
            </w:tcMar>
          </w:tcPr>
          <w:p>
            <w:r>
              <w:rPr>
                <w:rFonts w:ascii="Calibri" w:cs="Calibri" w:eastAsia="Calibri" w:hAnsi="Calibri"/>
                <w:b/>
                <w:bCs/>
                <w:color w:val="FFFFFF"/>
                <w:sz w:val="18"/>
                <w:szCs w:val="18"/>
              </w:rPr>
              <w:t xml:space="preserve">Chloé</w:t>
            </w:r>
          </w:p>
        </w:tc>
        <w:tc>
          <w:tcPr>
            <w:tcW w:type="pct" w:w="25%"/>
            <w:shd w:fill="1F4E5F" w:val="clear"/>
            <w:tcMar>
              <w:top w:type="dxa" w:w="80"/>
              <w:left w:type="dxa" w:w="100"/>
              <w:bottom w:type="dxa" w:w="80"/>
              <w:right w:type="dxa" w:w="100"/>
            </w:tcMar>
          </w:tcPr>
          <w:p>
            <w:r>
              <w:rPr>
                <w:rFonts w:ascii="Calibri" w:cs="Calibri" w:eastAsia="Calibri" w:hAnsi="Calibri"/>
                <w:b/>
                <w:bCs/>
                <w:color w:val="FFFFFF"/>
                <w:sz w:val="18"/>
                <w:szCs w:val="18"/>
              </w:rPr>
              <w:t xml:space="preserve">Loewe</w:t>
            </w:r>
          </w:p>
        </w:tc>
        <w:tc>
          <w:tcPr>
            <w:tcW w:type="pct" w:w="25%"/>
            <w:shd w:fill="1F4E5F" w:val="clear"/>
            <w:tcMar>
              <w:top w:type="dxa" w:w="80"/>
              <w:left w:type="dxa" w:w="100"/>
              <w:bottom w:type="dxa" w:w="80"/>
              <w:right w:type="dxa" w:w="100"/>
            </w:tcMar>
          </w:tcPr>
          <w:p>
            <w:r>
              <w:rPr>
                <w:rFonts w:ascii="Calibri" w:cs="Calibri" w:eastAsia="Calibri" w:hAnsi="Calibri"/>
                <w:b/>
                <w:bCs/>
                <w:color w:val="FFFFFF"/>
                <w:sz w:val="18"/>
                <w:szCs w:val="18"/>
              </w:rPr>
              <w:t xml:space="preserve">Gucci</w:t>
            </w:r>
          </w:p>
        </w:tc>
      </w:tr>
      <w:tr>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Identify the Restraint and Its Forms</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Fixed promotional sales dates, "no-markdown" policy</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Minimum/fixed resale prices, no markdowns</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Fixed retail prices, online sales restrictions</w:t>
            </w:r>
          </w:p>
        </w:tc>
      </w:tr>
      <w:tr>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Classify the Restraint and Theories of Harm</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By object, eliminated intra-brand competition</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By object, eliminated intra-brand competition</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By object, eliminated intra-brand competition</w:t>
            </w:r>
          </w:p>
        </w:tc>
      </w:tr>
      <w:tr>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Assess Pro-Competitive Rationales and Exceptions</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None found</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Not detailed</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None found</w:t>
            </w:r>
          </w:p>
        </w:tc>
      </w:tr>
      <w:tr>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Legal Assessment</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Single and continuous infringement</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Part of an overall plan</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Single and continuous infringement</w:t>
            </w:r>
          </w:p>
        </w:tc>
      </w:tr>
      <w:tr>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Economic Assessment</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Not detailed</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Gravity and duration considered</w:t>
            </w:r>
          </w:p>
        </w:tc>
        <w:tc>
          <w:tcPr>
            <w:tcW w:type="pct" w:w="25%"/>
            <w:tcMar>
              <w:top w:type="dxa" w:w="80"/>
              <w:left w:type="dxa" w:w="100"/>
              <w:bottom w:type="dxa" w:w="80"/>
              <w:right w:type="dxa" w:w="100"/>
            </w:tcMar>
          </w:tcPr>
          <w:p>
            <w:r>
              <w:rPr>
                <w:rFonts w:ascii="Calibri" w:cs="Calibri" w:eastAsia="Calibri" w:hAnsi="Calibri"/>
                <w:b w:val="false"/>
                <w:bCs w:val="false"/>
                <w:color w:val="000000"/>
                <w:sz w:val="18"/>
                <w:szCs w:val="18"/>
              </w:rPr>
              <w:t xml:space="preserve">Impact on trade within EEA</w:t>
            </w:r>
          </w:p>
        </w:tc>
      </w:tr>
    </w:tbl>
    <w:p>
      <w:pPr>
        <w:spacing w:after="200"/>
      </w:pPr>
    </w:p>
    <w:p>
      <w:pPr>
        <w:spacing w:after="160"/>
      </w:pPr>
      <w:r>
        <w:rPr>
          <w:rFonts w:ascii="Calibri" w:cs="Calibri" w:eastAsia="Calibri" w:hAnsi="Calibri"/>
          <w:sz w:val="22"/>
          <w:szCs w:val="22"/>
        </w:rPr>
        <w:t xml:space="preserve">The cases demonstrate a consistent application of the methodology for assessing RPM as a by-object restriction. Each case followed the structured steps of identifying the restraint, classifying it, and assessing legal and economic implications. The common pattern across cases is the classification of RPM as a by-object restriction due to its inherent capacity to harm competition, as outlined in the guidelines </w:t>
      </w:r>
      <w:hyperlink w:history="1" r:id="rIdlgz7y3w9nu14iwbugafbd">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However, the relevant-market features, such as the presence of online sales restrictions in Gucci, influenced the analysis, highlighting the importance of contextual assessment. This underscores the necessity of a nuanced approach in evaluating RPM's impact on competition.</w:t>
      </w:r>
    </w:p>
    <w:p>
      <w:pPr>
        <w:spacing w:after="160"/>
      </w:pPr>
      <w:hyperlink w:history="1" r:id="rIdu_39rpgibpk94yjkbrdo5">
        <w:r>
          <w:rPr>
            <w:rStyle w:val="Hyperlink"/>
            <w:rFonts w:ascii="Calibri" w:cs="Calibri" w:eastAsia="Calibri" w:hAnsi="Calibri"/>
            <w:sz w:val="22"/>
            <w:szCs w:val="22"/>
          </w:rPr>
          <w:t xml:space="preserve">[1]</w:t>
        </w:r>
      </w:hyperlink>
    </w:p>
    <w:p>
      <w:pPr>
        <w:spacing w:after="160"/>
      </w:pPr>
      <w:hyperlink w:history="1" r:id="rIdvf9vvfdmayiasy6bnpslu">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 </w:t>
      </w:r>
      <w:hyperlink w:history="1" r:id="rIdp73ffsn9djwio9yhmyop_">
        <w:r>
          <w:rPr>
            <w:rStyle w:val="Hyperlink"/>
            <w:rFonts w:ascii="Calibri" w:cs="Calibri" w:eastAsia="Calibri" w:hAnsi="Calibri"/>
            <w:sz w:val="22"/>
            <w:szCs w:val="22"/>
          </w:rPr>
          <w:t xml:space="preserve">[3]</w:t>
        </w:r>
      </w:hyperlink>
    </w:p>
    <w:p>
      <w:pPr>
        <w:spacing w:after="160"/>
      </w:pPr>
      <w:hyperlink w:history="1" r:id="rIdq5coemjaj4u1zjigfoqxs">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 </w:t>
      </w:r>
      <w:hyperlink w:history="1" r:id="rId-eumkf-31naseqygfjkow">
        <w:r>
          <w:rPr>
            <w:rStyle w:val="Hyperlink"/>
            <w:rFonts w:ascii="Calibri" w:cs="Calibri" w:eastAsia="Calibri" w:hAnsi="Calibri"/>
            <w:sz w:val="22"/>
            <w:szCs w:val="22"/>
          </w:rPr>
          <w:t xml:space="preserve">[5]</w:t>
        </w:r>
      </w:hyperlink>
    </w:p>
    <w:p>
      <w:pPr>
        <w:spacing w:after="160"/>
      </w:pPr>
      <w:hyperlink w:history="1" r:id="rIdygx42ihnuceaagljg7wbl">
        <w:r>
          <w:rPr>
            <w:rStyle w:val="Hyperlink"/>
            <w:rFonts w:ascii="Calibri" w:cs="Calibri" w:eastAsia="Calibri" w:hAnsi="Calibri"/>
            <w:sz w:val="22"/>
            <w:szCs w:val="22"/>
          </w:rPr>
          <w:t xml:space="preserve">[6]</w:t>
        </w:r>
      </w:hyperlink>
      <w:r>
        <w:rPr>
          <w:rFonts w:ascii="Calibri" w:cs="Calibri" w:eastAsia="Calibri" w:hAnsi="Calibri"/>
          <w:sz w:val="22"/>
          <w:szCs w:val="22"/>
        </w:rPr>
        <w:t xml:space="preserve"> </w:t>
      </w:r>
      <w:hyperlink w:history="1" r:id="rId1uej2e23goswseavslqne">
        <w:r>
          <w:rPr>
            <w:rStyle w:val="Hyperlink"/>
            <w:rFonts w:ascii="Calibri" w:cs="Calibri" w:eastAsia="Calibri" w:hAnsi="Calibri"/>
            <w:sz w:val="22"/>
            <w:szCs w:val="22"/>
          </w:rPr>
          <w:t xml:space="preserve">[7]</w:t>
        </w:r>
      </w:hyperlink>
    </w:p>
    <w:p>
      <w:pPr>
        <w:spacing w:after="160"/>
      </w:pPr>
      <w:hyperlink w:history="1" r:id="rIdgunbkc4nufdgaqcmi56tb">
        <w:r>
          <w:rPr>
            <w:rStyle w:val="Hyperlink"/>
            <w:rFonts w:ascii="Calibri" w:cs="Calibri" w:eastAsia="Calibri" w:hAnsi="Calibri"/>
            <w:sz w:val="22"/>
            <w:szCs w:val="22"/>
          </w:rPr>
          <w:t xml:space="preserve">[8]</w:t>
        </w:r>
      </w:hyperlink>
    </w:p>
    <w:p>
      <w:pPr>
        <w:spacing w:after="160"/>
      </w:pPr>
      <w:hyperlink w:history="1" r:id="rIdyu0iml219u1jo-wu5o4r7">
        <w:r>
          <w:rPr>
            <w:rStyle w:val="Hyperlink"/>
            <w:rFonts w:ascii="Calibri" w:cs="Calibri" w:eastAsia="Calibri" w:hAnsi="Calibri"/>
            <w:sz w:val="22"/>
            <w:szCs w:val="22"/>
          </w:rPr>
          <w:t xml:space="preserve">[9]</w:t>
        </w:r>
      </w:hyperlink>
      <w:r>
        <w:rPr>
          <w:rFonts w:ascii="Calibri" w:cs="Calibri" w:eastAsia="Calibri" w:hAnsi="Calibri"/>
          <w:sz w:val="22"/>
          <w:szCs w:val="22"/>
        </w:rPr>
        <w:t xml:space="preserve"> </w:t>
      </w:r>
      <w:hyperlink w:history="1" r:id="rIdnafqjccxhxg_u6z3qlhfu">
        <w:r>
          <w:rPr>
            <w:rStyle w:val="Hyperlink"/>
            <w:rFonts w:ascii="Calibri" w:cs="Calibri" w:eastAsia="Calibri" w:hAnsi="Calibri"/>
            <w:sz w:val="22"/>
            <w:szCs w:val="22"/>
          </w:rPr>
          <w:t xml:space="preserve">[12]</w:t>
        </w:r>
      </w:hyperlink>
    </w:p>
    <w:p>
      <w:pPr>
        <w:spacing w:after="160"/>
      </w:pPr>
      <w:hyperlink w:history="1" r:id="rIdrygvgtliqdeunnyyddke_">
        <w:r>
          <w:rPr>
            <w:rStyle w:val="Hyperlink"/>
            <w:rFonts w:ascii="Calibri" w:cs="Calibri" w:eastAsia="Calibri" w:hAnsi="Calibri"/>
            <w:sz w:val="22"/>
            <w:szCs w:val="22"/>
          </w:rPr>
          <w:t xml:space="preserve">[13]</w:t>
        </w:r>
      </w:hyperlink>
    </w:p>
    <w:p>
      <w:pPr>
        <w:spacing w:after="160"/>
      </w:pPr>
      <w:hyperlink w:history="1" r:id="rIdo2okodg0ghjyi57ergccp">
        <w:r>
          <w:rPr>
            <w:rStyle w:val="Hyperlink"/>
            <w:rFonts w:ascii="Calibri" w:cs="Calibri" w:eastAsia="Calibri" w:hAnsi="Calibri"/>
            <w:sz w:val="22"/>
            <w:szCs w:val="22"/>
          </w:rPr>
          <w:t xml:space="preserve">[14]</w:t>
        </w:r>
      </w:hyperlink>
    </w:p>
    <w:p>
      <w:pPr>
        <w:spacing w:after="12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amhd1tafv8zhb_eahwtmi">
        <w:r>
          <w:rPr>
            <w:rStyle w:val="Hyperlink"/>
            <w:rFonts w:ascii="Calibri" w:cs="Calibri" w:eastAsia="Calibri" w:hAnsi="Calibri"/>
            <w:sz w:val="22"/>
            <w:szCs w:val="22"/>
          </w:rPr>
          <w:t xml:space="preserve">Guidelines on vertical restraints (2022/C 248/01), p. 45</w:t>
        </w:r>
      </w:hyperlink>
    </w:p>
    <w:p>
      <w:pPr>
        <w:pStyle w:val="ListParagraph"/>
        <w:numPr>
          <w:ilvl w:val="0"/>
          <w:numId w:val="2"/>
        </w:numPr>
        <w:spacing w:after="100"/>
      </w:pPr>
      <w:hyperlink w:history="1" r:id="rId9yywomseilki0ffi8tmbv">
        <w:r>
          <w:rPr>
            <w:rStyle w:val="Hyperlink"/>
            <w:rFonts w:ascii="Calibri" w:cs="Calibri" w:eastAsia="Calibri" w:hAnsi="Calibri"/>
            <w:sz w:val="22"/>
            <w:szCs w:val="22"/>
          </w:rPr>
          <w:t xml:space="preserve">Commission Regulation (EU) 2022/720 (Vertical Block Exemption Regulation), p. 7</w:t>
        </w:r>
      </w:hyperlink>
    </w:p>
    <w:p>
      <w:pPr>
        <w:pStyle w:val="ListParagraph"/>
        <w:numPr>
          <w:ilvl w:val="0"/>
          <w:numId w:val="2"/>
        </w:numPr>
        <w:spacing w:after="100"/>
      </w:pPr>
      <w:hyperlink w:history="1" r:id="rIdo1as8qkp__qkda8ednjd0">
        <w:r>
          <w:rPr>
            <w:rStyle w:val="Hyperlink"/>
            <w:rFonts w:ascii="Calibri" w:cs="Calibri" w:eastAsia="Calibri" w:hAnsi="Calibri"/>
            <w:sz w:val="22"/>
            <w:szCs w:val="22"/>
          </w:rPr>
          <w:t xml:space="preserve">Guidelines on vertical restraints (2022/C 248/01), p. 46</w:t>
        </w:r>
      </w:hyperlink>
    </w:p>
    <w:p>
      <w:pPr>
        <w:pStyle w:val="ListParagraph"/>
        <w:numPr>
          <w:ilvl w:val="0"/>
          <w:numId w:val="2"/>
        </w:numPr>
        <w:spacing w:after="100"/>
      </w:pPr>
      <w:hyperlink w:history="1" r:id="rIdgyaold1ptm3dkwwmgfhbk">
        <w:r>
          <w:rPr>
            <w:rStyle w:val="Hyperlink"/>
            <w:rFonts w:ascii="Calibri" w:cs="Calibri" w:eastAsia="Calibri" w:hAnsi="Calibri"/>
            <w:sz w:val="22"/>
            <w:szCs w:val="22"/>
          </w:rPr>
          <w:t xml:space="preserve">Guidelines on vertical restraints (2022/C 248/01), p. 48</w:t>
        </w:r>
      </w:hyperlink>
    </w:p>
    <w:p>
      <w:pPr>
        <w:pStyle w:val="ListParagraph"/>
        <w:numPr>
          <w:ilvl w:val="0"/>
          <w:numId w:val="2"/>
        </w:numPr>
        <w:spacing w:after="100"/>
      </w:pPr>
      <w:hyperlink w:history="1" r:id="rIdk5fsbnqwis47axdmhoemr">
        <w:r>
          <w:rPr>
            <w:rStyle w:val="Hyperlink"/>
            <w:rFonts w:ascii="Calibri" w:cs="Calibri" w:eastAsia="Calibri" w:hAnsi="Calibri"/>
            <w:sz w:val="22"/>
            <w:szCs w:val="22"/>
          </w:rPr>
          <w:t xml:space="preserve">Guidelines on vertical restraints (2022/C 248/01), p. 49</w:t>
        </w:r>
      </w:hyperlink>
    </w:p>
    <w:p>
      <w:pPr>
        <w:pStyle w:val="ListParagraph"/>
        <w:numPr>
          <w:ilvl w:val="0"/>
          <w:numId w:val="2"/>
        </w:numPr>
        <w:spacing w:after="100"/>
      </w:pPr>
      <w:hyperlink w:history="1" r:id="rIddfw0vxkbrtmxo1pygn4go">
        <w:r>
          <w:rPr>
            <w:rStyle w:val="Hyperlink"/>
            <w:rFonts w:ascii="Calibri" w:cs="Calibri" w:eastAsia="Calibri" w:hAnsi="Calibri"/>
            <w:sz w:val="22"/>
            <w:szCs w:val="22"/>
          </w:rPr>
          <w:t xml:space="preserve">Guidelines on vertical restraints (2022/C 248/01), p. 44</w:t>
        </w:r>
      </w:hyperlink>
    </w:p>
    <w:p>
      <w:pPr>
        <w:pStyle w:val="ListParagraph"/>
        <w:numPr>
          <w:ilvl w:val="0"/>
          <w:numId w:val="2"/>
        </w:numPr>
        <w:spacing w:after="100"/>
      </w:pPr>
      <w:hyperlink w:history="1" r:id="rIdbqzk35prcde5ko6puch8x">
        <w:r>
          <w:rPr>
            <w:rStyle w:val="Hyperlink"/>
            <w:rFonts w:ascii="Calibri" w:cs="Calibri" w:eastAsia="Calibri" w:hAnsi="Calibri"/>
            <w:sz w:val="22"/>
            <w:szCs w:val="22"/>
          </w:rPr>
          <w:t xml:space="preserve">Guidelines on the applicability of Article 101 TFEU to horizontal co-operation agreements (2023/C 259/01), p. 12</w:t>
        </w:r>
      </w:hyperlink>
    </w:p>
    <w:p>
      <w:pPr>
        <w:pStyle w:val="ListParagraph"/>
        <w:numPr>
          <w:ilvl w:val="0"/>
          <w:numId w:val="2"/>
        </w:numPr>
        <w:spacing w:after="100"/>
      </w:pPr>
      <w:hyperlink w:history="1" r:id="rIdznpdxfva5ddauz5hr0lhv">
        <w:r>
          <w:rPr>
            <w:rStyle w:val="Hyperlink"/>
            <w:rFonts w:ascii="Calibri" w:cs="Calibri" w:eastAsia="Calibri" w:hAnsi="Calibri"/>
            <w:sz w:val="22"/>
            <w:szCs w:val="22"/>
          </w:rPr>
          <w:t xml:space="preserve">Guidelines on the applicability of Article 101 TFEU to horizontal co-operation agreements (2023/C 259/01), p. 90</w:t>
        </w:r>
      </w:hyperlink>
    </w:p>
    <w:p>
      <w:pPr>
        <w:pStyle w:val="ListParagraph"/>
        <w:numPr>
          <w:ilvl w:val="0"/>
          <w:numId w:val="2"/>
        </w:numPr>
        <w:spacing w:after="100"/>
      </w:pPr>
      <w:hyperlink w:history="1" r:id="rIdskeh48r2xxzcl8mfsjvr2">
        <w:r>
          <w:rPr>
            <w:rStyle w:val="Hyperlink"/>
            <w:rFonts w:ascii="Calibri" w:cs="Calibri" w:eastAsia="Calibri" w:hAnsi="Calibri"/>
            <w:sz w:val="22"/>
            <w:szCs w:val="22"/>
          </w:rPr>
          <w:t xml:space="preserve">Guidelines on vertical restraints (2022/C 248/01), p. 47</w:t>
        </w:r>
      </w:hyperlink>
    </w:p>
    <w:p>
      <w:pPr>
        <w:pStyle w:val="ListParagraph"/>
        <w:numPr>
          <w:ilvl w:val="0"/>
          <w:numId w:val="2"/>
        </w:numPr>
        <w:spacing w:after="100"/>
      </w:pPr>
      <w:hyperlink w:history="1" r:id="rIdtgafjmhjdyogepdpudhi9">
        <w:r>
          <w:rPr>
            <w:rStyle w:val="Hyperlink"/>
            <w:rFonts w:ascii="Calibri" w:cs="Calibri" w:eastAsia="Calibri" w:hAnsi="Calibri"/>
            <w:sz w:val="22"/>
            <w:szCs w:val="22"/>
          </w:rPr>
          <w:t xml:space="preserve">Official case page</w:t>
        </w:r>
      </w:hyperlink>
    </w:p>
    <w:p>
      <w:pPr>
        <w:pStyle w:val="ListParagraph"/>
        <w:numPr>
          <w:ilvl w:val="0"/>
          <w:numId w:val="2"/>
        </w:numPr>
        <w:spacing w:after="100"/>
      </w:pPr>
      <w:hyperlink w:history="1" r:id="rIdri3hbm75rotkfm6mvwocd">
        <w:r>
          <w:rPr>
            <w:rStyle w:val="Hyperlink"/>
            <w:rFonts w:ascii="Calibri" w:cs="Calibri" w:eastAsia="Calibri" w:hAnsi="Calibri"/>
            <w:sz w:val="22"/>
            <w:szCs w:val="22"/>
          </w:rPr>
          <w:t xml:space="preserve">Official case page</w:t>
        </w:r>
      </w:hyperlink>
    </w:p>
    <w:p>
      <w:pPr>
        <w:pStyle w:val="ListParagraph"/>
        <w:numPr>
          <w:ilvl w:val="0"/>
          <w:numId w:val="2"/>
        </w:numPr>
        <w:spacing w:after="100"/>
      </w:pPr>
      <w:hyperlink w:history="1" r:id="rIdqzsnx7zdj5frjjy2vadzv">
        <w:r>
          <w:rPr>
            <w:rStyle w:val="Hyperlink"/>
            <w:rFonts w:ascii="Calibri" w:cs="Calibri" w:eastAsia="Calibri" w:hAnsi="Calibri"/>
            <w:sz w:val="22"/>
            <w:szCs w:val="22"/>
          </w:rPr>
          <w:t xml:space="preserve">Guidelines on the applicability of Article 101 TFEU to horizontal co-operation agreements (2023/C 259/01), p. 25</w:t>
        </w:r>
      </w:hyperlink>
    </w:p>
    <w:p>
      <w:pPr>
        <w:pStyle w:val="ListParagraph"/>
        <w:numPr>
          <w:ilvl w:val="0"/>
          <w:numId w:val="2"/>
        </w:numPr>
        <w:spacing w:after="100"/>
      </w:pPr>
      <w:hyperlink w:history="1" r:id="rIdhv9wep6xkttky36fthlis">
        <w:r>
          <w:rPr>
            <w:rStyle w:val="Hyperlink"/>
            <w:rFonts w:ascii="Calibri" w:cs="Calibri" w:eastAsia="Calibri" w:hAnsi="Calibri"/>
            <w:sz w:val="22"/>
            <w:szCs w:val="22"/>
          </w:rPr>
          <w:t xml:space="preserve">Guidelines on the applicability of Article 101 TFEU to horizontal co-operation agreements (2023/C 259/01), p. 69</w:t>
        </w:r>
      </w:hyperlink>
    </w:p>
    <w:p>
      <w:pPr>
        <w:pStyle w:val="ListParagraph"/>
        <w:numPr>
          <w:ilvl w:val="0"/>
          <w:numId w:val="2"/>
        </w:numPr>
        <w:spacing w:after="100"/>
      </w:pPr>
      <w:hyperlink w:history="1" r:id="rId9cm34bxiq9bgu18flddsn">
        <w:r>
          <w:rPr>
            <w:rStyle w:val="Hyperlink"/>
            <w:rFonts w:ascii="Calibri" w:cs="Calibri" w:eastAsia="Calibri" w:hAnsi="Calibri"/>
            <w:sz w:val="22"/>
            <w:szCs w:val="22"/>
          </w:rPr>
          <w:t xml:space="preserve">Guidelines on the applicability of Article 101 TFEU to horizontal co-operation agreements (2023/C 259/01), p. 117</w:t>
        </w:r>
      </w:hyperlink>
    </w:p>
    <w:p>
      <w:pPr>
        <w:pStyle w:val="ListParagraph"/>
        <w:numPr>
          <w:ilvl w:val="0"/>
          <w:numId w:val="2"/>
        </w:numPr>
        <w:spacing w:after="100"/>
      </w:pPr>
      <w:hyperlink w:history="1" r:id="rIdjsdf-qvy6f6e8r38fj70l">
        <w:r>
          <w:rPr>
            <w:rStyle w:val="Hyperlink"/>
            <w:rFonts w:ascii="Calibri" w:cs="Calibri" w:eastAsia="Calibri" w:hAnsi="Calibri"/>
            <w:sz w:val="22"/>
            <w:szCs w:val="22"/>
          </w:rPr>
          <w:t xml:space="preserve">C-307/18</w:t>
        </w:r>
      </w:hyperlink>
    </w:p>
    <w:p>
      <w:pPr>
        <w:pStyle w:val="ListParagraph"/>
        <w:numPr>
          <w:ilvl w:val="0"/>
          <w:numId w:val="2"/>
        </w:numPr>
        <w:spacing w:after="100"/>
      </w:pPr>
      <w:hyperlink w:history="1" r:id="rIdoz6-ak0ho2vv11ufr1ckw">
        <w:r>
          <w:rPr>
            <w:rStyle w:val="Hyperlink"/>
            <w:rFonts w:ascii="Calibri" w:cs="Calibri" w:eastAsia="Calibri" w:hAnsi="Calibri"/>
            <w:sz w:val="22"/>
            <w:szCs w:val="22"/>
          </w:rPr>
          <w:t xml:space="preserve">Guidelines on the applicability of Article 101 TFEU to horizontal co-operation agreements (2023/C 259/01), p. 10</w:t>
        </w:r>
      </w:hyperlink>
    </w:p>
    <w:p>
      <w:pPr>
        <w:pStyle w:val="ListParagraph"/>
        <w:numPr>
          <w:ilvl w:val="0"/>
          <w:numId w:val="2"/>
        </w:numPr>
        <w:spacing w:after="100"/>
      </w:pPr>
      <w:hyperlink w:history="1" r:id="rIdmipmnm4dctia-7rgwsxcg">
        <w:r>
          <w:rPr>
            <w:rStyle w:val="Hyperlink"/>
            <w:rFonts w:ascii="Calibri" w:cs="Calibri" w:eastAsia="Calibri" w:hAnsi="Calibri"/>
            <w:sz w:val="22"/>
            <w:szCs w:val="22"/>
          </w:rPr>
          <w:t xml:space="preserve">C-591/16 P</w:t>
        </w:r>
      </w:hyperlink>
    </w:p>
    <w:p>
      <w:pPr>
        <w:pStyle w:val="ListParagraph"/>
        <w:numPr>
          <w:ilvl w:val="0"/>
          <w:numId w:val="2"/>
        </w:numPr>
        <w:spacing w:after="100"/>
      </w:pPr>
      <w:hyperlink w:history="1" r:id="rIdskkuos2xu3wodyrctlsgq">
        <w:r>
          <w:rPr>
            <w:rStyle w:val="Hyperlink"/>
            <w:rFonts w:ascii="Calibri" w:cs="Calibri" w:eastAsia="Calibri" w:hAnsi="Calibri"/>
            <w:sz w:val="22"/>
            <w:szCs w:val="22"/>
          </w:rPr>
          <w:t xml:space="preserve">Guidelines on vertical restraints (2022/C 248/01), p. 67</w:t>
        </w:r>
      </w:hyperlink>
    </w:p>
    <w:p>
      <w:pPr>
        <w:pStyle w:val="ListParagraph"/>
        <w:numPr>
          <w:ilvl w:val="0"/>
          <w:numId w:val="2"/>
        </w:numPr>
        <w:spacing w:after="100"/>
      </w:pPr>
      <w:hyperlink w:history="1" r:id="rIded23gfmjehy8g5dbaddnt">
        <w:r>
          <w:rPr>
            <w:rStyle w:val="Hyperlink"/>
            <w:rFonts w:ascii="Calibri" w:cs="Calibri" w:eastAsia="Calibri" w:hAnsi="Calibri"/>
            <w:sz w:val="22"/>
            <w:szCs w:val="22"/>
          </w:rPr>
          <w:t xml:space="preserve">Guidelines on the applicability of Article 101 TFEU to horizontal co-operation agreements (2023/C 259/01), p. 111</w:t>
        </w:r>
      </w:hyperlink>
    </w:p>
    <w:p>
      <w:pPr>
        <w:pStyle w:val="ListParagraph"/>
        <w:numPr>
          <w:ilvl w:val="0"/>
          <w:numId w:val="2"/>
        </w:numPr>
        <w:spacing w:after="100"/>
      </w:pPr>
      <w:hyperlink w:history="1" r:id="rIdwbznvah8lnofhw2edw9av">
        <w:r>
          <w:rPr>
            <w:rStyle w:val="Hyperlink"/>
            <w:rFonts w:ascii="Calibri" w:cs="Calibri" w:eastAsia="Calibri" w:hAnsi="Calibri"/>
            <w:sz w:val="22"/>
            <w:szCs w:val="22"/>
          </w:rPr>
          <w:t xml:space="preserve">Guidelines on the applicability of Article 101 TFEU to horizontal co-operation agreements (2023/C 259/01), p. 9</w:t>
        </w:r>
      </w:hyperlink>
    </w:p>
    <w:p>
      <w:pPr>
        <w:pStyle w:val="ListParagraph"/>
        <w:numPr>
          <w:ilvl w:val="0"/>
          <w:numId w:val="2"/>
        </w:numPr>
        <w:spacing w:after="100"/>
      </w:pPr>
      <w:hyperlink w:history="1" r:id="rIdf5snkillb_ewmlybwxb3k">
        <w:r>
          <w:rPr>
            <w:rStyle w:val="Hyperlink"/>
            <w:rFonts w:ascii="Calibri" w:cs="Calibri" w:eastAsia="Calibri" w:hAnsi="Calibri"/>
            <w:sz w:val="22"/>
            <w:szCs w:val="22"/>
          </w:rPr>
          <w:t xml:space="preserve">Economic study on the dynamic effects of mergers, Volume 1: Main report (DG Competition</w:t>
        </w:r>
      </w:hyperlink>
    </w:p>
    <w:p>
      <w:pPr>
        <w:pStyle w:val="ListParagraph"/>
        <w:numPr>
          <w:ilvl w:val="0"/>
          <w:numId w:val="2"/>
        </w:numPr>
        <w:spacing w:after="100"/>
      </w:pPr>
      <w:hyperlink w:history="1" r:id="rIdg6hp7bxlsybxmm-onapmx">
        <w:r>
          <w:rPr>
            <w:rStyle w:val="Hyperlink"/>
            <w:rFonts w:ascii="Calibri" w:cs="Calibri" w:eastAsia="Calibri" w:hAnsi="Calibri"/>
            <w:sz w:val="22"/>
            <w:szCs w:val="22"/>
          </w:rPr>
          <w:t xml:space="preserve">AT.40880 Chloé</w:t>
        </w:r>
      </w:hyperlink>
    </w:p>
    <w:p>
      <w:pPr>
        <w:pStyle w:val="ListParagraph"/>
        <w:numPr>
          <w:ilvl w:val="0"/>
          <w:numId w:val="2"/>
        </w:numPr>
        <w:spacing w:after="100"/>
      </w:pPr>
      <w:hyperlink w:history="1" r:id="rIdc2dewofkj-ijm2zrgxwpf">
        <w:r>
          <w:rPr>
            <w:rStyle w:val="Hyperlink"/>
            <w:rFonts w:ascii="Calibri" w:cs="Calibri" w:eastAsia="Calibri" w:hAnsi="Calibri"/>
            <w:sz w:val="22"/>
            <w:szCs w:val="22"/>
          </w:rPr>
          <w:t xml:space="preserve">AT.40881 Loewe</w:t>
        </w:r>
      </w:hyperlink>
    </w:p>
    <w:p>
      <w:pPr>
        <w:pStyle w:val="ListParagraph"/>
        <w:numPr>
          <w:ilvl w:val="0"/>
          <w:numId w:val="2"/>
        </w:numPr>
        <w:spacing w:after="100"/>
      </w:pPr>
      <w:hyperlink w:history="1" r:id="rIdnunvdpuiuaerh6lzwghfj">
        <w:r>
          <w:rPr>
            <w:rStyle w:val="Hyperlink"/>
            <w:rFonts w:ascii="Calibri" w:cs="Calibri" w:eastAsia="Calibri" w:hAnsi="Calibri"/>
            <w:sz w:val="22"/>
            <w:szCs w:val="22"/>
          </w:rPr>
          <w:t xml:space="preserve">AT.40840 Gucci</w:t>
        </w:r>
      </w:hyperlink>
    </w:p>
    <w:p>
      <w:pPr>
        <w:pStyle w:val="ListParagraph"/>
        <w:numPr>
          <w:ilvl w:val="0"/>
          <w:numId w:val="2"/>
        </w:numPr>
        <w:spacing w:after="100"/>
      </w:pPr>
      <w:hyperlink w:history="1" r:id="rIdq94otognno6ceuhlr9fpe">
        <w:r>
          <w:rPr>
            <w:rStyle w:val="Hyperlink"/>
            <w:rFonts w:ascii="Calibri" w:cs="Calibri" w:eastAsia="Calibri" w:hAnsi="Calibri"/>
            <w:sz w:val="22"/>
            <w:szCs w:val="22"/>
          </w:rPr>
          <w:t xml:space="preserve">page 11</w:t>
        </w:r>
      </w:hyperlink>
    </w:p>
    <w:p>
      <w:pPr>
        <w:pStyle w:val="ListParagraph"/>
        <w:numPr>
          <w:ilvl w:val="0"/>
          <w:numId w:val="2"/>
        </w:numPr>
        <w:spacing w:after="100"/>
      </w:pPr>
      <w:hyperlink w:history="1" r:id="rIdmnhn01ij5yrvreqreg9co">
        <w:r>
          <w:rPr>
            <w:rStyle w:val="Hyperlink"/>
            <w:rFonts w:ascii="Calibri" w:cs="Calibri" w:eastAsia="Calibri" w:hAnsi="Calibri"/>
            <w:sz w:val="22"/>
            <w:szCs w:val="22"/>
          </w:rPr>
          <w:t xml:space="preserve">page 12</w:t>
        </w:r>
      </w:hyperlink>
    </w:p>
    <w:p>
      <w:pPr>
        <w:pStyle w:val="ListParagraph"/>
        <w:numPr>
          <w:ilvl w:val="0"/>
          <w:numId w:val="2"/>
        </w:numPr>
        <w:spacing w:after="100"/>
      </w:pPr>
      <w:hyperlink w:history="1" r:id="rIdqnk5mvax4wrvlyg7ti6oy">
        <w:r>
          <w:rPr>
            <w:rStyle w:val="Hyperlink"/>
            <w:rFonts w:ascii="Calibri" w:cs="Calibri" w:eastAsia="Calibri" w:hAnsi="Calibri"/>
            <w:sz w:val="22"/>
            <w:szCs w:val="22"/>
          </w:rPr>
          <w:t xml:space="preserve">page 14</w:t>
        </w:r>
      </w:hyperlink>
    </w:p>
    <w:p>
      <w:pPr>
        <w:pStyle w:val="ListParagraph"/>
        <w:numPr>
          <w:ilvl w:val="0"/>
          <w:numId w:val="2"/>
        </w:numPr>
        <w:spacing w:after="100"/>
      </w:pPr>
      <w:hyperlink w:history="1" r:id="rIdwxccstj4uz8a9xpvqxnab">
        <w:r>
          <w:rPr>
            <w:rStyle w:val="Hyperlink"/>
            <w:rFonts w:ascii="Calibri" w:cs="Calibri" w:eastAsia="Calibri" w:hAnsi="Calibri"/>
            <w:sz w:val="22"/>
            <w:szCs w:val="22"/>
          </w:rPr>
          <w:t xml:space="preserve">page 17</w:t>
        </w:r>
      </w:hyperlink>
    </w:p>
    <w:p>
      <w:pPr>
        <w:pStyle w:val="ListParagraph"/>
        <w:numPr>
          <w:ilvl w:val="0"/>
          <w:numId w:val="2"/>
        </w:numPr>
        <w:spacing w:after="100"/>
      </w:pPr>
      <w:hyperlink w:history="1" r:id="rIdymjv4v-5x9hvwwfxtk5qa">
        <w:r>
          <w:rPr>
            <w:rStyle w:val="Hyperlink"/>
            <w:rFonts w:ascii="Calibri" w:cs="Calibri" w:eastAsia="Calibri" w:hAnsi="Calibri"/>
            <w:sz w:val="22"/>
            <w:szCs w:val="22"/>
          </w:rPr>
          <w:t xml:space="preserve">page 4</w:t>
        </w:r>
      </w:hyperlink>
    </w:p>
    <w:p>
      <w:pPr>
        <w:pStyle w:val="ListParagraph"/>
        <w:numPr>
          <w:ilvl w:val="0"/>
          <w:numId w:val="2"/>
        </w:numPr>
        <w:spacing w:after="100"/>
      </w:pPr>
      <w:hyperlink w:history="1" r:id="rIdyxle7xberntx0gpl9cs8x">
        <w:r>
          <w:rPr>
            <w:rStyle w:val="Hyperlink"/>
            <w:rFonts w:ascii="Calibri" w:cs="Calibri" w:eastAsia="Calibri" w:hAnsi="Calibri"/>
            <w:sz w:val="22"/>
            <w:szCs w:val="22"/>
          </w:rPr>
          <w:t xml:space="preserve">page 11</w:t>
        </w:r>
      </w:hyperlink>
    </w:p>
    <w:p>
      <w:pPr>
        <w:pStyle w:val="ListParagraph"/>
        <w:numPr>
          <w:ilvl w:val="0"/>
          <w:numId w:val="2"/>
        </w:numPr>
        <w:spacing w:after="100"/>
      </w:pPr>
      <w:hyperlink w:history="1" r:id="rIdekmiz1ytomtcft3sip_xc">
        <w:r>
          <w:rPr>
            <w:rStyle w:val="Hyperlink"/>
            <w:rFonts w:ascii="Calibri" w:cs="Calibri" w:eastAsia="Calibri" w:hAnsi="Calibri"/>
            <w:sz w:val="22"/>
            <w:szCs w:val="22"/>
          </w:rPr>
          <w:t xml:space="preserve">page 9</w:t>
        </w:r>
      </w:hyperlink>
    </w:p>
    <w:p>
      <w:pPr>
        <w:pStyle w:val="ListParagraph"/>
        <w:numPr>
          <w:ilvl w:val="0"/>
          <w:numId w:val="2"/>
        </w:numPr>
        <w:spacing w:after="100"/>
      </w:pPr>
      <w:hyperlink w:history="1" r:id="rIdx7ra96f3-i82_agilgrcj">
        <w:r>
          <w:rPr>
            <w:rStyle w:val="Hyperlink"/>
            <w:rFonts w:ascii="Calibri" w:cs="Calibri" w:eastAsia="Calibri" w:hAnsi="Calibri"/>
            <w:sz w:val="22"/>
            <w:szCs w:val="22"/>
          </w:rPr>
          <w:t xml:space="preserve">page 15</w:t>
        </w:r>
      </w:hyperlink>
    </w:p>
    <w:p>
      <w:pPr>
        <w:pStyle w:val="ListParagraph"/>
        <w:numPr>
          <w:ilvl w:val="0"/>
          <w:numId w:val="2"/>
        </w:numPr>
        <w:spacing w:after="100"/>
      </w:pPr>
      <w:hyperlink w:history="1" r:id="rIdxetexuuwrt76v0mqr-rce">
        <w:r>
          <w:rPr>
            <w:rStyle w:val="Hyperlink"/>
            <w:rFonts w:ascii="Calibri" w:cs="Calibri" w:eastAsia="Calibri" w:hAnsi="Calibri"/>
            <w:sz w:val="22"/>
            <w:szCs w:val="22"/>
          </w:rPr>
          <w:t xml:space="preserve">page 13</w:t>
        </w:r>
      </w:hyperlink>
    </w:p>
    <w:p>
      <w:pPr>
        <w:pStyle w:val="ListParagraph"/>
        <w:numPr>
          <w:ilvl w:val="0"/>
          <w:numId w:val="2"/>
        </w:numPr>
        <w:spacing w:after="100"/>
      </w:pPr>
      <w:hyperlink w:history="1" r:id="rId4dbb7sgnk8gfrez6kttz6">
        <w:r>
          <w:rPr>
            <w:rStyle w:val="Hyperlink"/>
            <w:rFonts w:ascii="Calibri" w:cs="Calibri" w:eastAsia="Calibri" w:hAnsi="Calibri"/>
            <w:sz w:val="22"/>
            <w:szCs w:val="22"/>
          </w:rPr>
          <w:t xml:space="preserve">page 12</w:t>
        </w:r>
      </w:hyperlink>
    </w:p>
    <w:p>
      <w:pPr>
        <w:pStyle w:val="ListParagraph"/>
        <w:numPr>
          <w:ilvl w:val="0"/>
          <w:numId w:val="2"/>
        </w:numPr>
        <w:spacing w:after="100"/>
      </w:pPr>
      <w:hyperlink w:history="1" r:id="rId_60jfeq7mye-i-hbakjqi">
        <w:r>
          <w:rPr>
            <w:rStyle w:val="Hyperlink"/>
            <w:rFonts w:ascii="Calibri" w:cs="Calibri" w:eastAsia="Calibri" w:hAnsi="Calibri"/>
            <w:sz w:val="22"/>
            <w:szCs w:val="22"/>
          </w:rPr>
          <w:t xml:space="preserve">page 15</w:t>
        </w:r>
      </w:hyperlink>
    </w:p>
    <w:p>
      <w:pPr>
        <w:pStyle w:val="ListParagraph"/>
        <w:numPr>
          <w:ilvl w:val="0"/>
          <w:numId w:val="2"/>
        </w:numPr>
        <w:spacing w:after="100"/>
      </w:pPr>
      <w:hyperlink w:history="1" r:id="rIda-qntke7-ktd-yerswktn">
        <w:r>
          <w:rPr>
            <w:rStyle w:val="Hyperlink"/>
            <w:rFonts w:ascii="Calibri" w:cs="Calibri" w:eastAsia="Calibri" w:hAnsi="Calibri"/>
            <w:sz w:val="22"/>
            <w:szCs w:val="22"/>
          </w:rPr>
          <w:t xml:space="preserve">page 16</w:t>
        </w:r>
      </w:hyperlink>
    </w:p>
    <w:p>
      <w:pPr>
        <w:pStyle w:val="ListParagraph"/>
        <w:numPr>
          <w:ilvl w:val="0"/>
          <w:numId w:val="2"/>
        </w:numPr>
        <w:spacing w:after="100"/>
      </w:pPr>
      <w:hyperlink w:history="1" r:id="rIduoeul6zcrv_rxsx__rmac">
        <w:r>
          <w:rPr>
            <w:rStyle w:val="Hyperlink"/>
            <w:rFonts w:ascii="Calibri" w:cs="Calibri" w:eastAsia="Calibri" w:hAnsi="Calibri"/>
            <w:sz w:val="22"/>
            <w:szCs w:val="22"/>
          </w:rPr>
          <w:t xml:space="preserve">page 11</w:t>
        </w:r>
      </w:hyperlink>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ruvfgv0vgg7k_m1yboua" Type="http://schemas.openxmlformats.org/officeDocument/2006/relationships/hyperlink" Target="https://eur-lex.europa.eu/legal-content/EN/TXT/PDF/?uri=CELEX:52022XC0630(01)#page=45" TargetMode="External"/><Relationship Id="rIdl_rwgr3z_q2f1cn5jgwzm" Type="http://schemas.openxmlformats.org/officeDocument/2006/relationships/hyperlink" Target="https://eur-lex.europa.eu/legal-content/EN/TXT/PDF/?uri=CELEX:32022R0720#page=7" TargetMode="External"/><Relationship Id="rIdunfgapz4ancdgw_mltrsj" Type="http://schemas.openxmlformats.org/officeDocument/2006/relationships/hyperlink" Target="https://eur-lex.europa.eu/legal-content/EN/TXT/PDF/?uri=CELEX:52022XC0630(01)#page=46" TargetMode="External"/><Relationship Id="rIdkbj50xb02lvwc606-pdgy" Type="http://schemas.openxmlformats.org/officeDocument/2006/relationships/hyperlink" Target="https://eur-lex.europa.eu/legal-content/EN/TXT/PDF/?uri=CELEX:52022XC0630(01)#page=48" TargetMode="External"/><Relationship Id="rIdddwypawmvavaph4pjgh7p" Type="http://schemas.openxmlformats.org/officeDocument/2006/relationships/hyperlink" Target="https://eur-lex.europa.eu/legal-content/EN/TXT/PDF/?uri=CELEX:52022XC0630(01)#page=49" TargetMode="External"/><Relationship Id="rIdvxgfy_ocggjrqkksuwjo2" Type="http://schemas.openxmlformats.org/officeDocument/2006/relationships/hyperlink" Target="https://eur-lex.europa.eu/legal-content/EN/TXT/PDF/?uri=CELEX:52022XC0630(01)#page=44" TargetMode="External"/><Relationship Id="rId3bmjnl2jr94qyqzehmykx" Type="http://schemas.openxmlformats.org/officeDocument/2006/relationships/hyperlink" Target="https://eur-lex.europa.eu/legal-content/EN/TXT/PDF/?uri=CELEX:52022XC0630(01)#page=48" TargetMode="External"/><Relationship Id="rIdlsbxuhqu13farswavqmau" Type="http://schemas.openxmlformats.org/officeDocument/2006/relationships/hyperlink" Target="https://eur-lex.europa.eu/legal-content/EN/TXT/PDF/?uri=CELEX:52023XC0721(01)#page=12" TargetMode="External"/><Relationship Id="rIdngnsk99fiu4uipv6wx0ui" Type="http://schemas.openxmlformats.org/officeDocument/2006/relationships/hyperlink" Target="https://eur-lex.europa.eu/legal-content/EN/TXT/PDF/?uri=CELEX:52023XC0721(01)#page=12" TargetMode="External"/><Relationship Id="rIdnb0c_xxo-ipxetw53a6cj" Type="http://schemas.openxmlformats.org/officeDocument/2006/relationships/hyperlink" Target="https://eur-lex.europa.eu/legal-content/EN/TXT/PDF/?uri=CELEX:52023XC0721(01)#page=90" TargetMode="External"/><Relationship Id="rIdzncfssyol9iu-bxtcwfpk" Type="http://schemas.openxmlformats.org/officeDocument/2006/relationships/hyperlink" Target="https://eur-lex.europa.eu/legal-content/EN/TXT/PDF/?uri=CELEX:52023XC0721(01)#page=12" TargetMode="External"/><Relationship Id="rIdjss4jy3sqitfacr4nadui" Type="http://schemas.openxmlformats.org/officeDocument/2006/relationships/hyperlink" Target="https://eur-lex.europa.eu/legal-content/EN/TXT/PDF/?uri=CELEX:52023XC0721(01)#page=12" TargetMode="External"/><Relationship Id="rIdxwysevkj3tehbczeppett" Type="http://schemas.openxmlformats.org/officeDocument/2006/relationships/hyperlink" Target="https://eur-lex.europa.eu/legal-content/EN/TXT/PDF/?uri=CELEX:52023XC0721(01)#page=12" TargetMode="External"/><Relationship Id="rIdu8xcayzjwq_fhhpqucels" Type="http://schemas.openxmlformats.org/officeDocument/2006/relationships/hyperlink" Target="https://eur-lex.europa.eu/legal-content/EN/TXT/PDF/?uri=CELEX:52022XC0630(01)#page=45" TargetMode="External"/><Relationship Id="rIdfzodr2llsxab6eswlfrhh" Type="http://schemas.openxmlformats.org/officeDocument/2006/relationships/hyperlink" Target="https://eur-lex.europa.eu/legal-content/EN/TXT/PDF/?uri=CELEX:52022XC0630(01)#page=46" TargetMode="External"/><Relationship Id="rIdpbcxeydghezll58phbv6z" Type="http://schemas.openxmlformats.org/officeDocument/2006/relationships/hyperlink" Target="https://eur-lex.europa.eu/legal-content/EN/TXT/PDF/?uri=CELEX:52022XC0630(01)#page=47" TargetMode="External"/><Relationship Id="rIdezzqs3rj5e4fea0nqunt-" Type="http://schemas.openxmlformats.org/officeDocument/2006/relationships/hyperlink" Target="https://eur-lex.europa.eu/legal-content/EN/TXT/PDF/?uri=CELEX:52022XC0630(01)#page=45" TargetMode="External"/><Relationship Id="rIdymt-sk311lrzso3hxqe8x" Type="http://schemas.openxmlformats.org/officeDocument/2006/relationships/hyperlink" Target="https://eur-lex.europa.eu/legal-content/EN/TXT/PDF/?uri=CELEX:52022XC0630(01)#page=46" TargetMode="External"/><Relationship Id="rIdclnfd7qmvkqozk8dfirfy" Type="http://schemas.openxmlformats.org/officeDocument/2006/relationships/hyperlink" Target="https://eur-lex.europa.eu/legal-content/EN/TXT/PDF/?uri=CELEX:52022XC0630(01)#page=47" TargetMode="External"/><Relationship Id="rId7bhqabppguigkgd-vi4cn" Type="http://schemas.openxmlformats.org/officeDocument/2006/relationships/hyperlink" Target="https://curia.europa.eu/juris/liste.jsf?num=C-243/83&amp;language=en" TargetMode="External"/><Relationship Id="rIdno7hhq7rjwb1m6fucn8xg" Type="http://schemas.openxmlformats.org/officeDocument/2006/relationships/hyperlink" Target="https://eur-lex.europa.eu/legal-content/EN/TXT/PDF/?uri=CELEX:52022XC0630(01)#page=47" TargetMode="External"/><Relationship Id="rIdphrivkovc2hmizgtsqpx3" Type="http://schemas.openxmlformats.org/officeDocument/2006/relationships/hyperlink" Target="https://curia.europa.eu/juris/liste.jsf?num=C-311/85&amp;language=en" TargetMode="External"/><Relationship Id="rIdubq6hjeo4vr5kx_xdapvg" Type="http://schemas.openxmlformats.org/officeDocument/2006/relationships/hyperlink" Target="https://eur-lex.europa.eu/legal-content/EN/TXT/PDF/?uri=CELEX:52022XC0630(01)#page=47" TargetMode="External"/><Relationship Id="rId6vlobx2ila_xmv2ajjhww" Type="http://schemas.openxmlformats.org/officeDocument/2006/relationships/hyperlink" Target="https://eur-lex.europa.eu/legal-content/EN/TXT/PDF/?uri=CELEX:52022XC0630(01)#page=45" TargetMode="External"/><Relationship Id="rIdekbb3zcc6pyugrd7-jzct" Type="http://schemas.openxmlformats.org/officeDocument/2006/relationships/hyperlink" Target="https://eur-lex.europa.eu/legal-content/EN/TXT/PDF/?uri=CELEX:52023XC0721(01)#page=25" TargetMode="External"/><Relationship Id="rIdqpj5dcg1m19p5lgvvga03" Type="http://schemas.openxmlformats.org/officeDocument/2006/relationships/hyperlink" Target="https://eur-lex.europa.eu/legal-content/EN/TXT/PDF/?uri=CELEX:52022XC0630(01)#page=49" TargetMode="External"/><Relationship Id="rIdoyxtauqsdgstnccd-87iw" Type="http://schemas.openxmlformats.org/officeDocument/2006/relationships/hyperlink" Target="https://eur-lex.europa.eu/legal-content/EN/TXT/PDF/?uri=CELEX:52022XC0630(01)#page=47" TargetMode="External"/><Relationship Id="rId0hm1cgpvf1wxhclp1ygvz" Type="http://schemas.openxmlformats.org/officeDocument/2006/relationships/hyperlink" Target="https://eur-lex.europa.eu/legal-content/EN/TXT/PDF/?uri=CELEX:52023XC0721(01)#page=12" TargetMode="External"/><Relationship Id="rId9aawajnwmgaf24ae292mn" Type="http://schemas.openxmlformats.org/officeDocument/2006/relationships/hyperlink" Target="https://eur-lex.europa.eu/legal-content/EN/TXT/PDF/?uri=CELEX:52022XC0630(01)#page=45" TargetMode="External"/><Relationship Id="rIdk9k_pjez8h27xi8jexmkz" Type="http://schemas.openxmlformats.org/officeDocument/2006/relationships/hyperlink" Target="https://eur-lex.europa.eu/legal-content/EN/TXT/PDF/?uri=CELEX:52022XC0630(01)#page=47" TargetMode="External"/><Relationship Id="rId2i8or0fqrukojgv4ni08p" Type="http://schemas.openxmlformats.org/officeDocument/2006/relationships/hyperlink" Target="https://eur-lex.europa.eu/legal-content/EN/TXT/PDF/?uri=CELEX:52023XC0721(01)#page=12" TargetMode="External"/><Relationship Id="rIdxxj04qqpah65c4u7_jd5g" Type="http://schemas.openxmlformats.org/officeDocument/2006/relationships/hyperlink" Target="https://curia.europa.eu/juris/liste.jsf?num=C-243/83&amp;language=en" TargetMode="External"/><Relationship Id="rIdudp7bwf60-5fokvk-0f8p" Type="http://schemas.openxmlformats.org/officeDocument/2006/relationships/hyperlink" Target="https://eur-lex.europa.eu/legal-content/EN/TXT/PDF/?uri=CELEX:52022XC0630(01)#page=47" TargetMode="External"/><Relationship Id="rIdcnxfacdn0lebiege2piy-" Type="http://schemas.openxmlformats.org/officeDocument/2006/relationships/hyperlink" Target="https://curia.europa.eu/juris/liste.jsf?num=C-311/85&amp;language=en" TargetMode="External"/><Relationship Id="rIduhnf4w6n9wvvst6p5gn-1" Type="http://schemas.openxmlformats.org/officeDocument/2006/relationships/hyperlink" Target="https://eur-lex.europa.eu/legal-content/EN/TXT/PDF/?uri=CELEX:52022XC0630(01)#page=47" TargetMode="External"/><Relationship Id="rIdqss_xnpx0uz4yb9xbvle9" Type="http://schemas.openxmlformats.org/officeDocument/2006/relationships/hyperlink" Target="https://eur-lex.europa.eu/legal-content/EN/TXT/PDF/?uri=CELEX:52022XC0630(01)#page=47" TargetMode="External"/><Relationship Id="rIdrwvh_9eshv0a0ajtjjaxd" Type="http://schemas.openxmlformats.org/officeDocument/2006/relationships/hyperlink" Target="https://eur-lex.europa.eu/legal-content/EN/TXT/PDF/?uri=CELEX:52022XC0630(01)#page=47" TargetMode="External"/><Relationship Id="rIdtm58csyxkrbw7ra2n4vtj" Type="http://schemas.openxmlformats.org/officeDocument/2006/relationships/hyperlink" Target="https://eur-lex.europa.eu/legal-content/EN/TXT/PDF/?uri=CELEX:52023XC0721(01)#page=69" TargetMode="External"/><Relationship Id="rIdi0mgbqxi_jlldzzwugb8s" Type="http://schemas.openxmlformats.org/officeDocument/2006/relationships/hyperlink" Target="https://eur-lex.europa.eu/legal-content/EN/TXT/PDF/?uri=CELEX:52023XC0721(01)#page=69" TargetMode="External"/><Relationship Id="rIdfg8usto5sxc00kmbrx7d5" Type="http://schemas.openxmlformats.org/officeDocument/2006/relationships/hyperlink" Target="https://eur-lex.europa.eu/legal-content/EN/TXT/PDF/?uri=CELEX:52023XC0721(01)#page=117" TargetMode="External"/><Relationship Id="rIdexcesxkz3efw-oaxmg6_a" Type="http://schemas.openxmlformats.org/officeDocument/2006/relationships/hyperlink" Target="https://eur-lex.europa.eu/legal-content/EN/TXT/PDF/?uri=CELEX:52023XC0721(01)#page=69" TargetMode="External"/><Relationship Id="rIdl4mg8u-zkqxrncmdxu04i" Type="http://schemas.openxmlformats.org/officeDocument/2006/relationships/hyperlink" Target="https://eur-lex.europa.eu/legal-content/EN/TXT/PDF/?uri=CELEX:52023XC0721(01)#page=69" TargetMode="External"/><Relationship Id="rIddrapzap7ewxnhkuzzxgzq" Type="http://schemas.openxmlformats.org/officeDocument/2006/relationships/hyperlink" Target="https://curia.europa.eu/juris/liste.jsf?num=C-307/18&amp;language=en" TargetMode="External"/><Relationship Id="rIdbiofxmiqlduhwb0cn3qgl" Type="http://schemas.openxmlformats.org/officeDocument/2006/relationships/hyperlink" Target="https://eur-lex.europa.eu/legal-content/EN/TXT/PDF/?uri=CELEX:52023XC0721(01)#page=10" TargetMode="External"/><Relationship Id="rIdcgowpllxkg50koat2by3l" Type="http://schemas.openxmlformats.org/officeDocument/2006/relationships/hyperlink" Target="https://curia.europa.eu/juris/liste.jsf?num=C-591/16&amp;language=en" TargetMode="External"/><Relationship Id="rId0bepxchgisx65sn_zjwel" Type="http://schemas.openxmlformats.org/officeDocument/2006/relationships/hyperlink" Target="https://eur-lex.europa.eu/legal-content/EN/TXT/PDF/?uri=CELEX:52023XC0721(01)#page=10" TargetMode="External"/><Relationship Id="rIdb4qmuxcy8iwho8bg8tbvz" Type="http://schemas.openxmlformats.org/officeDocument/2006/relationships/hyperlink" Target="https://eur-lex.europa.eu/legal-content/EN/TXT/PDF/?uri=CELEX:52022XC0630(01)#page=47" TargetMode="External"/><Relationship Id="rId8okwxqp0yfmvbpq5880f3" Type="http://schemas.openxmlformats.org/officeDocument/2006/relationships/hyperlink" Target="https://eur-lex.europa.eu/legal-content/EN/TXT/PDF/?uri=CELEX:52022XC0630(01)#page=67" TargetMode="External"/><Relationship Id="rIdwi2ae8mbrsxepnvuignqq" Type="http://schemas.openxmlformats.org/officeDocument/2006/relationships/hyperlink" Target="https://eur-lex.europa.eu/legal-content/EN/TXT/PDF/?uri=CELEX:52023XC0721(01)#page=111" TargetMode="External"/><Relationship Id="rIdsugofithorw_w0t0ahkp6" Type="http://schemas.openxmlformats.org/officeDocument/2006/relationships/hyperlink" Target="https://eur-lex.europa.eu/legal-content/EN/TXT/PDF/?uri=CELEX:52023XC0721(01)#page=9" TargetMode="External"/><Relationship Id="rIdemkonh5rrqjwok7dmagq5" Type="http://schemas.openxmlformats.org/officeDocument/2006/relationships/hyperlink" Target="https://eur-lex.europa.eu/legal-content/EN/TXT/PDF/?uri=CELEX:52022XC0630(01)#page=47" TargetMode="External"/><Relationship Id="rIdigeu0eezlfedb8anjhj86" Type="http://schemas.openxmlformats.org/officeDocument/2006/relationships/hyperlink" Target="https://eur-lex.europa.eu/legal-content/EN/TXT/PDF/?uri=CELEX:52022XC0630(01)#page=67" TargetMode="External"/><Relationship Id="rIdogr4vzoyh2xfncetjqpt1" Type="http://schemas.openxmlformats.org/officeDocument/2006/relationships/hyperlink" Target="https://eur-lex.europa.eu/legal-content/EN/TXT/PDF/?uri=CELEX:52023XC0721(01)#page=111" TargetMode="External"/><Relationship Id="rIdonqebskkaaz8etridgkel" Type="http://schemas.openxmlformats.org/officeDocument/2006/relationships/hyperlink" Target="https://curia.europa.eu/juris/liste.jsf?num=C-243/83&amp;language=en" TargetMode="External"/><Relationship Id="rIduaobicjex41ffgudaydsw" Type="http://schemas.openxmlformats.org/officeDocument/2006/relationships/hyperlink" Target="https://eur-lex.europa.eu/legal-content/EN/TXT/PDF/?uri=CELEX:52022XC0630(01)#page=47" TargetMode="External"/><Relationship Id="rIdwzkltmkhkbwwg6rgbzymm" Type="http://schemas.openxmlformats.org/officeDocument/2006/relationships/hyperlink" Target="https://eur-lex.europa.eu/legal-content/EN/TXT/PDF/?uri=CELEX:52022XC0630(01)#page=47" TargetMode="External"/><Relationship Id="rIdf1mm60hp2k53dsozlvpjk" Type="http://schemas.openxmlformats.org/officeDocument/2006/relationships/hyperlink" Target="https://competition-policy.ec.europa.eu/document/download/dfddb9ab-7248-49bb-9cec-9dcb7f50505b_en?filename=kd0126014enn_dynamic_effects_of_mergers_study_vol1.pdf#page=69" TargetMode="External"/><Relationship Id="rIdil8hgnsszifjwsheffiv4" Type="http://schemas.openxmlformats.org/officeDocument/2006/relationships/hyperlink" Target="https://eur-lex.europa.eu/legal-content/EN/TXT/PDF/?uri=CELEX:52022XC0630(01)#page=48" TargetMode="External"/><Relationship Id="rIdiyswm-dogajxkrsadqp4f" Type="http://schemas.openxmlformats.org/officeDocument/2006/relationships/hyperlink" Target="https://eur-lex.europa.eu/legal-content/EN/TXT/PDF/?uri=CELEX:52022XC0630(01)#page=47" TargetMode="External"/><Relationship Id="rIdybd3ridgplsoyzxfsn6mx" Type="http://schemas.openxmlformats.org/officeDocument/2006/relationships/hyperlink" Target="https://eur-lex.europa.eu/legal-content/EN/TXT/PDF/?uri=CELEX:52022XC0630(01)#page=47" TargetMode="External"/><Relationship Id="rIdgsr1g5gss-x7xj5umqyc3" Type="http://schemas.openxmlformats.org/officeDocument/2006/relationships/hyperlink" Target="https://competition-policy.ec.europa.eu/document/download/dfddb9ab-7248-49bb-9cec-9dcb7f50505b_en?filename=kd0126014enn_dynamic_effects_of_mergers_study_vol1.pdf#page=69" TargetMode="External"/><Relationship Id="rIdqbzfwmv6r9hjjgzpvxpsz" Type="http://schemas.openxmlformats.org/officeDocument/2006/relationships/hyperlink" Target="https://eur-lex.europa.eu/legal-content/EN/TXT/PDF/?uri=CELEX:52022XC0630(01)#page=48" TargetMode="External"/><Relationship Id="rIdikiy5xs4r_xwdwp21o7ad" Type="http://schemas.openxmlformats.org/officeDocument/2006/relationships/hyperlink" Target="https://curia.europa.eu/juris/liste.jsf?num=C-243/83&amp;language=en" TargetMode="External"/><Relationship Id="rIds3gdtoiwnl3fidl4joem8" Type="http://schemas.openxmlformats.org/officeDocument/2006/relationships/hyperlink" Target="https://eur-lex.europa.eu/legal-content/EN/TXT/PDF/?uri=CELEX:52022XC0630(01)#page=47" TargetMode="External"/><Relationship Id="rIdabgihcw0yudall1w2s5x_" Type="http://schemas.openxmlformats.org/officeDocument/2006/relationships/hyperlink" Target="https://curia.europa.eu/juris/liste.jsf?num=C-311/85&amp;language=en" TargetMode="External"/><Relationship Id="rIdeowwxf9uhuzx4fm9dmbmm" Type="http://schemas.openxmlformats.org/officeDocument/2006/relationships/hyperlink" Target="https://eur-lex.europa.eu/legal-content/EN/TXT/PDF/?uri=CELEX:52022XC0630(01)#page=47" TargetMode="External"/><Relationship Id="rId2fr6qcuit2srdoxpyyhzv" Type="http://schemas.openxmlformats.org/officeDocument/2006/relationships/hyperlink" Target="https://ec.europa.eu/competition/antitrust/cases1/20269/AT_40880_645.pdf" TargetMode="External"/><Relationship Id="rIdm9radufpa8tziptztqkvn" Type="http://schemas.openxmlformats.org/officeDocument/2006/relationships/hyperlink" Target="https://ec.europa.eu/competition/antitrust/cases1/20269/AT_40881_1076.pdf" TargetMode="External"/><Relationship Id="rId_xmv-msavmixlyqen1kqq" Type="http://schemas.openxmlformats.org/officeDocument/2006/relationships/hyperlink" Target="https://ec.europa.eu/competition/antitrust/cases1/20269/AT_40840_1895.pdf" TargetMode="External"/><Relationship Id="rIdl65-7u8exyuhids7nj5ju" Type="http://schemas.openxmlformats.org/officeDocument/2006/relationships/hyperlink" Target="https://ec.europa.eu/competition/antitrust/cases1/20269/AT_40880_645.pdf" TargetMode="External"/><Relationship Id="rIdc8xuu6ybykxl7-j_wa3u8" Type="http://schemas.openxmlformats.org/officeDocument/2006/relationships/hyperlink" Target="https://ec.europa.eu/competition/antitrust/cases1/20269/AT_40880_645.pdf#page=11" TargetMode="External"/><Relationship Id="rIdqmwv8helsi08zjfadvof1" Type="http://schemas.openxmlformats.org/officeDocument/2006/relationships/hyperlink" Target="https://ec.europa.eu/competition/antitrust/cases1/20269/AT_40880_645.pdf#page=12" TargetMode="External"/><Relationship Id="rIdzublyas43qhmrgxza8w0s" Type="http://schemas.openxmlformats.org/officeDocument/2006/relationships/hyperlink" Target="https://ec.europa.eu/competition/antitrust/cases1/20269/AT_40880_645.pdf#page=14" TargetMode="External"/><Relationship Id="rIdigicnm78if9uxcx9yzuy4" Type="http://schemas.openxmlformats.org/officeDocument/2006/relationships/hyperlink" Target="https://ec.europa.eu/competition/antitrust/cases1/20269/AT_40880_645.pdf#page=11" TargetMode="External"/><Relationship Id="rIdy8zhebt0qt9hmnwy9jouo" Type="http://schemas.openxmlformats.org/officeDocument/2006/relationships/hyperlink" Target="https://ec.europa.eu/competition/antitrust/cases1/20269/AT_40880_645.pdf#page=17" TargetMode="External"/><Relationship Id="rIdeprglev-1teet96_mhrlg" Type="http://schemas.openxmlformats.org/officeDocument/2006/relationships/hyperlink" Target="https://ec.europa.eu/competition/antitrust/cases1/20269/AT_40881_1076.pdf" TargetMode="External"/><Relationship Id="rIdgduennqkfgjj8wb9qtgup" Type="http://schemas.openxmlformats.org/officeDocument/2006/relationships/hyperlink" Target="https://ec.europa.eu/competition/antitrust/cases1/20269/AT_40881_1076.pdf#page=4" TargetMode="External"/><Relationship Id="rIdxkn5ugk0cqliiinapdpyk" Type="http://schemas.openxmlformats.org/officeDocument/2006/relationships/hyperlink" Target="https://ec.europa.eu/competition/antitrust/cases1/20269/AT_40881_1076.pdf#page=11" TargetMode="External"/><Relationship Id="rIdmexmj9zjrick7x5desbnu" Type="http://schemas.openxmlformats.org/officeDocument/2006/relationships/hyperlink" Target="https://ec.europa.eu/competition/antitrust/cases1/20269/AT_40881_1076.pdf#page=9" TargetMode="External"/><Relationship Id="rId6bc-oyxd7smdi3kmuqzn6" Type="http://schemas.openxmlformats.org/officeDocument/2006/relationships/hyperlink" Target="https://ec.europa.eu/competition/antitrust/cases1/20269/AT_40881_1076.pdf#page=15" TargetMode="External"/><Relationship Id="rIdgej9-s1iulxf4dvpnw9uv" Type="http://schemas.openxmlformats.org/officeDocument/2006/relationships/hyperlink" Target="https://ec.europa.eu/competition/antitrust/cases1/20269/AT_40881_1076.pdf#page=13" TargetMode="External"/><Relationship Id="rIdihkgs1k1ht6na7klxbpgl" Type="http://schemas.openxmlformats.org/officeDocument/2006/relationships/hyperlink" Target="https://ec.europa.eu/competition/antitrust/cases1/20269/AT_40840_1895.pdf" TargetMode="External"/><Relationship Id="rIdvoc82snqhuz2dwikdjpvw" Type="http://schemas.openxmlformats.org/officeDocument/2006/relationships/hyperlink" Target="https://ec.europa.eu/competition/antitrust/cases1/20269/AT_40840_1895.pdf#page=14" TargetMode="External"/><Relationship Id="rIda_gddyqgs3kcn2y9jjwse" Type="http://schemas.openxmlformats.org/officeDocument/2006/relationships/hyperlink" Target="https://ec.europa.eu/competition/antitrust/cases1/20269/AT_40840_1895.pdf#page=17" TargetMode="External"/><Relationship Id="rIdpidhwfpok6nsqeuuckcls" Type="http://schemas.openxmlformats.org/officeDocument/2006/relationships/hyperlink" Target="https://ec.europa.eu/competition/antitrust/cases1/20269/AT_40840_1895.pdf#page=18" TargetMode="External"/><Relationship Id="rIdg1ddl8uu_1pyuux8uapph" Type="http://schemas.openxmlformats.org/officeDocument/2006/relationships/hyperlink" Target="https://ec.europa.eu/competition/antitrust/cases1/20269/AT_40840_1895.pdf#page=13" TargetMode="External"/><Relationship Id="rIdsfmjlok68molzmt3zhcqn" Type="http://schemas.openxmlformats.org/officeDocument/2006/relationships/hyperlink" Target="https://ec.europa.eu/competition/antitrust/cases1/20269/AT_40840_1895.pdf#page=17" TargetMode="External"/><Relationship Id="rId1-k4liu71j-zni1fjfkn_" Type="http://schemas.openxmlformats.org/officeDocument/2006/relationships/hyperlink" Target="https://ec.europa.eu/competition/antitrust/cases1/20269/AT_40840_1895.pdf#page=18" TargetMode="External"/><Relationship Id="rIdlgz7y3w9nu14iwbugafbd" Type="http://schemas.openxmlformats.org/officeDocument/2006/relationships/hyperlink" Target="https://eur-lex.europa.eu/legal-content/EN/TXT/PDF/?uri=CELEX:52022XC0630(01)#page=47" TargetMode="External"/><Relationship Id="rIdu_39rpgibpk94yjkbrdo5" Type="http://schemas.openxmlformats.org/officeDocument/2006/relationships/hyperlink" Target="https://eur-lex.europa.eu/legal-content/EN/TXT/PDF/?uri=CELEX:52022XC0630(01)#page=45" TargetMode="External"/><Relationship Id="rIdvf9vvfdmayiasy6bnpslu" Type="http://schemas.openxmlformats.org/officeDocument/2006/relationships/hyperlink" Target="https://eur-lex.europa.eu/legal-content/EN/TXT/PDF/?uri=CELEX:32022R0720#page=7" TargetMode="External"/><Relationship Id="rIdp73ffsn9djwio9yhmyop_" Type="http://schemas.openxmlformats.org/officeDocument/2006/relationships/hyperlink" Target="https://eur-lex.europa.eu/legal-content/EN/TXT/PDF/?uri=CELEX:52022XC0630(01)#page=46" TargetMode="External"/><Relationship Id="rIdq5coemjaj4u1zjigfoqxs" Type="http://schemas.openxmlformats.org/officeDocument/2006/relationships/hyperlink" Target="https://eur-lex.europa.eu/legal-content/EN/TXT/PDF/?uri=CELEX:52022XC0630(01)#page=48" TargetMode="External"/><Relationship Id="rId-eumkf-31naseqygfjkow" Type="http://schemas.openxmlformats.org/officeDocument/2006/relationships/hyperlink" Target="https://eur-lex.europa.eu/legal-content/EN/TXT/PDF/?uri=CELEX:52022XC0630(01)#page=49" TargetMode="External"/><Relationship Id="rIdygx42ihnuceaagljg7wbl" Type="http://schemas.openxmlformats.org/officeDocument/2006/relationships/hyperlink" Target="https://eur-lex.europa.eu/legal-content/EN/TXT/PDF/?uri=CELEX:52022XC0630(01)#page=44" TargetMode="External"/><Relationship Id="rId1uej2e23goswseavslqne" Type="http://schemas.openxmlformats.org/officeDocument/2006/relationships/hyperlink" Target="https://eur-lex.europa.eu/legal-content/EN/TXT/PDF/?uri=CELEX:52023XC0721(01)#page=12" TargetMode="External"/><Relationship Id="rIdgunbkc4nufdgaqcmi56tb" Type="http://schemas.openxmlformats.org/officeDocument/2006/relationships/hyperlink" Target="https://eur-lex.europa.eu/legal-content/EN/TXT/PDF/?uri=CELEX:52023XC0721(01)#page=90" TargetMode="External"/><Relationship Id="rIdyu0iml219u1jo-wu5o4r7" Type="http://schemas.openxmlformats.org/officeDocument/2006/relationships/hyperlink" Target="https://eur-lex.europa.eu/legal-content/EN/TXT/PDF/?uri=CELEX:52022XC0630(01)#page=47" TargetMode="External"/><Relationship Id="rIdnafqjccxhxg_u6z3qlhfu" Type="http://schemas.openxmlformats.org/officeDocument/2006/relationships/hyperlink" Target="https://eur-lex.europa.eu/legal-content/EN/TXT/PDF/?uri=CELEX:52023XC0721(01)#page=25" TargetMode="External"/><Relationship Id="rIdrygvgtliqdeunnyyddke_" Type="http://schemas.openxmlformats.org/officeDocument/2006/relationships/hyperlink" Target="https://eur-lex.europa.eu/legal-content/EN/TXT/PDF/?uri=CELEX:52023XC0721(01)#page=69" TargetMode="External"/><Relationship Id="rIdo2okodg0ghjyi57ergccp" Type="http://schemas.openxmlformats.org/officeDocument/2006/relationships/hyperlink" Target="https://eur-lex.europa.eu/legal-content/EN/TXT/PDF/?uri=CELEX:52023XC0721(01)#page=117" TargetMode="External"/><Relationship Id="rIdamhd1tafv8zhb_eahwtmi" Type="http://schemas.openxmlformats.org/officeDocument/2006/relationships/hyperlink" Target="https://eur-lex.europa.eu/legal-content/EN/TXT/PDF/?uri=CELEX:52022XC0630(01)#page=45" TargetMode="External"/><Relationship Id="rId9yywomseilki0ffi8tmbv" Type="http://schemas.openxmlformats.org/officeDocument/2006/relationships/hyperlink" Target="https://eur-lex.europa.eu/legal-content/EN/TXT/PDF/?uri=CELEX:32022R0720#page=7" TargetMode="External"/><Relationship Id="rIdo1as8qkp__qkda8ednjd0" Type="http://schemas.openxmlformats.org/officeDocument/2006/relationships/hyperlink" Target="https://eur-lex.europa.eu/legal-content/EN/TXT/PDF/?uri=CELEX:52022XC0630(01)#page=46" TargetMode="External"/><Relationship Id="rIdgyaold1ptm3dkwwmgfhbk" Type="http://schemas.openxmlformats.org/officeDocument/2006/relationships/hyperlink" Target="https://eur-lex.europa.eu/legal-content/EN/TXT/PDF/?uri=CELEX:52022XC0630(01)#page=48" TargetMode="External"/><Relationship Id="rIdk5fsbnqwis47axdmhoemr" Type="http://schemas.openxmlformats.org/officeDocument/2006/relationships/hyperlink" Target="https://eur-lex.europa.eu/legal-content/EN/TXT/PDF/?uri=CELEX:52022XC0630(01)#page=49" TargetMode="External"/><Relationship Id="rIddfw0vxkbrtmxo1pygn4go" Type="http://schemas.openxmlformats.org/officeDocument/2006/relationships/hyperlink" Target="https://eur-lex.europa.eu/legal-content/EN/TXT/PDF/?uri=CELEX:52022XC0630(01)#page=44" TargetMode="External"/><Relationship Id="rIdbqzk35prcde5ko6puch8x" Type="http://schemas.openxmlformats.org/officeDocument/2006/relationships/hyperlink" Target="https://eur-lex.europa.eu/legal-content/EN/TXT/PDF/?uri=CELEX:52023XC0721(01)#page=12" TargetMode="External"/><Relationship Id="rIdznpdxfva5ddauz5hr0lhv" Type="http://schemas.openxmlformats.org/officeDocument/2006/relationships/hyperlink" Target="https://eur-lex.europa.eu/legal-content/EN/TXT/PDF/?uri=CELEX:52023XC0721(01)#page=90" TargetMode="External"/><Relationship Id="rIdskeh48r2xxzcl8mfsjvr2" Type="http://schemas.openxmlformats.org/officeDocument/2006/relationships/hyperlink" Target="https://eur-lex.europa.eu/legal-content/EN/TXT/PDF/?uri=CELEX:52022XC0630(01)#page=47" TargetMode="External"/><Relationship Id="rIdtgafjmhjdyogepdpudhi9" Type="http://schemas.openxmlformats.org/officeDocument/2006/relationships/hyperlink" Target="https://curia.europa.eu/juris/liste.jsf?num=C-243/83&amp;language=en" TargetMode="External"/><Relationship Id="rIdri3hbm75rotkfm6mvwocd" Type="http://schemas.openxmlformats.org/officeDocument/2006/relationships/hyperlink" Target="https://curia.europa.eu/juris/liste.jsf?num=C-311/85&amp;language=en" TargetMode="External"/><Relationship Id="rIdqzsnx7zdj5frjjy2vadzv" Type="http://schemas.openxmlformats.org/officeDocument/2006/relationships/hyperlink" Target="https://eur-lex.europa.eu/legal-content/EN/TXT/PDF/?uri=CELEX:52023XC0721(01)#page=25" TargetMode="External"/><Relationship Id="rIdhv9wep6xkttky36fthlis" Type="http://schemas.openxmlformats.org/officeDocument/2006/relationships/hyperlink" Target="https://eur-lex.europa.eu/legal-content/EN/TXT/PDF/?uri=CELEX:52023XC0721(01)#page=69" TargetMode="External"/><Relationship Id="rId9cm34bxiq9bgu18flddsn" Type="http://schemas.openxmlformats.org/officeDocument/2006/relationships/hyperlink" Target="https://eur-lex.europa.eu/legal-content/EN/TXT/PDF/?uri=CELEX:52023XC0721(01)#page=117" TargetMode="External"/><Relationship Id="rIdjsdf-qvy6f6e8r38fj70l" Type="http://schemas.openxmlformats.org/officeDocument/2006/relationships/hyperlink" Target="https://curia.europa.eu/juris/liste.jsf?num=C-307/18&amp;language=en" TargetMode="External"/><Relationship Id="rIdoz6-ak0ho2vv11ufr1ckw" Type="http://schemas.openxmlformats.org/officeDocument/2006/relationships/hyperlink" Target="https://eur-lex.europa.eu/legal-content/EN/TXT/PDF/?uri=CELEX:52023XC0721(01)#page=10" TargetMode="External"/><Relationship Id="rIdmipmnm4dctia-7rgwsxcg" Type="http://schemas.openxmlformats.org/officeDocument/2006/relationships/hyperlink" Target="https://curia.europa.eu/juris/liste.jsf?num=C-591/16&amp;language=en" TargetMode="External"/><Relationship Id="rIdskkuos2xu3wodyrctlsgq" Type="http://schemas.openxmlformats.org/officeDocument/2006/relationships/hyperlink" Target="https://eur-lex.europa.eu/legal-content/EN/TXT/PDF/?uri=CELEX:52022XC0630(01)#page=67" TargetMode="External"/><Relationship Id="rIded23gfmjehy8g5dbaddnt" Type="http://schemas.openxmlformats.org/officeDocument/2006/relationships/hyperlink" Target="https://eur-lex.europa.eu/legal-content/EN/TXT/PDF/?uri=CELEX:52023XC0721(01)#page=111" TargetMode="External"/><Relationship Id="rIdwbznvah8lnofhw2edw9av" Type="http://schemas.openxmlformats.org/officeDocument/2006/relationships/hyperlink" Target="https://eur-lex.europa.eu/legal-content/EN/TXT/PDF/?uri=CELEX:52023XC0721(01)#page=9" TargetMode="External"/><Relationship Id="rIdf5snkillb_ewmlybwxb3k" Type="http://schemas.openxmlformats.org/officeDocument/2006/relationships/hyperlink" Target="https://competition-policy.ec.europa.eu/document/download/dfddb9ab-7248-49bb-9cec-9dcb7f50505b_en?filename=kd0126014enn_dynamic_effects_of_mergers_study_vol1.pdf#page=69" TargetMode="External"/><Relationship Id="rIdg6hp7bxlsybxmm-onapmx" Type="http://schemas.openxmlformats.org/officeDocument/2006/relationships/hyperlink" Target="https://ec.europa.eu/competition/antitrust/cases1/20269/AT_40880_645.pdf" TargetMode="External"/><Relationship Id="rIdc2dewofkj-ijm2zrgxwpf" Type="http://schemas.openxmlformats.org/officeDocument/2006/relationships/hyperlink" Target="https://ec.europa.eu/competition/antitrust/cases1/20269/AT_40881_1076.pdf" TargetMode="External"/><Relationship Id="rIdnunvdpuiuaerh6lzwghfj" Type="http://schemas.openxmlformats.org/officeDocument/2006/relationships/hyperlink" Target="https://ec.europa.eu/competition/antitrust/cases1/20269/AT_40840_1895.pdf" TargetMode="External"/><Relationship Id="rIdq94otognno6ceuhlr9fpe" Type="http://schemas.openxmlformats.org/officeDocument/2006/relationships/hyperlink" Target="https://ec.europa.eu/competition/antitrust/cases1/20269/AT_40880_645.pdf#page=11" TargetMode="External"/><Relationship Id="rIdmnhn01ij5yrvreqreg9co" Type="http://schemas.openxmlformats.org/officeDocument/2006/relationships/hyperlink" Target="https://ec.europa.eu/competition/antitrust/cases1/20269/AT_40880_645.pdf#page=12" TargetMode="External"/><Relationship Id="rIdqnk5mvax4wrvlyg7ti6oy" Type="http://schemas.openxmlformats.org/officeDocument/2006/relationships/hyperlink" Target="https://ec.europa.eu/competition/antitrust/cases1/20269/AT_40880_645.pdf#page=14" TargetMode="External"/><Relationship Id="rIdwxccstj4uz8a9xpvqxnab" Type="http://schemas.openxmlformats.org/officeDocument/2006/relationships/hyperlink" Target="https://ec.europa.eu/competition/antitrust/cases1/20269/AT_40880_645.pdf#page=17" TargetMode="External"/><Relationship Id="rIdymjv4v-5x9hvwwfxtk5qa" Type="http://schemas.openxmlformats.org/officeDocument/2006/relationships/hyperlink" Target="https://ec.europa.eu/competition/antitrust/cases1/20269/AT_40881_1076.pdf#page=4" TargetMode="External"/><Relationship Id="rIdyxle7xberntx0gpl9cs8x" Type="http://schemas.openxmlformats.org/officeDocument/2006/relationships/hyperlink" Target="https://ec.europa.eu/competition/antitrust/cases1/20269/AT_40881_1076.pdf#page=11" TargetMode="External"/><Relationship Id="rIdekmiz1ytomtcft3sip_xc" Type="http://schemas.openxmlformats.org/officeDocument/2006/relationships/hyperlink" Target="https://ec.europa.eu/competition/antitrust/cases1/20269/AT_40881_1076.pdf#page=9" TargetMode="External"/><Relationship Id="rIdx7ra96f3-i82_agilgrcj" Type="http://schemas.openxmlformats.org/officeDocument/2006/relationships/hyperlink" Target="https://ec.europa.eu/competition/antitrust/cases1/20269/AT_40881_1076.pdf#page=15" TargetMode="External"/><Relationship Id="rIdxetexuuwrt76v0mqr-rce" Type="http://schemas.openxmlformats.org/officeDocument/2006/relationships/hyperlink" Target="https://ec.europa.eu/competition/antitrust/cases1/20269/AT_40881_1076.pdf#page=13" TargetMode="External"/><Relationship Id="rId4dbb7sgnk8gfrez6kttz6" Type="http://schemas.openxmlformats.org/officeDocument/2006/relationships/hyperlink" Target="https://ec.europa.eu/competition/antitrust/cases1/20269/AT_40840_1895.pdf#page=14" TargetMode="External"/><Relationship Id="rId_60jfeq7mye-i-hbakjqi" Type="http://schemas.openxmlformats.org/officeDocument/2006/relationships/hyperlink" Target="https://ec.europa.eu/competition/antitrust/cases1/20269/AT_40840_1895.pdf#page=17" TargetMode="External"/><Relationship Id="rIda-qntke7-ktd-yerswktn" Type="http://schemas.openxmlformats.org/officeDocument/2006/relationships/hyperlink" Target="https://ec.europa.eu/competition/antitrust/cases1/20269/AT_40840_1895.pdf#page=18" TargetMode="External"/><Relationship Id="rIduoeul6zcrv_rxsx__rmac" Type="http://schemas.openxmlformats.org/officeDocument/2006/relationships/hyperlink" Target="https://ec.europa.eu/competition/antitrust/cases1/20269/AT_40840_1895.pdf#page=13" TargetMode="External"/><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2026-09-23T09:37:23.189Z</dcterms:created>
  <dcterms:modified xsi:type="dcterms:W3CDTF">2026-09-23T09:37:23.189Z</dcterms:modified>
</cp:coreProperties>
</file>

<file path=docProps/custom.xml><?xml version="1.0" encoding="utf-8"?>
<Properties xmlns="http://schemas.openxmlformats.org/officeDocument/2006/custom-properties" xmlns:vt="http://schemas.openxmlformats.org/officeDocument/2006/docPropsVTypes"/>
</file>