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libri" w:cs="Calibri" w:eastAsia="Calibri" w:hAnsi="Calibri"/>
          <w:b/>
          <w:bCs/>
          <w:color w:val="1F4E5F"/>
          <w:sz w:val="40"/>
          <w:szCs w:val="40"/>
        </w:rPr>
        <w:t xml:space="preserve">Response Transcript — Sample 3</w:t>
      </w:r>
    </w:p>
    <w:p>
      <w:pPr>
        <w:pBdr>
          <w:bottom w:val="single" w:color="CCCCCC" w:sz="6" w:space="4"/>
        </w:pBdr>
        <w:spacing w:after="30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User Query</w:t>
      </w:r>
    </w:p>
    <w:p>
      <w:pPr>
        <w:pBdr>
          <w:left w:val="single" w:color="1F4E5F" w:sz="18" w:space="8"/>
        </w:pBdr>
        <w:spacing w:after="240"/>
        <w:ind w:left="360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Explain resale price maintenance and why it is treated as a by-object restriction.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System Response</w:t>
      </w:r>
    </w:p>
    <w:p>
      <w:pPr>
        <w:spacing w:after="14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Resale price maintenance is a business practice where a manufacturer or supplier sets restrictions on the resale prices of their products. This means that businesses buying these products must sell them at a certain price or above, also known as a minimum resale price restriction. This practice affects consumers by limiting their choices and potentially raising prices.</w:t>
      </w:r>
    </w:p>
    <w:p>
      <w:pPr>
        <w:spacing w:after="140"/>
      </w:pPr>
      <w:r>
        <w:rPr>
          <w:rFonts w:ascii="Calibri" w:cs="Calibri" w:eastAsia="Calibri" w:hAnsi="Calibri"/>
          <w:i w:val="false"/>
          <w:iCs w:val="false"/>
          <w:sz w:val="22"/>
          <w:szCs w:val="22"/>
        </w:rPr>
        <w:t xml:space="preserve">Deeming this restriction as a by-object restriction means that the agreement restricts future negotiations and could result in anti-competitive behavior. By-object restrictions are evaluated based on their potential impact on market competition rather than their specific wording. In this case, the by-object restriction assessment is relevant because resale price maintenance could prevent competitors from offering more attractive prices, preventing consumers from accessing lower prices and stifling market competition.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F4E5F"/>
          <w:sz w:val="26"/>
          <w:szCs w:val="26"/>
        </w:rPr>
        <w:t xml:space="preserve">Cited Sources</w:t>
      </w:r>
    </w:p>
    <w:p>
      <w:pPr>
        <w:spacing w:after="14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No source links were included in the original response.</w:t>
      </w:r>
    </w:p>
    <w:sectPr>
      <w:headerReference w:type="default" r:id="rId7"/>
      <w:footerReference w:type="default" r:id="rId8"/>
      <w:pgSz w:w="12240" w:h="15840" w:orient="portrait"/>
      <w:pgMar w:top="1080" w:right="1350" w:bottom="108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6"/>
        <w:szCs w:val="16"/>
      </w:rPr>
      <w:t xml:space="preserve">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99999"/>
        <w:sz w:val="16"/>
        <w:szCs w:val="16"/>
      </w:rPr>
      <w:t xml:space="preserve">Competition-Law Assistant Evaluation — Blinded Transcript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2026-09-02T10:46:34.884Z</dcterms:created>
  <dcterms:modified xsi:type="dcterms:W3CDTF">2026-09-02T10:46:34.884Z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