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Calibri" w:cs="Calibri" w:eastAsia="Calibri" w:hAnsi="Calibri"/>
          <w:b/>
          <w:bCs/>
          <w:color w:val="1F4E5F"/>
          <w:sz w:val="32"/>
          <w:szCs w:val="32"/>
        </w:rPr>
        <w:t xml:space="preserve">Response Transcript — Sample 4</w:t>
      </w:r>
    </w:p>
    <w:p>
      <w:pPr>
        <w:pBdr>
          <w:bottom w:val="single" w:color="AAAAAA" w:sz="6" w:space="4"/>
        </w:pBdr>
        <w:spacing w:after="200" w:before="200"/>
      </w:pPr>
    </w:p>
    <w:p>
      <w:pPr>
        <w:spacing w:after="120" w:before="240"/>
      </w:pPr>
      <w:r>
        <w:rPr>
          <w:rFonts w:ascii="Calibri" w:cs="Calibri" w:eastAsia="Calibri" w:hAnsi="Calibri"/>
          <w:b/>
          <w:bCs/>
          <w:color w:val="1F4E5F"/>
          <w:sz w:val="24"/>
          <w:szCs w:val="24"/>
        </w:rPr>
        <w:t xml:space="preserve">User Query</w:t>
      </w:r>
    </w:p>
    <w:p>
      <w:pPr>
        <w:pBdr>
          <w:left w:val="single" w:color="1F4E5F" w:sz="12" w:space="8"/>
        </w:pBdr>
        <w:spacing w:after="200"/>
        <w:ind w:left="360"/>
      </w:pPr>
      <w:r>
        <w:rPr>
          <w:rFonts w:ascii="Calibri" w:cs="Calibri" w:eastAsia="Calibri" w:hAnsi="Calibri"/>
          <w:i/>
          <w:iCs/>
          <w:sz w:val="22"/>
          <w:szCs w:val="22"/>
        </w:rPr>
        <w:t xml:space="preserve">Explain resale price maintenance and why it is treated as a by-object restriction.</w:t>
      </w:r>
    </w:p>
    <w:p>
      <w:pPr>
        <w:spacing w:after="120" w:before="240"/>
      </w:pPr>
      <w:r>
        <w:rPr>
          <w:rFonts w:ascii="Calibri" w:cs="Calibri" w:eastAsia="Calibri" w:hAnsi="Calibri"/>
          <w:b/>
          <w:bCs/>
          <w:color w:val="1F4E5F"/>
          <w:sz w:val="24"/>
          <w:szCs w:val="24"/>
        </w:rPr>
        <w:t xml:space="preserve">System Response</w:t>
      </w:r>
    </w:p>
    <w:p>
      <w:pPr>
        <w:spacing w:after="120" w:before="240"/>
      </w:pPr>
      <w:r>
        <w:rPr>
          <w:rFonts w:ascii="Calibri" w:cs="Calibri" w:eastAsia="Calibri" w:hAnsi="Calibri"/>
          <w:b/>
          <w:bCs/>
          <w:sz w:val="22"/>
          <w:szCs w:val="22"/>
        </w:rPr>
        <w:t xml:space="preserve">Resale Price Maintenance (RPM)</w:t>
      </w:r>
    </w:p>
    <w:p>
      <w:pPr>
        <w:spacing w:after="120"/>
      </w:pPr>
      <w:r>
        <w:rPr>
          <w:rFonts w:ascii="Calibri" w:cs="Calibri" w:eastAsia="Calibri" w:hAnsi="Calibri"/>
          <w:b w:val="false"/>
          <w:bCs w:val="false"/>
          <w:i w:val="false"/>
          <w:iCs w:val="false"/>
          <w:sz w:val="22"/>
          <w:szCs w:val="22"/>
        </w:rPr>
        <w:t xml:space="preserve">Resale price maintenance occurs when a supplier (manufacturer or wholesaler) restricts the prices at which its distributors or retailers can resell its products. This can take several forms:</w:t>
      </w:r>
    </w:p>
    <w:p>
      <w:pPr>
        <w:pStyle w:val="ListParagraph"/>
        <w:numPr>
          <w:ilvl w:val="0"/>
          <w:numId w:val="2"/>
        </w:numPr>
        <w:spacing w:after="100"/>
      </w:pPr>
      <w:r>
        <w:rPr>
          <w:rFonts w:ascii="Calibri" w:cs="Calibri" w:eastAsia="Calibri" w:hAnsi="Calibri"/>
          <w:b/>
          <w:bCs/>
          <w:i w:val="false"/>
          <w:iCs w:val="false"/>
          <w:sz w:val="22"/>
          <w:szCs w:val="22"/>
        </w:rPr>
        <w:t xml:space="preserve">Fixed resale prices</w:t>
      </w:r>
      <w:r>
        <w:rPr>
          <w:rFonts w:ascii="Calibri" w:cs="Calibri" w:eastAsia="Calibri" w:hAnsi="Calibri"/>
          <w:b w:val="false"/>
          <w:bCs w:val="false"/>
          <w:i w:val="false"/>
          <w:iCs w:val="false"/>
          <w:sz w:val="22"/>
          <w:szCs w:val="22"/>
        </w:rPr>
        <w:t xml:space="preserve"> – the retailer must sell at exactly the price set by the supplier</w:t>
      </w:r>
    </w:p>
    <w:p>
      <w:pPr>
        <w:pStyle w:val="ListParagraph"/>
        <w:numPr>
          <w:ilvl w:val="0"/>
          <w:numId w:val="2"/>
        </w:numPr>
        <w:spacing w:after="100"/>
      </w:pPr>
      <w:r>
        <w:rPr>
          <w:rFonts w:ascii="Calibri" w:cs="Calibri" w:eastAsia="Calibri" w:hAnsi="Calibri"/>
          <w:b/>
          <w:bCs/>
          <w:i w:val="false"/>
          <w:iCs w:val="false"/>
          <w:sz w:val="22"/>
          <w:szCs w:val="22"/>
        </w:rPr>
        <w:t xml:space="preserve">Minimum resale prices (or minimum advertised prices)</w:t>
      </w:r>
      <w:r>
        <w:rPr>
          <w:rFonts w:ascii="Calibri" w:cs="Calibri" w:eastAsia="Calibri" w:hAnsi="Calibri"/>
          <w:b w:val="false"/>
          <w:bCs w:val="false"/>
          <w:i w:val="false"/>
          <w:iCs w:val="false"/>
          <w:sz w:val="22"/>
          <w:szCs w:val="22"/>
        </w:rPr>
        <w:t xml:space="preserve"> – the retailer cannot sell below a floor set by the supplier</w:t>
      </w:r>
    </w:p>
    <w:p>
      <w:pPr>
        <w:pStyle w:val="ListParagraph"/>
        <w:numPr>
          <w:ilvl w:val="0"/>
          <w:numId w:val="2"/>
        </w:numPr>
        <w:spacing w:after="100"/>
      </w:pPr>
      <w:r>
        <w:rPr>
          <w:rFonts w:ascii="Calibri" w:cs="Calibri" w:eastAsia="Calibri" w:hAnsi="Calibri"/>
          <w:b/>
          <w:bCs/>
          <w:i w:val="false"/>
          <w:iCs w:val="false"/>
          <w:sz w:val="22"/>
          <w:szCs w:val="22"/>
        </w:rPr>
        <w:t xml:space="preserve">Maximum resale prices</w:t>
      </w:r>
      <w:r>
        <w:rPr>
          <w:rFonts w:ascii="Calibri" w:cs="Calibri" w:eastAsia="Calibri" w:hAnsi="Calibri"/>
          <w:b w:val="false"/>
          <w:bCs w:val="false"/>
          <w:i w:val="false"/>
          <w:iCs w:val="false"/>
          <w:sz w:val="22"/>
          <w:szCs w:val="22"/>
        </w:rPr>
        <w:t xml:space="preserve"> – the retailer cannot sell above a ceiling (this is treated much more leniently, see below)</w:t>
      </w:r>
    </w:p>
    <w:p>
      <w:pPr>
        <w:pStyle w:val="ListParagraph"/>
        <w:numPr>
          <w:ilvl w:val="0"/>
          <w:numId w:val="2"/>
        </w:numPr>
        <w:spacing w:after="100"/>
      </w:pPr>
      <w:r>
        <w:rPr>
          <w:rFonts w:ascii="Calibri" w:cs="Calibri" w:eastAsia="Calibri" w:hAnsi="Calibri"/>
          <w:b/>
          <w:bCs/>
          <w:i w:val="false"/>
          <w:iCs w:val="false"/>
          <w:sz w:val="22"/>
          <w:szCs w:val="22"/>
        </w:rPr>
        <w:t xml:space="preserve">Indirect RPM</w:t>
      </w:r>
      <w:r>
        <w:rPr>
          <w:rFonts w:ascii="Calibri" w:cs="Calibri" w:eastAsia="Calibri" w:hAnsi="Calibri"/>
          <w:b w:val="false"/>
          <w:bCs w:val="false"/>
          <w:i w:val="false"/>
          <w:iCs w:val="false"/>
          <w:sz w:val="22"/>
          <w:szCs w:val="22"/>
        </w:rPr>
        <w:t xml:space="preserve"> – achieving the same effect through other means, such as tying rebates or marketing support to price compliance, monitoring and pressuring retailers who discount, or using "recommended" prices backed by threats of supply termination</w:t>
      </w:r>
    </w:p>
    <w:p>
      <w:pPr>
        <w:spacing w:after="120"/>
      </w:pPr>
      <w:r>
        <w:rPr>
          <w:rFonts w:ascii="Calibri" w:cs="Calibri" w:eastAsia="Calibri" w:hAnsi="Calibri"/>
          <w:b w:val="false"/>
          <w:bCs w:val="false"/>
          <w:i w:val="false"/>
          <w:iCs w:val="false"/>
          <w:sz w:val="22"/>
          <w:szCs w:val="22"/>
        </w:rPr>
        <w:t xml:space="preserve">The typical concern is with fixed or minimum RPM, since these are the forms that most directly suppress price competition between retailers of the same brand ("intra-brand competition").</w:t>
      </w:r>
    </w:p>
    <w:p>
      <w:pPr>
        <w:spacing w:after="120" w:before="240"/>
      </w:pPr>
      <w:r>
        <w:rPr>
          <w:rFonts w:ascii="Calibri" w:cs="Calibri" w:eastAsia="Calibri" w:hAnsi="Calibri"/>
          <w:b/>
          <w:bCs/>
          <w:sz w:val="22"/>
          <w:szCs w:val="22"/>
        </w:rPr>
        <w:t xml:space="preserve">Why It's a "By Object" Restriction</w:t>
      </w:r>
    </w:p>
    <w:p>
      <w:pPr>
        <w:spacing w:after="120"/>
      </w:pPr>
      <w:r>
        <w:rPr>
          <w:rFonts w:ascii="Calibri" w:cs="Calibri" w:eastAsia="Calibri" w:hAnsi="Calibri"/>
          <w:b w:val="false"/>
          <w:bCs w:val="false"/>
          <w:i w:val="false"/>
          <w:iCs w:val="false"/>
          <w:sz w:val="22"/>
          <w:szCs w:val="22"/>
        </w:rPr>
        <w:t xml:space="preserve">In competition law (this is the standard framing under EU/UK law, and similar reasoning underpins US per se treatment historically, though US law has moved to a rule-of-reason approach since </w:t>
      </w:r>
      <w:r>
        <w:rPr>
          <w:rFonts w:ascii="Calibri" w:cs="Calibri" w:eastAsia="Calibri" w:hAnsi="Calibri"/>
          <w:b w:val="false"/>
          <w:bCs w:val="false"/>
          <w:i/>
          <w:iCs/>
          <w:sz w:val="22"/>
          <w:szCs w:val="22"/>
        </w:rPr>
        <w:t xml:space="preserve">Leegin</w:t>
      </w:r>
      <w:r>
        <w:rPr>
          <w:rFonts w:ascii="Calibri" w:cs="Calibri" w:eastAsia="Calibri" w:hAnsi="Calibri"/>
          <w:b w:val="false"/>
          <w:bCs w:val="false"/>
          <w:i w:val="false"/>
          <w:iCs w:val="false"/>
          <w:sz w:val="22"/>
          <w:szCs w:val="22"/>
        </w:rPr>
        <w:t xml:space="preserve"> in 2007), restrictions are classified as either:</w:t>
      </w:r>
    </w:p>
    <w:p>
      <w:pPr>
        <w:pStyle w:val="ListParagraph"/>
        <w:numPr>
          <w:ilvl w:val="0"/>
          <w:numId w:val="2"/>
        </w:numPr>
        <w:spacing w:after="100"/>
      </w:pPr>
      <w:r>
        <w:rPr>
          <w:rFonts w:ascii="Calibri" w:cs="Calibri" w:eastAsia="Calibri" w:hAnsi="Calibri"/>
          <w:b/>
          <w:bCs/>
          <w:i w:val="false"/>
          <w:iCs w:val="false"/>
          <w:sz w:val="22"/>
          <w:szCs w:val="22"/>
        </w:rPr>
        <w:t xml:space="preserve">By object</w:t>
      </w:r>
      <w:r>
        <w:rPr>
          <w:rFonts w:ascii="Calibri" w:cs="Calibri" w:eastAsia="Calibri" w:hAnsi="Calibri"/>
          <w:b w:val="false"/>
          <w:bCs w:val="false"/>
          <w:i w:val="false"/>
          <w:iCs w:val="false"/>
          <w:sz w:val="22"/>
          <w:szCs w:val="22"/>
        </w:rPr>
        <w:t xml:space="preserve"> – restrictions that, by their very nature, are considered so likely to harm competition that no analysis of actual market effects is needed to establish an infringement</w:t>
      </w:r>
    </w:p>
    <w:p>
      <w:pPr>
        <w:pStyle w:val="ListParagraph"/>
        <w:numPr>
          <w:ilvl w:val="0"/>
          <w:numId w:val="2"/>
        </w:numPr>
        <w:spacing w:after="100"/>
      </w:pPr>
      <w:r>
        <w:rPr>
          <w:rFonts w:ascii="Calibri" w:cs="Calibri" w:eastAsia="Calibri" w:hAnsi="Calibri"/>
          <w:b/>
          <w:bCs/>
          <w:i w:val="false"/>
          <w:iCs w:val="false"/>
          <w:sz w:val="22"/>
          <w:szCs w:val="22"/>
        </w:rPr>
        <w:t xml:space="preserve">By effect</w:t>
      </w:r>
      <w:r>
        <w:rPr>
          <w:rFonts w:ascii="Calibri" w:cs="Calibri" w:eastAsia="Calibri" w:hAnsi="Calibri"/>
          <w:b w:val="false"/>
          <w:bCs w:val="false"/>
          <w:i w:val="false"/>
          <w:iCs w:val="false"/>
          <w:sz w:val="22"/>
          <w:szCs w:val="22"/>
        </w:rPr>
        <w:t xml:space="preserve"> – restrictions that require an assessment of their actual or likely impact on the market</w:t>
      </w:r>
    </w:p>
    <w:p>
      <w:pPr>
        <w:spacing w:after="120"/>
      </w:pPr>
      <w:r>
        <w:rPr>
          <w:rFonts w:ascii="Calibri" w:cs="Calibri" w:eastAsia="Calibri" w:hAnsi="Calibri"/>
          <w:b w:val="false"/>
          <w:bCs w:val="false"/>
          <w:i w:val="false"/>
          <w:iCs w:val="false"/>
          <w:sz w:val="22"/>
          <w:szCs w:val="22"/>
        </w:rPr>
        <w:t xml:space="preserve">Fixed and minimum RPM are treated as </w:t>
      </w:r>
      <w:r>
        <w:rPr>
          <w:rFonts w:ascii="Calibri" w:cs="Calibri" w:eastAsia="Calibri" w:hAnsi="Calibri"/>
          <w:b/>
          <w:bCs/>
          <w:i w:val="false"/>
          <w:iCs w:val="false"/>
          <w:sz w:val="22"/>
          <w:szCs w:val="22"/>
        </w:rPr>
        <w:t xml:space="preserve">by object</w:t>
      </w:r>
      <w:r>
        <w:rPr>
          <w:rFonts w:ascii="Calibri" w:cs="Calibri" w:eastAsia="Calibri" w:hAnsi="Calibri"/>
          <w:b w:val="false"/>
          <w:bCs w:val="false"/>
          <w:i w:val="false"/>
          <w:iCs w:val="false"/>
          <w:sz w:val="22"/>
          <w:szCs w:val="22"/>
        </w:rPr>
        <w:t xml:space="preserve"> restrictions for several interlocking reasons:</w:t>
      </w:r>
    </w:p>
    <w:p>
      <w:pPr>
        <w:pStyle w:val="ListParagraph"/>
        <w:numPr>
          <w:ilvl w:val="0"/>
          <w:numId w:val="2"/>
        </w:numPr>
        <w:spacing w:after="100"/>
      </w:pPr>
      <w:r>
        <w:rPr>
          <w:rFonts w:ascii="Calibri" w:cs="Calibri" w:eastAsia="Calibri" w:hAnsi="Calibri"/>
          <w:b/>
          <w:bCs/>
          <w:i w:val="false"/>
          <w:iCs w:val="false"/>
          <w:sz w:val="22"/>
          <w:szCs w:val="22"/>
        </w:rPr>
        <w:t xml:space="preserve">Direct interference with price formation</w:t>
      </w:r>
      <w:r>
        <w:rPr>
          <w:rFonts w:ascii="Calibri" w:cs="Calibri" w:eastAsia="Calibri" w:hAnsi="Calibri"/>
          <w:sz w:val="22"/>
          <w:szCs w:val="22"/>
        </w:rPr>
        <w:br/>
        <w:t xml:space="preserve"/>
      </w:r>
      <w:r>
        <w:rPr>
          <w:rFonts w:ascii="Calibri" w:cs="Calibri" w:eastAsia="Calibri" w:hAnsi="Calibri"/>
          <w:b w:val="false"/>
          <w:bCs w:val="false"/>
          <w:i w:val="false"/>
          <w:iCs w:val="false"/>
          <w:sz w:val="22"/>
          <w:szCs w:val="22"/>
        </w:rPr>
        <w:t xml:space="preserve">Price is the central parameter of competition. By dictating the resale price, the supplier removes the retailer's ability to compete on price at all, which strikes at the core mechanism markets use to allocate efficiency gains to consumers.</w:t>
      </w:r>
    </w:p>
    <w:p>
      <w:pPr>
        <w:pStyle w:val="ListParagraph"/>
        <w:numPr>
          <w:ilvl w:val="0"/>
          <w:numId w:val="2"/>
        </w:numPr>
        <w:spacing w:after="100"/>
      </w:pPr>
      <w:r>
        <w:rPr>
          <w:rFonts w:ascii="Calibri" w:cs="Calibri" w:eastAsia="Calibri" w:hAnsi="Calibri"/>
          <w:b/>
          <w:bCs/>
          <w:i w:val="false"/>
          <w:iCs w:val="false"/>
          <w:sz w:val="22"/>
          <w:szCs w:val="22"/>
        </w:rPr>
        <w:t xml:space="preserve">Suppression of intra-brand competition</w:t>
      </w:r>
      <w:r>
        <w:rPr>
          <w:rFonts w:ascii="Calibri" w:cs="Calibri" w:eastAsia="Calibri" w:hAnsi="Calibri"/>
          <w:sz w:val="22"/>
          <w:szCs w:val="22"/>
        </w:rPr>
        <w:br/>
        <w:t xml:space="preserve"/>
      </w:r>
      <w:r>
        <w:rPr>
          <w:rFonts w:ascii="Calibri" w:cs="Calibri" w:eastAsia="Calibri" w:hAnsi="Calibri"/>
          <w:b w:val="false"/>
          <w:bCs w:val="false"/>
          <w:i w:val="false"/>
          <w:iCs w:val="false"/>
          <w:sz w:val="22"/>
          <w:szCs w:val="22"/>
        </w:rPr>
        <w:t xml:space="preserve">Even if inter-brand competition (Nike vs. Adidas) remains healthy, RPM eliminates competition between retailers of the </w:t>
      </w:r>
      <w:r>
        <w:rPr>
          <w:rFonts w:ascii="Calibri" w:cs="Calibri" w:eastAsia="Calibri" w:hAnsi="Calibri"/>
          <w:b w:val="false"/>
          <w:bCs w:val="false"/>
          <w:i/>
          <w:iCs/>
          <w:sz w:val="22"/>
          <w:szCs w:val="22"/>
        </w:rPr>
        <w:t xml:space="preserve">same</w:t>
      </w:r>
      <w:r>
        <w:rPr>
          <w:rFonts w:ascii="Calibri" w:cs="Calibri" w:eastAsia="Calibri" w:hAnsi="Calibri"/>
          <w:b w:val="false"/>
          <w:bCs w:val="false"/>
          <w:i w:val="false"/>
          <w:iCs w:val="false"/>
          <w:sz w:val="22"/>
          <w:szCs w:val="22"/>
        </w:rPr>
        <w:t xml:space="preserve"> brand (different Nike retailers). This removes a distinct and valuable form of competitive pressure.</w:t>
      </w:r>
    </w:p>
    <w:p>
      <w:pPr>
        <w:pStyle w:val="ListParagraph"/>
        <w:numPr>
          <w:ilvl w:val="0"/>
          <w:numId w:val="2"/>
        </w:numPr>
        <w:spacing w:after="100"/>
      </w:pPr>
      <w:r>
        <w:rPr>
          <w:rFonts w:ascii="Calibri" w:cs="Calibri" w:eastAsia="Calibri" w:hAnsi="Calibri"/>
          <w:b/>
          <w:bCs/>
          <w:i w:val="false"/>
          <w:iCs w:val="false"/>
          <w:sz w:val="22"/>
          <w:szCs w:val="22"/>
        </w:rPr>
        <w:t xml:space="preserve">Facilitates collusion</w:t>
      </w:r>
      <w:r>
        <w:rPr>
          <w:rFonts w:ascii="Calibri" w:cs="Calibri" w:eastAsia="Calibri" w:hAnsi="Calibri"/>
          <w:sz w:val="22"/>
          <w:szCs w:val="22"/>
        </w:rPr>
        <w:br/>
        <w:t xml:space="preserve"/>
      </w:r>
      <w:r>
        <w:rPr>
          <w:rFonts w:ascii="Calibri" w:cs="Calibri" w:eastAsia="Calibri" w:hAnsi="Calibri"/>
          <w:b w:val="false"/>
          <w:bCs w:val="false"/>
          <w:i w:val="false"/>
          <w:iCs w:val="false"/>
          <w:sz w:val="22"/>
          <w:szCs w:val="22"/>
        </w:rPr>
        <w:t xml:space="preserve">RPM can be used as a tool to help retailers or suppliers sustain cartels — it makes price-cutting (a classic way cartel members cheat on each other) impossible, and it increases price transparency, making it easier to detect and punish deviations.</w:t>
      </w:r>
    </w:p>
    <w:p>
      <w:pPr>
        <w:pStyle w:val="ListParagraph"/>
        <w:numPr>
          <w:ilvl w:val="0"/>
          <w:numId w:val="2"/>
        </w:numPr>
        <w:spacing w:after="100"/>
      </w:pPr>
      <w:r>
        <w:rPr>
          <w:rFonts w:ascii="Calibri" w:cs="Calibri" w:eastAsia="Calibri" w:hAnsi="Calibri"/>
          <w:b/>
          <w:bCs/>
          <w:i w:val="false"/>
          <w:iCs w:val="false"/>
          <w:sz w:val="22"/>
          <w:szCs w:val="22"/>
        </w:rPr>
        <w:t xml:space="preserve">Consistent and predictable harm</w:t>
      </w:r>
      <w:r>
        <w:rPr>
          <w:rFonts w:ascii="Calibri" w:cs="Calibri" w:eastAsia="Calibri" w:hAnsi="Calibri"/>
          <w:sz w:val="22"/>
          <w:szCs w:val="22"/>
        </w:rPr>
        <w:br/>
        <w:t xml:space="preserve"/>
      </w:r>
      <w:r>
        <w:rPr>
          <w:rFonts w:ascii="Calibri" w:cs="Calibri" w:eastAsia="Calibri" w:hAnsi="Calibri"/>
          <w:b w:val="false"/>
          <w:bCs w:val="false"/>
          <w:i w:val="false"/>
          <w:iCs w:val="false"/>
          <w:sz w:val="22"/>
          <w:szCs w:val="22"/>
        </w:rPr>
        <w:t xml:space="preserve">Regulators and courts have concluded, based on extensive experience and economic analysis, that RPM's harmful effects on price competition are sufficiently consistent across contexts that a case-by-case effects analysis isn't necessary to identify the anticompetitive nature of the restraint. This is the legal-economic rationale behind "by object" categorization generally — it's reserved for restraints whose anticompetitive potential is obvious enough from their nature and experience.</w:t>
      </w:r>
    </w:p>
    <w:p>
      <w:pPr>
        <w:pStyle w:val="ListParagraph"/>
        <w:numPr>
          <w:ilvl w:val="0"/>
          <w:numId w:val="2"/>
        </w:numPr>
        <w:spacing w:after="100"/>
      </w:pPr>
      <w:r>
        <w:rPr>
          <w:rFonts w:ascii="Calibri" w:cs="Calibri" w:eastAsia="Calibri" w:hAnsi="Calibri"/>
          <w:b/>
          <w:bCs/>
          <w:i w:val="false"/>
          <w:iCs w:val="false"/>
          <w:sz w:val="22"/>
          <w:szCs w:val="22"/>
        </w:rPr>
        <w:t xml:space="preserve">Removes incentive for retailer innovation/efficiency</w:t>
      </w:r>
      <w:r>
        <w:rPr>
          <w:rFonts w:ascii="Calibri" w:cs="Calibri" w:eastAsia="Calibri" w:hAnsi="Calibri"/>
          <w:sz w:val="22"/>
          <w:szCs w:val="22"/>
        </w:rPr>
        <w:br/>
        <w:t xml:space="preserve"/>
      </w:r>
      <w:r>
        <w:rPr>
          <w:rFonts w:ascii="Calibri" w:cs="Calibri" w:eastAsia="Calibri" w:hAnsi="Calibri"/>
          <w:b w:val="false"/>
          <w:bCs w:val="false"/>
          <w:i w:val="false"/>
          <w:iCs w:val="false"/>
          <w:sz w:val="22"/>
          <w:szCs w:val="22"/>
        </w:rPr>
        <w:t xml:space="preserve">If retailers can't compete on price, they lose part of the incentive to find efficiencies they could otherwise pass on to consumers.</w:t>
      </w:r>
    </w:p>
    <w:p>
      <w:pPr>
        <w:spacing w:after="120" w:before="240"/>
      </w:pPr>
      <w:r>
        <w:rPr>
          <w:rFonts w:ascii="Calibri" w:cs="Calibri" w:eastAsia="Calibri" w:hAnsi="Calibri"/>
          <w:b/>
          <w:bCs/>
          <w:sz w:val="22"/>
          <w:szCs w:val="22"/>
        </w:rPr>
        <w:t xml:space="preserve">Important Nuances</w:t>
      </w:r>
    </w:p>
    <w:p>
      <w:pPr>
        <w:pStyle w:val="ListParagraph"/>
        <w:numPr>
          <w:ilvl w:val="0"/>
          <w:numId w:val="2"/>
        </w:numPr>
        <w:spacing w:after="100"/>
      </w:pPr>
      <w:r>
        <w:rPr>
          <w:rFonts w:ascii="Calibri" w:cs="Calibri" w:eastAsia="Calibri" w:hAnsi="Calibri"/>
          <w:b/>
          <w:bCs/>
          <w:i w:val="false"/>
          <w:iCs w:val="false"/>
          <w:sz w:val="22"/>
          <w:szCs w:val="22"/>
        </w:rPr>
        <w:t xml:space="preserve">Maximum RPM</w:t>
      </w:r>
      <w:r>
        <w:rPr>
          <w:rFonts w:ascii="Calibri" w:cs="Calibri" w:eastAsia="Calibri" w:hAnsi="Calibri"/>
          <w:b w:val="false"/>
          <w:bCs w:val="false"/>
          <w:i w:val="false"/>
          <w:iCs w:val="false"/>
          <w:sz w:val="22"/>
          <w:szCs w:val="22"/>
        </w:rPr>
        <w:t xml:space="preserve"> is generally </w:t>
      </w:r>
      <w:r>
        <w:rPr>
          <w:rFonts w:ascii="Calibri" w:cs="Calibri" w:eastAsia="Calibri" w:hAnsi="Calibri"/>
          <w:b w:val="false"/>
          <w:bCs w:val="false"/>
          <w:i/>
          <w:iCs/>
          <w:sz w:val="22"/>
          <w:szCs w:val="22"/>
        </w:rPr>
        <w:t xml:space="preserve">not</w:t>
      </w:r>
      <w:r>
        <w:rPr>
          <w:rFonts w:ascii="Calibri" w:cs="Calibri" w:eastAsia="Calibri" w:hAnsi="Calibri"/>
          <w:b w:val="false"/>
          <w:bCs w:val="false"/>
          <w:i w:val="false"/>
          <w:iCs w:val="false"/>
          <w:sz w:val="22"/>
          <w:szCs w:val="22"/>
        </w:rPr>
        <w:t xml:space="preserve"> by object — it can actually protect consumers from being overcharged and is usually assessed under a by-effect analysis, since it doesn't eliminate the retailer's ability to price below the cap.</w:t>
      </w:r>
    </w:p>
    <w:p>
      <w:pPr>
        <w:pStyle w:val="ListParagraph"/>
        <w:numPr>
          <w:ilvl w:val="0"/>
          <w:numId w:val="2"/>
        </w:numPr>
        <w:spacing w:after="100"/>
      </w:pPr>
      <w:r>
        <w:rPr>
          <w:rFonts w:ascii="Calibri" w:cs="Calibri" w:eastAsia="Calibri" w:hAnsi="Calibri"/>
          <w:b/>
          <w:bCs/>
          <w:i w:val="false"/>
          <w:iCs w:val="false"/>
          <w:sz w:val="22"/>
          <w:szCs w:val="22"/>
        </w:rPr>
        <w:t xml:space="preserve">Genuine agency arrangements</w:t>
      </w:r>
      <w:r>
        <w:rPr>
          <w:rFonts w:ascii="Calibri" w:cs="Calibri" w:eastAsia="Calibri" w:hAnsi="Calibri"/>
          <w:b w:val="false"/>
          <w:bCs w:val="false"/>
          <w:i w:val="false"/>
          <w:iCs w:val="false"/>
          <w:sz w:val="22"/>
          <w:szCs w:val="22"/>
        </w:rPr>
        <w:t xml:space="preserve">, where the "retailer" doesn't take on commercial risk and is really acting as an extension of the supplier, are usually outside the scope of RPM rules entirely.</w:t>
      </w:r>
    </w:p>
    <w:p>
      <w:pPr>
        <w:pStyle w:val="ListParagraph"/>
        <w:numPr>
          <w:ilvl w:val="0"/>
          <w:numId w:val="2"/>
        </w:numPr>
        <w:spacing w:after="100"/>
      </w:pPr>
      <w:r>
        <w:rPr>
          <w:rFonts w:ascii="Calibri" w:cs="Calibri" w:eastAsia="Calibri" w:hAnsi="Calibri"/>
          <w:b/>
          <w:bCs/>
          <w:i w:val="false"/>
          <w:iCs w:val="false"/>
          <w:sz w:val="22"/>
          <w:szCs w:val="22"/>
        </w:rPr>
        <w:t xml:space="preserve">By object does not mean automatically illegal</w:t>
      </w:r>
      <w:r>
        <w:rPr>
          <w:rFonts w:ascii="Calibri" w:cs="Calibri" w:eastAsia="Calibri" w:hAnsi="Calibri"/>
          <w:b w:val="false"/>
          <w:bCs w:val="false"/>
          <w:i w:val="false"/>
          <w:iCs w:val="false"/>
          <w:sz w:val="22"/>
          <w:szCs w:val="22"/>
        </w:rPr>
        <w:t xml:space="preserve"> – parties can still attempt to argue an efficiency defense (e.g., under Article 101(3) TFEU in the EU), though this is a high bar to clear for RPM specifically, and successful defenses are rare.</w:t>
      </w:r>
    </w:p>
    <w:p>
      <w:pPr>
        <w:pStyle w:val="ListParagraph"/>
        <w:numPr>
          <w:ilvl w:val="0"/>
          <w:numId w:val="2"/>
        </w:numPr>
        <w:spacing w:after="100"/>
      </w:pPr>
      <w:r>
        <w:rPr>
          <w:rFonts w:ascii="Calibri" w:cs="Calibri" w:eastAsia="Calibri" w:hAnsi="Calibri"/>
          <w:b w:val="false"/>
          <w:bCs w:val="false"/>
          <w:i w:val="false"/>
          <w:iCs w:val="false"/>
          <w:sz w:val="22"/>
          <w:szCs w:val="22"/>
        </w:rPr>
        <w:t xml:space="preserve">Some jurisdictions and commentators argue certain narrow RPM uses (e.g., preventing free-riding on pre-sale services, launching new products) can have genuine efficiency justifications, which is part of why the US shifted away from strict per se treatment.</w:t>
      </w:r>
    </w:p>
    <w:p>
      <w:pPr>
        <w:spacing w:after="120"/>
      </w:pPr>
      <w:r>
        <w:rPr>
          <w:rFonts w:ascii="Calibri" w:cs="Calibri" w:eastAsia="Calibri" w:hAnsi="Calibri"/>
          <w:b w:val="false"/>
          <w:bCs w:val="false"/>
          <w:i w:val="false"/>
          <w:iCs w:val="false"/>
          <w:sz w:val="22"/>
          <w:szCs w:val="22"/>
        </w:rPr>
        <w:t xml:space="preserve">Would you like me to go deeper into how this plays out in a specific jurisdiction (EU, UK, or US) or how the efficiency defense works in practice?</w:t>
      </w:r>
    </w:p>
    <w:p>
      <w:pPr>
        <w:spacing w:after="120" w:before="240"/>
      </w:pPr>
      <w:r>
        <w:rPr>
          <w:rFonts w:ascii="Calibri" w:cs="Calibri" w:eastAsia="Calibri" w:hAnsi="Calibri"/>
          <w:b/>
          <w:bCs/>
          <w:color w:val="1F4E5F"/>
          <w:sz w:val="24"/>
          <w:szCs w:val="24"/>
        </w:rPr>
        <w:t xml:space="preserve">Cited Sources</w:t>
      </w:r>
    </w:p>
    <w:p>
      <w:r>
        <w:rPr>
          <w:rFonts w:ascii="Calibri" w:cs="Calibri" w:eastAsia="Calibri" w:hAnsi="Calibri"/>
          <w:i/>
          <w:iCs/>
          <w:sz w:val="22"/>
          <w:szCs w:val="22"/>
        </w:rPr>
        <w:t xml:space="preserve">No source links were included in the original response.</w:t>
      </w:r>
    </w:p>
    <w:sectPr>
      <w:pgSz w:w="12240" w:h="15840" w:orient="portrait"/>
      <w:pgMar w:top="1350" w:right="1080" w:bottom="13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2026-09-02T12:08:08.167Z</dcterms:created>
  <dcterms:modified xsi:type="dcterms:W3CDTF">2026-09-02T12:08:08.167Z</dcterms:modified>
</cp:coreProperties>
</file>

<file path=docProps/custom.xml><?xml version="1.0" encoding="utf-8"?>
<Properties xmlns="http://schemas.openxmlformats.org/officeDocument/2006/custom-properties" xmlns:vt="http://schemas.openxmlformats.org/officeDocument/2006/docPropsVTypes"/>
</file>