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EDC0E" w14:textId="10752138" w:rsidR="00C85062" w:rsidRDefault="00000000">
      <w:pPr>
        <w:spacing w:after="160"/>
      </w:pPr>
      <w:r>
        <w:rPr>
          <w:b/>
          <w:bCs/>
          <w:color w:val="1F4E5F"/>
          <w:sz w:val="32"/>
          <w:szCs w:val="32"/>
        </w:rPr>
        <w:t xml:space="preserve">Response Transcript — Sample </w:t>
      </w:r>
      <w:r w:rsidR="008967B8">
        <w:rPr>
          <w:b/>
          <w:bCs/>
          <w:color w:val="1F4E5F"/>
          <w:sz w:val="32"/>
          <w:szCs w:val="32"/>
        </w:rPr>
        <w:t>5</w:t>
      </w:r>
    </w:p>
    <w:p w14:paraId="0B5CC53A" w14:textId="77777777" w:rsidR="00C85062" w:rsidRDefault="00C85062">
      <w:pPr>
        <w:pBdr>
          <w:bottom w:val="single" w:sz="8" w:space="4" w:color="1F4E5F"/>
        </w:pBdr>
        <w:spacing w:after="240"/>
      </w:pPr>
    </w:p>
    <w:p w14:paraId="01070822" w14:textId="77777777" w:rsidR="00C85062" w:rsidRDefault="00000000">
      <w:pPr>
        <w:spacing w:after="120"/>
      </w:pPr>
      <w:r>
        <w:rPr>
          <w:b/>
          <w:bCs/>
          <w:color w:val="1F4E5F"/>
        </w:rPr>
        <w:t>User Query</w:t>
      </w:r>
    </w:p>
    <w:p w14:paraId="05CFAD76" w14:textId="77777777" w:rsidR="00C85062" w:rsidRDefault="00000000">
      <w:pPr>
        <w:pBdr>
          <w:left w:val="single" w:sz="12" w:space="8" w:color="1F4E5F"/>
        </w:pBdr>
        <w:spacing w:after="280"/>
        <w:ind w:left="360"/>
      </w:pPr>
      <w:r>
        <w:rPr>
          <w:i/>
          <w:iCs/>
        </w:rPr>
        <w:t>What are the theories of harm in merger cases in digital market?</w:t>
      </w:r>
    </w:p>
    <w:p w14:paraId="0B3E48AF" w14:textId="77777777" w:rsidR="00C85062" w:rsidRDefault="00000000">
      <w:pPr>
        <w:spacing w:after="120"/>
      </w:pPr>
      <w:r>
        <w:rPr>
          <w:b/>
          <w:bCs/>
          <w:color w:val="1F4E5F"/>
        </w:rPr>
        <w:t>System Response</w:t>
      </w:r>
    </w:p>
    <w:p w14:paraId="6F77251D" w14:textId="77777777" w:rsidR="00C85062" w:rsidRDefault="00000000">
      <w:pPr>
        <w:spacing w:before="320" w:after="140"/>
      </w:pPr>
      <w:r>
        <w:rPr>
          <w:b/>
          <w:bCs/>
          <w:color w:val="1F4E5F"/>
          <w:sz w:val="30"/>
          <w:szCs w:val="30"/>
        </w:rPr>
        <w:t>Overview</w:t>
      </w:r>
    </w:p>
    <w:p w14:paraId="48D7CBAB" w14:textId="77777777" w:rsidR="00C85062" w:rsidRDefault="00000000">
      <w:pPr>
        <w:spacing w:after="160"/>
      </w:pPr>
      <w:r>
        <w:t>The assessment of theories of harm in merger cases within digital markets necessitates a sophisticated understanding of both traditional competition principles and the distinctive features of digital markets. This involves defining key concepts such as 'theories of harm', 'merger cases', and 'digital markets', and applying a structured methodology to evaluate these concepts in practice. The analysis reveals that digital markets introduce unique challenges, such as network effects, data advantages, and rapid innovation cycles, which require tailored approaches to assess potential anticompetitive effects. The main conclusions emphasize the importance of considering both traditional and digital-specific theories of harm, including horizontal, vertical, and conglomerate effects, as well as dynamic and innovation impacts. The assessment also highlights the necessity of evaluating efficiencies and remedies to ensure a balanced view of the merger's impact on competition.</w:t>
      </w:r>
    </w:p>
    <w:p w14:paraId="19AD2E06" w14:textId="77777777" w:rsidR="00C85062" w:rsidRDefault="00000000">
      <w:pPr>
        <w:spacing w:after="160"/>
      </w:pPr>
      <w:r>
        <w:t>Part 1 of the answer begins with Section 1.1, "Theories of Harm," which lays the groundwork by defining the mechanisms through which mergers might reduce competition. Section 1.2, "Merger Cases," contextualizes these theories within the EU legal framework, while Section 1.3, "Digital Markets," explores the unique characteristics of digital environments. Part 2 outlines the methodology for assessing theories of harm in digital market mergers. Step 1, "Define the Markets and the Counterfactual," establishes the relevant markets and competitive landscape. Step 2, "Assess Horizontal Non-Coordinated Effects," evaluates direct competition impacts. Step 3, "Assess Horizontal Coordinated Effects," examines potential collusion risks. Step 4, "Assess Vertical and Conglomerate Effects," considers supply chain and ecosystem impacts. Step 5, "Assess Dynamic and Innovation Effects," focuses on long-term innovation implications. Step 6, "Consider Efficiencies and Remedies," balances potential harms with benefits. Finally, Step 7, "Worked Examples: Digital-Market Cases," applies the methodology to real-world cases, illustrating practical challenges and adaptations.</w:t>
      </w:r>
    </w:p>
    <w:p w14:paraId="23CB59EC" w14:textId="77777777" w:rsidR="00C85062" w:rsidRDefault="00000000">
      <w:pPr>
        <w:spacing w:before="320" w:after="140"/>
      </w:pPr>
      <w:r>
        <w:rPr>
          <w:b/>
          <w:bCs/>
          <w:color w:val="1F4E5F"/>
          <w:sz w:val="30"/>
          <w:szCs w:val="30"/>
        </w:rPr>
        <w:t>Part 1: Concepts in the question</w:t>
      </w:r>
    </w:p>
    <w:p w14:paraId="4B457FFC" w14:textId="77777777" w:rsidR="00C85062" w:rsidRDefault="00000000">
      <w:pPr>
        <w:spacing w:before="260" w:after="140"/>
      </w:pPr>
      <w:r>
        <w:rPr>
          <w:b/>
          <w:bCs/>
          <w:color w:val="1F4E5F"/>
          <w:sz w:val="26"/>
          <w:szCs w:val="26"/>
        </w:rPr>
        <w:t>1.1 Theories of Harm</w:t>
      </w:r>
    </w:p>
    <w:p w14:paraId="444BCACD" w14:textId="77777777" w:rsidR="00C85062" w:rsidRDefault="00000000">
      <w:pPr>
        <w:spacing w:after="160"/>
      </w:pPr>
      <w:r>
        <w:t xml:space="preserve">In the context of merger cases within digital markets, understanding the concept of 'theories of harm' is foundational to assessing potential anticompetitive effects. A theory of harm refers to the mechanism by which a merger is posited to reduce competition, such as through the removal of a rival, foreclosure of market access, or weakening of innovation incentives </w:t>
      </w:r>
      <w:hyperlink r:id="rId7" w:anchor="page=161" w:history="1">
        <w:r>
          <w:rPr>
            <w:rStyle w:val="Hyperlink"/>
          </w:rPr>
          <w:t>[1]</w:t>
        </w:r>
      </w:hyperlink>
      <w:r>
        <w:t xml:space="preserve"> In the EU, these theories are framed as hypotheses about how rivalry might be weakened by the merger, rather than as distinct legal categories </w:t>
      </w:r>
      <w:hyperlink r:id="rId8" w:anchor="page=34" w:history="1">
        <w:r>
          <w:rPr>
            <w:rStyle w:val="Hyperlink"/>
          </w:rPr>
          <w:t>[2]</w:t>
        </w:r>
      </w:hyperlink>
      <w:r>
        <w:t>.</w:t>
      </w:r>
    </w:p>
    <w:p w14:paraId="2AAFF5A9" w14:textId="77777777" w:rsidR="00C85062" w:rsidRDefault="00000000">
      <w:pPr>
        <w:spacing w:after="160"/>
      </w:pPr>
      <w:r>
        <w:t xml:space="preserve">The legal foundation for assessing theories of harm in the EU is the Substantive test under the Merger Regulation, which evaluates whether a concentration would significantly impede effective competition (SIEC) </w:t>
      </w:r>
      <w:hyperlink r:id="rId9" w:anchor="page=73" w:history="1">
        <w:r>
          <w:rPr>
            <w:rStyle w:val="Hyperlink"/>
          </w:rPr>
          <w:t>[3]</w:t>
        </w:r>
      </w:hyperlink>
      <w:r>
        <w:t xml:space="preserve">. This involves a holistic assessment of both direct and dynamic effects, considering the merger's impact on current and future market competition </w:t>
      </w:r>
      <w:hyperlink r:id="rId10" w:anchor="page=224" w:history="1">
        <w:r>
          <w:rPr>
            <w:rStyle w:val="Hyperlink"/>
          </w:rPr>
          <w:t>[4]</w:t>
        </w:r>
      </w:hyperlink>
      <w:r>
        <w:t>.</w:t>
      </w:r>
    </w:p>
    <w:p w14:paraId="3B703068" w14:textId="77777777" w:rsidR="00C85062" w:rsidRDefault="00000000">
      <w:pPr>
        <w:spacing w:after="160"/>
      </w:pPr>
      <w:r>
        <w:lastRenderedPageBreak/>
        <w:t xml:space="preserve">The essential elements of theories of harm include horizontal, vertical, and conglomerate effects. Horizontal theories focus on the loss of competition between merging firms in the same market, while vertical theories concern the potential for foreclosure in supply chains. Conglomerate theories address the potential for ecosystem entrenchment through the combination of complementary services </w:t>
      </w:r>
      <w:hyperlink r:id="rId11" w:anchor="page=84" w:history="1">
        <w:r>
          <w:rPr>
            <w:rStyle w:val="Hyperlink"/>
          </w:rPr>
          <w:t>[5]</w:t>
        </w:r>
      </w:hyperlink>
    </w:p>
    <w:p w14:paraId="59FDE1B8" w14:textId="77777777" w:rsidR="00C85062" w:rsidRDefault="00000000">
      <w:pPr>
        <w:spacing w:after="160"/>
      </w:pPr>
      <w:r>
        <w:t xml:space="preserve">In digital markets, these theories are particularly nuanced due to factors like network effects, data advantages, and innovation dynamics. Theories of harm in these markets often emphasize the loss of potential competition, innovation harm, and data-related foreclosure </w:t>
      </w:r>
      <w:hyperlink r:id="rId12" w:anchor="page=57" w:history="1">
        <w:r>
          <w:rPr>
            <w:rStyle w:val="Hyperlink"/>
          </w:rPr>
          <w:t>[6]</w:t>
        </w:r>
      </w:hyperlink>
      <w:r>
        <w:t>.</w:t>
      </w:r>
    </w:p>
    <w:p w14:paraId="7BC924CF" w14:textId="77777777" w:rsidR="00C85062" w:rsidRDefault="00000000">
      <w:pPr>
        <w:spacing w:after="160"/>
      </w:pPr>
      <w:r>
        <w:t>This foundational understanding of theories of harm sets the stage for examining how these concepts are applied in merger cases, which will be explored in the next section on 'Merger Cases'.</w:t>
      </w:r>
    </w:p>
    <w:p w14:paraId="6E9618A6" w14:textId="77777777" w:rsidR="00C85062" w:rsidRDefault="00000000">
      <w:pPr>
        <w:spacing w:before="260" w:after="140"/>
      </w:pPr>
      <w:r>
        <w:rPr>
          <w:b/>
          <w:bCs/>
          <w:color w:val="1F4E5F"/>
          <w:sz w:val="26"/>
          <w:szCs w:val="26"/>
        </w:rPr>
        <w:t>1.2 Merger Cases</w:t>
      </w:r>
    </w:p>
    <w:p w14:paraId="0F3C9776" w14:textId="77777777" w:rsidR="00C85062" w:rsidRDefault="00000000">
      <w:pPr>
        <w:spacing w:after="160"/>
      </w:pPr>
      <w:r>
        <w:t>Following the foundational understanding of 'theories of harm' in Section 1.1, it is essential to contextualize these theories within the framework of 'merger cases' under EU competition law. This section elucidates what constitutes a merger case, focusing on the legal framework and procedural aspects that govern such cases.</w:t>
      </w:r>
    </w:p>
    <w:p w14:paraId="228B46C9" w14:textId="77777777" w:rsidR="00C85062" w:rsidRDefault="00000000">
      <w:pPr>
        <w:spacing w:after="160"/>
      </w:pPr>
      <w:r>
        <w:t xml:space="preserve">Under EU competition law, a merger case involves the assessment of concentrations between undertakings, as defined by Council Regulation (EC) No 139/2004, commonly referred to as the EU Merger Regulation (EUMR) </w:t>
      </w:r>
      <w:hyperlink r:id="rId13" w:anchor="page=4" w:history="1">
        <w:r>
          <w:rPr>
            <w:rStyle w:val="Hyperlink"/>
          </w:rPr>
          <w:t>[7]</w:t>
        </w:r>
      </w:hyperlink>
      <w:r>
        <w:t xml:space="preserve">. A concentration occurs when two or more previously independent undertakings merge or when one or more undertakings acquire control over another. The EUMR mandates that the European Commission assess whether such concentrations are compatible with the internal market, particularly focusing on whether they significantly impede effective competition (SIEC) </w:t>
      </w:r>
      <w:hyperlink r:id="rId14" w:anchor="page=4" w:history="1">
        <w:r>
          <w:rPr>
            <w:rStyle w:val="Hyperlink"/>
          </w:rPr>
          <w:t>[7]</w:t>
        </w:r>
      </w:hyperlink>
    </w:p>
    <w:p w14:paraId="54275A58" w14:textId="77777777" w:rsidR="00C85062" w:rsidRDefault="00000000">
      <w:pPr>
        <w:spacing w:after="160"/>
      </w:pPr>
      <w:r>
        <w:t xml:space="preserve">The procedural aspect of merger cases involves a notification requirement, where parties to a concentration must notify the Commission before implementing the merger. This notification triggers the Commission's review process, ensuring that the merger does not proceed without regulatory scrutiny </w:t>
      </w:r>
      <w:hyperlink r:id="rId15" w:anchor="page=97" w:history="1">
        <w:r>
          <w:rPr>
            <w:rStyle w:val="Hyperlink"/>
          </w:rPr>
          <w:t>[8]</w:t>
        </w:r>
      </w:hyperlink>
      <w:r>
        <w:t xml:space="preserve"> The guidelines emphasize the importance of this process in maintaining the undistorted functioning of the internal market and protecting consumers from potential anti-competitive effects </w:t>
      </w:r>
      <w:hyperlink r:id="rId16" w:anchor="page=7" w:history="1">
        <w:r>
          <w:rPr>
            <w:rStyle w:val="Hyperlink"/>
          </w:rPr>
          <w:t>[9]</w:t>
        </w:r>
      </w:hyperlink>
      <w:r>
        <w:t>.</w:t>
      </w:r>
    </w:p>
    <w:p w14:paraId="04C1CD32" w14:textId="77777777" w:rsidR="00C85062" w:rsidRDefault="00000000">
      <w:pPr>
        <w:spacing w:after="160"/>
      </w:pPr>
      <w:r>
        <w:t xml:space="preserve">The guidelines governing merger cases are designed to provide legal certainty and predictability, facilitating business and investment decisions within the EU </w:t>
      </w:r>
      <w:hyperlink r:id="rId17" w:anchor="page=5" w:history="1">
        <w:r>
          <w:rPr>
            <w:rStyle w:val="Hyperlink"/>
          </w:rPr>
          <w:t>[10]</w:t>
        </w:r>
      </w:hyperlink>
      <w:r>
        <w:t xml:space="preserve"> They outline the analytical framework the Commission applies, including the assessment of potential competitive harms and the balancing of pro-competitive benefits such as efficiencies and innovation.</w:t>
      </w:r>
    </w:p>
    <w:p w14:paraId="19E9A7DF" w14:textId="77777777" w:rsidR="00C85062" w:rsidRDefault="00000000">
      <w:pPr>
        <w:spacing w:after="160"/>
      </w:pPr>
      <w:r>
        <w:t xml:space="preserve">In digital markets, the application of these guidelines requires particular attention to dynamic competition and innovation, reflecting the unique characteristics of these markets </w:t>
      </w:r>
      <w:hyperlink r:id="rId18" w:anchor="page=7" w:history="1">
        <w:r>
          <w:rPr>
            <w:rStyle w:val="Hyperlink"/>
          </w:rPr>
          <w:t>[9]</w:t>
        </w:r>
      </w:hyperlink>
      <w:r>
        <w:t>. This sets the stage for the next section, which will delve into the specific context of digital markets.</w:t>
      </w:r>
    </w:p>
    <w:p w14:paraId="33D9CC09" w14:textId="77777777" w:rsidR="00C85062" w:rsidRDefault="00000000">
      <w:pPr>
        <w:spacing w:before="260" w:after="140"/>
      </w:pPr>
      <w:r>
        <w:rPr>
          <w:b/>
          <w:bCs/>
          <w:color w:val="1F4E5F"/>
          <w:sz w:val="26"/>
          <w:szCs w:val="26"/>
        </w:rPr>
        <w:t>1.3 Digital Markets</w:t>
      </w:r>
    </w:p>
    <w:p w14:paraId="45754DAF" w14:textId="77777777" w:rsidR="00C85062" w:rsidRDefault="00000000">
      <w:pPr>
        <w:spacing w:after="160"/>
      </w:pPr>
      <w:r>
        <w:t xml:space="preserve">Building on the context of merger cases outlined in Section 1.2, this section delves into the specific characteristics of digital markets, which are crucial for applying theories of harm in these environments. A digital market is defined by its reliance on digital technologies to facilitate transactions and interactions, often characterized by rapid innovation, network effects, and the presence of multi-sided platforms </w:t>
      </w:r>
      <w:hyperlink r:id="rId19" w:anchor="page=7" w:history="1">
        <w:r>
          <w:rPr>
            <w:rStyle w:val="Hyperlink"/>
          </w:rPr>
          <w:t>[11]</w:t>
        </w:r>
      </w:hyperlink>
      <w:r>
        <w:t>.</w:t>
      </w:r>
    </w:p>
    <w:p w14:paraId="4032194D" w14:textId="77777777" w:rsidR="00C85062" w:rsidRDefault="00000000">
      <w:pPr>
        <w:spacing w:after="160"/>
      </w:pPr>
      <w:r>
        <w:t xml:space="preserve">Network effects occur when the value of a product or service increases as more people use it. This is particularly relevant in digital markets, where platforms often benefit from increased user participation, leading to a self-reinforcing cycle of growth </w:t>
      </w:r>
      <w:hyperlink r:id="rId20" w:anchor="page=30" w:history="1">
        <w:r>
          <w:rPr>
            <w:rStyle w:val="Hyperlink"/>
          </w:rPr>
          <w:t>[12]</w:t>
        </w:r>
      </w:hyperlink>
      <w:r>
        <w:t xml:space="preserve">. Multi-sided platforms, such as social media networks or online marketplaces, facilitate interactions between different user groups, creating complex interdependencies that can influence market dynamics </w:t>
      </w:r>
      <w:hyperlink r:id="rId21" w:anchor="page=30" w:history="1">
        <w:r>
          <w:rPr>
            <w:rStyle w:val="Hyperlink"/>
          </w:rPr>
          <w:t>[12]</w:t>
        </w:r>
      </w:hyperlink>
    </w:p>
    <w:p w14:paraId="5D0179EF" w14:textId="77777777" w:rsidR="00C85062" w:rsidRDefault="00000000">
      <w:pPr>
        <w:spacing w:after="160"/>
      </w:pPr>
      <w:r>
        <w:lastRenderedPageBreak/>
        <w:t xml:space="preserve">The Market Definition Notice provides guidance on how to define relevant markets in the presence of these platforms, emphasizing the need to consider both direct and indirect network effects. The Commission may define a single market encompassing all user groups or separate markets for each side of the platform, depending on the specific circumstances </w:t>
      </w:r>
      <w:hyperlink r:id="rId22" w:anchor="page=30" w:history="1">
        <w:r>
          <w:rPr>
            <w:rStyle w:val="Hyperlink"/>
          </w:rPr>
          <w:t>[12]</w:t>
        </w:r>
      </w:hyperlink>
      <w:r>
        <w:t>.</w:t>
      </w:r>
    </w:p>
    <w:p w14:paraId="1CAFB34C" w14:textId="77777777" w:rsidR="00C85062" w:rsidRDefault="00000000">
      <w:pPr>
        <w:spacing w:after="160"/>
      </w:pPr>
      <w:r>
        <w:t xml:space="preserve">Digital markets also often feature zero-price services, where users do not pay with money but with data or attention. This necessitates alternative approaches to market definition and competitive assessment, such as considering non-price parameters like quality or data privacy </w:t>
      </w:r>
      <w:hyperlink r:id="rId23" w:anchor="page=31" w:history="1">
        <w:r>
          <w:rPr>
            <w:rStyle w:val="Hyperlink"/>
          </w:rPr>
          <w:t>[13]</w:t>
        </w:r>
      </w:hyperlink>
      <w:r>
        <w:t>.</w:t>
      </w:r>
    </w:p>
    <w:p w14:paraId="1B7E2C8D" w14:textId="77777777" w:rsidR="00C85062" w:rsidRDefault="00000000">
      <w:pPr>
        <w:spacing w:after="160"/>
      </w:pPr>
      <w:r>
        <w:t>Understanding these unique characteristics is essential for accurately assessing theories of harm in digital markets. This sets the stage for the next section, which will explore the methodology for defining relevant markets and counterfactual scenarios in digital merger cases.</w:t>
      </w:r>
    </w:p>
    <w:p w14:paraId="527FCAB4" w14:textId="77777777" w:rsidR="00C85062" w:rsidRDefault="00000000">
      <w:pPr>
        <w:spacing w:before="320" w:after="140"/>
      </w:pPr>
      <w:r>
        <w:rPr>
          <w:b/>
          <w:bCs/>
          <w:color w:val="1F4E5F"/>
          <w:sz w:val="30"/>
          <w:szCs w:val="30"/>
        </w:rPr>
        <w:t>Part 2: Methodology for assessing theories of harm in digital market mergers</w:t>
      </w:r>
    </w:p>
    <w:p w14:paraId="0B903F0C" w14:textId="77777777" w:rsidR="00C85062" w:rsidRDefault="00000000">
      <w:pPr>
        <w:spacing w:before="260" w:after="140"/>
      </w:pPr>
      <w:r>
        <w:rPr>
          <w:b/>
          <w:bCs/>
          <w:color w:val="1F4E5F"/>
          <w:sz w:val="26"/>
          <w:szCs w:val="26"/>
        </w:rPr>
        <w:t>2.1 Step 1: Define the Markets and the Counterfactual</w:t>
      </w:r>
    </w:p>
    <w:p w14:paraId="37CF792A" w14:textId="77777777" w:rsidR="00C85062" w:rsidRDefault="00000000">
      <w:pPr>
        <w:spacing w:after="160"/>
      </w:pPr>
      <w:r>
        <w:t>In the context of digital markets, defining the relevant markets and the counterfactual scenario is a critical first step in assessing merger cases. This step builds on the understanding of digital markets outlined in Section 1.3 and sets the foundation for identifying potential theories of harm. By establishing the relevant product and geographic markets, as well as the counterfactual scenario, this step provides the necessary context for evaluating the competitive effects of a merger.</w:t>
      </w:r>
    </w:p>
    <w:p w14:paraId="2D6816E0" w14:textId="77777777" w:rsidR="00C85062" w:rsidRDefault="00000000">
      <w:pPr>
        <w:spacing w:after="160"/>
      </w:pPr>
      <w:r>
        <w:t xml:space="preserve">What this step establishes This step answers the question: What are the relevant markets affected by the merger, and what would the competitive landscape look like absent the merger? It is essential at this point because it frames the scope of the competitive analysis, determining which products, services, and geographic areas are considered when assessing potential harms. The definition of the relevant market is crucial for understanding the competitive constraints faced by the merging parties and for evaluating the merger's impact on competition </w:t>
      </w:r>
      <w:hyperlink r:id="rId24" w:anchor="page=5" w:history="1">
        <w:r>
          <w:rPr>
            <w:rStyle w:val="Hyperlink"/>
          </w:rPr>
          <w:t>[14]</w:t>
        </w:r>
      </w:hyperlink>
      <w:r>
        <w:t>.</w:t>
      </w:r>
    </w:p>
    <w:p w14:paraId="0D426851" w14:textId="77777777" w:rsidR="00C85062" w:rsidRDefault="00000000">
      <w:pPr>
        <w:spacing w:after="160"/>
      </w:pPr>
      <w:r>
        <w:t xml:space="preserve">General approach The general approach to defining the relevant market involves identifying the product and geographic dimensions where the merging parties operate. The Commission typically uses the SSNIP test (Small but Significant and Non-transitory Increase in Price) to determine the boundaries of the relevant market. This test assesses whether a hypothetical monopolist could impose a small but significant price increase without losing customers to other products or regions </w:t>
      </w:r>
      <w:hyperlink r:id="rId25" w:anchor="page=11" w:history="1">
        <w:r>
          <w:rPr>
            <w:rStyle w:val="Hyperlink"/>
          </w:rPr>
          <w:t>[15]</w:t>
        </w:r>
      </w:hyperlink>
    </w:p>
    <w:p w14:paraId="47A8B634" w14:textId="77777777" w:rsidR="00C85062" w:rsidRDefault="00000000">
      <w:pPr>
        <w:spacing w:after="160"/>
      </w:pPr>
      <w:r>
        <w:t xml:space="preserve">Evidence for market definition includes demand substitution patterns, supply-side substitutability, and potential competition. The Commission considers past substitution evidence, diversion ratios, and cross-price elasticities to assess demand substitution </w:t>
      </w:r>
      <w:hyperlink r:id="rId26" w:anchor="page=19" w:history="1">
        <w:r>
          <w:rPr>
            <w:rStyle w:val="Hyperlink"/>
          </w:rPr>
          <w:t>[16]</w:t>
        </w:r>
      </w:hyperlink>
      <w:r>
        <w:t xml:space="preserve">. The counterfactual scenario involves predicting the market conditions that would prevail absent the merger, considering factors like technological changes, market trends, and potential entry by new competitors </w:t>
      </w:r>
      <w:hyperlink r:id="rId27" w:anchor="page=16" w:history="1">
        <w:r>
          <w:rPr>
            <w:rStyle w:val="Hyperlink"/>
          </w:rPr>
          <w:t>[17]</w:t>
        </w:r>
      </w:hyperlink>
    </w:p>
    <w:p w14:paraId="2E62CD5F" w14:textId="77777777" w:rsidR="00C85062" w:rsidRDefault="00000000">
      <w:pPr>
        <w:spacing w:after="160"/>
      </w:pPr>
      <w:r>
        <w:t>Adaptation to digital markets In digital markets, the market definition process must account for unique characteristics such as multi-sided platforms, network effects, and zero-price services. These elements require adjustments to the traditional market definition approach:</w:t>
      </w:r>
    </w:p>
    <w:p w14:paraId="1F6D7F3E" w14:textId="77777777" w:rsidR="00C85062" w:rsidRDefault="00000000">
      <w:pPr>
        <w:spacing w:after="160"/>
      </w:pPr>
      <w:r>
        <w:t xml:space="preserve">Element General approach Digital markets adaptation </w:t>
      </w:r>
      <w:hyperlink r:id="rId28" w:anchor="page=50" w:history="1">
        <w:r>
          <w:rPr>
            <w:rStyle w:val="Hyperlink"/>
          </w:rPr>
          <w:t>[32]</w:t>
        </w:r>
      </w:hyperlink>
    </w:p>
    <w:p w14:paraId="46B73D2C" w14:textId="77777777" w:rsidR="00C85062" w:rsidRDefault="00000000">
      <w:pPr>
        <w:spacing w:after="160"/>
      </w:pPr>
      <w:r>
        <w:t>SSNIP test Focuses on price increases May consider non-price factors like quality or data privacy Element General approach Digital markets adaptation Guideline reference</w:t>
      </w:r>
    </w:p>
    <w:p w14:paraId="7EB29E0B" w14:textId="77777777" w:rsidR="00C85062" w:rsidRDefault="00000000">
      <w:pPr>
        <w:spacing w:after="160"/>
      </w:pPr>
      <w:r>
        <w:t>Demand substitution Based on price elasticity and past substitution Includes network effects and multi-sided platform dynamics</w:t>
      </w:r>
    </w:p>
    <w:p w14:paraId="2565FCC4" w14:textId="77777777" w:rsidR="00C85062" w:rsidRDefault="00000000">
      <w:pPr>
        <w:spacing w:after="160"/>
      </w:pPr>
      <w:r>
        <w:t xml:space="preserve">Counterfactu al scenario Considers market trends and potential entry Emphasizes technological evolution and potential for disruptive innovation </w:t>
      </w:r>
      <w:hyperlink r:id="rId29" w:anchor="page=16" w:history="1">
        <w:r>
          <w:rPr>
            <w:rStyle w:val="Hyperlink"/>
          </w:rPr>
          <w:t>[17]</w:t>
        </w:r>
      </w:hyperlink>
    </w:p>
    <w:p w14:paraId="549EACEA" w14:textId="77777777" w:rsidR="00C85062" w:rsidRDefault="00000000">
      <w:pPr>
        <w:spacing w:after="160"/>
      </w:pPr>
      <w:r>
        <w:t xml:space="preserve">Illustrative cases </w:t>
      </w:r>
      <w:hyperlink r:id="rId30" w:history="1">
        <w:r>
          <w:rPr>
            <w:rStyle w:val="Hyperlink"/>
          </w:rPr>
          <w:t>[18]</w:t>
        </w:r>
      </w:hyperlink>
      <w:r>
        <w:t xml:space="preserve"> </w:t>
      </w:r>
      <w:hyperlink r:id="rId31" w:history="1">
        <w:r>
          <w:rPr>
            <w:rStyle w:val="Hyperlink"/>
          </w:rPr>
          <w:t>[23]</w:t>
        </w:r>
      </w:hyperlink>
      <w:r>
        <w:t xml:space="preserve"> This case involved Staples' acquisition of Office Depot, with the Commission assessing the merger's impact on competition in various markets. How it applies: The Commission defined several relevant markets, including EEA-wide and national markets, and evaluated the potential for competitive harm by considering the substitutability of products and the potential entry of new competitors like Amazon. This case illustrates the importance of defining relevant markets and considering the competitive landscape to assess the merger's impact </w:t>
      </w:r>
      <w:hyperlink r:id="rId32" w:anchor="page=11" w:history="1">
        <w:r>
          <w:rPr>
            <w:rStyle w:val="Hyperlink"/>
          </w:rPr>
          <w:t>[15]</w:t>
        </w:r>
      </w:hyperlink>
      <w:r>
        <w:t>.</w:t>
      </w:r>
    </w:p>
    <w:p w14:paraId="665C724F" w14:textId="77777777" w:rsidR="00C85062" w:rsidRDefault="00000000">
      <w:pPr>
        <w:spacing w:after="160"/>
      </w:pPr>
      <w:r>
        <w:t>Output of this step The output of this step is a clearly defined set of relevant markets and a counterfactual scenario, which serve as the basis for assessing horizontal non-coordinated effects in the next step.</w:t>
      </w:r>
    </w:p>
    <w:p w14:paraId="039A30B9" w14:textId="77777777" w:rsidR="00C85062" w:rsidRDefault="00000000">
      <w:pPr>
        <w:spacing w:before="260" w:after="140"/>
      </w:pPr>
      <w:r>
        <w:rPr>
          <w:b/>
          <w:bCs/>
          <w:color w:val="1F4E5F"/>
          <w:sz w:val="26"/>
          <w:szCs w:val="26"/>
        </w:rPr>
        <w:t>2.2 Step 2: Assess Horizontal Non-Coordinated Effects</w:t>
      </w:r>
    </w:p>
    <w:p w14:paraId="4D4BCB86" w14:textId="77777777" w:rsidR="00C85062" w:rsidRDefault="00000000">
      <w:pPr>
        <w:spacing w:after="160"/>
      </w:pPr>
      <w:r>
        <w:t>Following the definition of relevant markets and counterfactual scenarios in Section 2.1, the next step in assessing merger cases in digital markets involves evaluating horizontal non-coordinated effects. This step is crucial for understanding how the merger might reduce competition between the merging parties, potentially leading to adverse outcomes for consumers. The focus here is on mechanisms such as the loss of head-to-head competition and changes in market share, with specific adaptations for digital markets.</w:t>
      </w:r>
    </w:p>
    <w:p w14:paraId="6FCBB4DC" w14:textId="77777777" w:rsidR="00C85062" w:rsidRDefault="00000000">
      <w:pPr>
        <w:spacing w:after="160"/>
      </w:pPr>
      <w:r>
        <w:t>What this step establishes This step addresses the question of whether the merger will lead to a significant impediment to effective competition (SIEC) by reducing the competitive constraints that the merging parties exert on each other. It is positioned at this point in the methodology because understanding the horizontal non-coordinated effects is foundational to identifying potential anticompetitive outcomes, which will inform subsequent analyses of coordinated effects and other competitive impacts.</w:t>
      </w:r>
    </w:p>
    <w:p w14:paraId="74E64C50" w14:textId="77777777" w:rsidR="00C85062" w:rsidRDefault="00000000">
      <w:pPr>
        <w:spacing w:after="160"/>
      </w:pPr>
      <w:r>
        <w:t xml:space="preserve">General approach The general approach to assessing horizontal non-coordinated effects involves examining structural indicators of market power, such as market shares and the number of effective competitors. According to the Draft Merger Guidelines, a larger number of credible competitors typically reduces the likelihood of market power being concentrated in the hands of the merging parties </w:t>
      </w:r>
      <w:hyperlink r:id="rId33" w:anchor="page=21" w:history="1">
        <w:r>
          <w:rPr>
            <w:rStyle w:val="Hyperlink"/>
          </w:rPr>
          <w:t>[19]</w:t>
        </w:r>
      </w:hyperlink>
      <w:r>
        <w:t xml:space="preserve">. Market shares are categorized as low, moderate, material, high, or very high, with higher shares indicating greater market power </w:t>
      </w:r>
      <w:hyperlink r:id="rId34" w:anchor="page=21" w:history="1">
        <w:r>
          <w:rPr>
            <w:rStyle w:val="Hyperlink"/>
          </w:rPr>
          <w:t>[19]</w:t>
        </w:r>
      </w:hyperlink>
      <w:r>
        <w:t>.</w:t>
      </w:r>
    </w:p>
    <w:p w14:paraId="420A8496" w14:textId="77777777" w:rsidR="00C85062" w:rsidRDefault="00000000">
      <w:pPr>
        <w:spacing w:after="160"/>
      </w:pPr>
      <w:r>
        <w:t xml:space="preserve">The Commission assesses whether the merger would allow the parties to profitably increase prices or reduce output, quality, or innovation, thereby harming consumers </w:t>
      </w:r>
      <w:hyperlink r:id="rId35" w:anchor="page=10" w:history="1">
        <w:r>
          <w:rPr>
            <w:rStyle w:val="Hyperlink"/>
          </w:rPr>
          <w:t>[20]</w:t>
        </w:r>
      </w:hyperlink>
      <w:r>
        <w:t xml:space="preserve">. The burden of proof lies with the Commission to demonstrate these anticompetitive effects, although it does not need to quantify consumer harm in every case </w:t>
      </w:r>
      <w:hyperlink r:id="rId36" w:anchor="page=10" w:history="1">
        <w:r>
          <w:rPr>
            <w:rStyle w:val="Hyperlink"/>
          </w:rPr>
          <w:t>[20]</w:t>
        </w:r>
      </w:hyperlink>
      <w:r>
        <w:t>.</w:t>
      </w:r>
    </w:p>
    <w:p w14:paraId="288D3B25" w14:textId="77777777" w:rsidR="00C85062" w:rsidRDefault="00000000">
      <w:pPr>
        <w:spacing w:after="160"/>
      </w:pPr>
      <w:r>
        <w:t>Adaptation to digital markets In digital markets, the assessment of horizontal non-coordinated effects requires adaptations due to unique market characteristics such as network effects, data advantages, and rapid innovation cycles. The table below outlines key elements and their adaptations:</w:t>
      </w:r>
    </w:p>
    <w:p w14:paraId="4D22CD50" w14:textId="77777777" w:rsidR="00C85062" w:rsidRDefault="00000000">
      <w:pPr>
        <w:spacing w:after="160"/>
      </w:pPr>
      <w:r>
        <w:t>Element General Approach Digital Markets Adaptation Guideline Reference</w:t>
      </w:r>
    </w:p>
    <w:p w14:paraId="4B2B4BDB" w14:textId="77777777" w:rsidR="00C85062" w:rsidRDefault="00000000">
      <w:pPr>
        <w:spacing w:after="160"/>
      </w:pPr>
      <w:r>
        <w:t xml:space="preserve">Market Shares Used as primary indicators of market power Less reliable due to dynamic and volatile market conditions; consider dynamic capabilities and potential competition </w:t>
      </w:r>
      <w:hyperlink r:id="rId37" w:anchor="page=22" w:history="1">
        <w:r>
          <w:rPr>
            <w:rStyle w:val="Hyperlink"/>
          </w:rPr>
          <w:t>[21]</w:t>
        </w:r>
      </w:hyperlink>
    </w:p>
    <w:p w14:paraId="5709E993" w14:textId="77777777" w:rsidR="00C85062" w:rsidRDefault="00000000">
      <w:pPr>
        <w:spacing w:after="160"/>
      </w:pPr>
      <w:r>
        <w:t xml:space="preserve">Competitive Constraints Focus on current market structure Include potential competition and innovation dynamics as constraints </w:t>
      </w:r>
      <w:hyperlink r:id="rId38" w:anchor="page=53" w:history="1">
        <w:r>
          <w:rPr>
            <w:rStyle w:val="Hyperlink"/>
          </w:rPr>
          <w:t>[22]</w:t>
        </w:r>
      </w:hyperlink>
    </w:p>
    <w:p w14:paraId="32527E26" w14:textId="77777777" w:rsidR="00C85062" w:rsidRDefault="00000000">
      <w:pPr>
        <w:spacing w:after="160"/>
      </w:pPr>
      <w:r>
        <w:t xml:space="preserve">Evidence Market shares, internal documents, market investigation replies Additional focus on data access, network effects, and innovation potential </w:t>
      </w:r>
      <w:hyperlink r:id="rId39" w:anchor="page=22" w:history="1">
        <w:r>
          <w:rPr>
            <w:rStyle w:val="Hyperlink"/>
          </w:rPr>
          <w:t>[21]</w:t>
        </w:r>
      </w:hyperlink>
    </w:p>
    <w:p w14:paraId="21BE582A" w14:textId="77777777" w:rsidR="00C85062" w:rsidRDefault="00000000">
      <w:pPr>
        <w:spacing w:after="160"/>
      </w:pPr>
      <w:r>
        <w:t xml:space="preserve">Illustrative cases Case </w:t>
      </w:r>
      <w:hyperlink r:id="rId40" w:history="1">
        <w:r>
          <w:rPr>
            <w:rStyle w:val="Hyperlink"/>
          </w:rPr>
          <w:t>[23]</w:t>
        </w:r>
      </w:hyperlink>
      <w:r>
        <w:t xml:space="preserve"> Background: This case involved the assessment of a merger where the Commission had to evaluate the potential horizontal non-coordinated effects. How it applies: The case illustrates the application of market share analysis and the consideration of potential competition in assessing horizontal non-coordinated effects. The Commission's decision emphasized the importance of understanding dynamic market conditions and potential competitive constraints, which are particularly relevant in digital markets </w:t>
      </w:r>
      <w:hyperlink r:id="rId41" w:anchor="page=10" w:history="1">
        <w:r>
          <w:rPr>
            <w:rStyle w:val="Hyperlink"/>
          </w:rPr>
          <w:t>[20]</w:t>
        </w:r>
      </w:hyperlink>
      <w:r>
        <w:t>.</w:t>
      </w:r>
    </w:p>
    <w:p w14:paraId="1E490D5D" w14:textId="77777777" w:rsidR="00C85062" w:rsidRDefault="00000000">
      <w:pPr>
        <w:spacing w:after="160"/>
      </w:pPr>
      <w:r>
        <w:t>Output of this step The output of this step is the identification of horizontal non-coordinated effects, which will inform the subsequent assessment of horizontal coordinated effects in Section 2.3.</w:t>
      </w:r>
    </w:p>
    <w:p w14:paraId="739274E9" w14:textId="77777777" w:rsidR="00C85062" w:rsidRDefault="00000000">
      <w:pPr>
        <w:spacing w:before="260" w:after="140"/>
      </w:pPr>
      <w:r>
        <w:rPr>
          <w:b/>
          <w:bCs/>
          <w:color w:val="1F4E5F"/>
          <w:sz w:val="26"/>
          <w:szCs w:val="26"/>
        </w:rPr>
        <w:t>2.3 Step 3: Assess Horizontal Coordinated Effects</w:t>
      </w:r>
    </w:p>
    <w:p w14:paraId="549BFD76" w14:textId="77777777" w:rsidR="00C85062" w:rsidRDefault="00000000">
      <w:pPr>
        <w:spacing w:after="160"/>
      </w:pPr>
      <w:r>
        <w:t>Following the assessment of horizontal non-coordinated effects in Section 2.2, this step delves into the potential for horizontal coordinated effects in merger cases within digital markets. The focus here is on understanding how mergers might facilitate tacit collusion among competitors, particularly in environments where data transparency and sharing are prevalent. This step is crucial as it addresses the risk that a merger could lead to a situation where firms act on a common understanding to reduce competition, either tacitly or explicitly.</w:t>
      </w:r>
    </w:p>
    <w:p w14:paraId="7F578A94" w14:textId="77777777" w:rsidR="00C85062" w:rsidRDefault="00000000">
      <w:pPr>
        <w:spacing w:after="160"/>
      </w:pPr>
      <w:r>
        <w:t>What this step establishes This step seeks to determine whether a merger increases the likelihood of coordinated effects, which occur when firms in a market act in concert to reduce competition, often without explicit agreements. This is particularly relevant in digital markets, where transparency and data sharing can facilitate such coordination. The assessment of coordinated effects follows the evaluation of non-coordinated effects because it builds on the understanding of market dynamics and competitive interactions established in the previous step.</w:t>
      </w:r>
    </w:p>
    <w:p w14:paraId="5C6C537D" w14:textId="77777777" w:rsidR="00C85062" w:rsidRDefault="00000000">
      <w:pPr>
        <w:spacing w:after="160"/>
      </w:pPr>
      <w:r>
        <w:t xml:space="preserve">General approach The general approach to assessing coordinated effects involves evaluating whether the merger increases the risk of firms acting on a common understanding to limit competition. The guidelines specify that coordinated effects can manifest through price-fixing, limiting production, or delaying innovation </w:t>
      </w:r>
      <w:hyperlink r:id="rId42" w:anchor="page=67" w:history="1">
        <w:r>
          <w:rPr>
            <w:rStyle w:val="Hyperlink"/>
          </w:rPr>
          <w:t>[24]</w:t>
        </w:r>
      </w:hyperlink>
      <w:r>
        <w:t xml:space="preserve">. Key factors include market transparency, the ability to monitor adherence to coordination, and the presence of mechanisms to detect and deter deviations </w:t>
      </w:r>
      <w:hyperlink r:id="rId43" w:anchor="page=70" w:history="1">
        <w:r>
          <w:rPr>
            <w:rStyle w:val="Hyperlink"/>
          </w:rPr>
          <w:t>[25]</w:t>
        </w:r>
      </w:hyperlink>
      <w:r>
        <w:t>.</w:t>
      </w:r>
    </w:p>
    <w:p w14:paraId="42CBC8D6" w14:textId="77777777" w:rsidR="00C85062" w:rsidRDefault="00000000">
      <w:pPr>
        <w:spacing w:after="160"/>
      </w:pPr>
      <w:r>
        <w:t xml:space="preserve">The evidence required includes historical instances of coordination, market characteristics conducive to coordination, and the role of data and technology in facilitating such behavior </w:t>
      </w:r>
      <w:hyperlink r:id="rId44" w:anchor="page=69" w:history="1">
        <w:r>
          <w:rPr>
            <w:rStyle w:val="Hyperlink"/>
          </w:rPr>
          <w:t>[26]</w:t>
        </w:r>
      </w:hyperlink>
      <w:r>
        <w:t xml:space="preserve">. The threshold for concern is whether the merger significantly increases the risk of coordinated behavior that harms competition </w:t>
      </w:r>
      <w:hyperlink r:id="rId45" w:anchor="page=67" w:history="1">
        <w:r>
          <w:rPr>
            <w:rStyle w:val="Hyperlink"/>
          </w:rPr>
          <w:t>[24]</w:t>
        </w:r>
      </w:hyperlink>
    </w:p>
    <w:p w14:paraId="1EE49F33" w14:textId="77777777" w:rsidR="00C85062" w:rsidRDefault="00000000">
      <w:pPr>
        <w:spacing w:after="160"/>
      </w:pPr>
      <w:r>
        <w:t>Adaptation to digital markets In digital markets, the assessment of coordinated effects requires adaptation due to unique characteristics such as data transparency and the use of algorithms. The table below outlines the differences: Element General approach Digital markets adaptation Guideline reference</w:t>
      </w:r>
    </w:p>
    <w:p w14:paraId="43BC18C1" w14:textId="77777777" w:rsidR="00C85062" w:rsidRDefault="00000000">
      <w:pPr>
        <w:spacing w:after="160"/>
      </w:pPr>
      <w:r>
        <w:t xml:space="preserve">Transparency Market transparency facilitates coordination Digital platforms often have high transparency due to data sharing and analytics </w:t>
      </w:r>
      <w:hyperlink r:id="rId46" w:anchor="page=69" w:history="1">
        <w:r>
          <w:rPr>
            <w:rStyle w:val="Hyperlink"/>
          </w:rPr>
          <w:t>[26]</w:t>
        </w:r>
      </w:hyperlink>
    </w:p>
    <w:p w14:paraId="220E8AEB" w14:textId="77777777" w:rsidR="00C85062" w:rsidRDefault="00000000">
      <w:pPr>
        <w:spacing w:after="160"/>
      </w:pPr>
      <w:r>
        <w:t xml:space="preserve">Monitoringand deterrence Ability to monitor adherence to coordination and detect deviations Advanced algorithms and AI enhance monitoring capabilities </w:t>
      </w:r>
      <w:hyperlink r:id="rId47" w:anchor="page=70" w:history="1">
        <w:r>
          <w:rPr>
            <w:rStyle w:val="Hyperlink"/>
          </w:rPr>
          <w:t>[25]</w:t>
        </w:r>
      </w:hyperlink>
    </w:p>
    <w:p w14:paraId="22F414F1" w14:textId="77777777" w:rsidR="00C85062" w:rsidRDefault="00000000">
      <w:pPr>
        <w:spacing w:after="160"/>
      </w:pPr>
      <w:r>
        <w:t xml:space="preserve">Data and technology Role of data and technology in facilitating coordination Big data and AI can facilitate coordination by enhancing market observability and predictability </w:t>
      </w:r>
      <w:hyperlink r:id="rId48" w:anchor="page=69" w:history="1">
        <w:r>
          <w:rPr>
            <w:rStyle w:val="Hyperlink"/>
          </w:rPr>
          <w:t>[26]</w:t>
        </w:r>
      </w:hyperlink>
    </w:p>
    <w:p w14:paraId="08D4248A" w14:textId="77777777" w:rsidR="00C85062" w:rsidRDefault="00000000">
      <w:pPr>
        <w:spacing w:after="160"/>
      </w:pPr>
      <w:r>
        <w:t>Illustrative cases</w:t>
      </w:r>
    </w:p>
    <w:p w14:paraId="4D8A8472" w14:textId="77777777" w:rsidR="00C85062" w:rsidRDefault="00000000">
      <w:pPr>
        <w:spacing w:after="160"/>
      </w:pPr>
      <w:r>
        <w:t xml:space="preserve">Case </w:t>
      </w:r>
      <w:hyperlink r:id="rId49" w:history="1">
        <w:r>
          <w:rPr>
            <w:rStyle w:val="Hyperlink"/>
          </w:rPr>
          <w:t>[23]</w:t>
        </w:r>
      </w:hyperlink>
      <w:r>
        <w:t xml:space="preserve"> Background: This case involved a merger where the European Commission assessed the potential for coordinated effects in a market characterized by high transparency and data sharing. How it applies: The Commission found that the merger increased the risk of tacit collusion due to the enhanced ability of firms to monitor each other's actions through shared data platforms, illustrating the importance of considering digital market dynamics in coordinated effects assessments </w:t>
      </w:r>
      <w:hyperlink r:id="rId50" w:anchor="page=10" w:history="1">
        <w:r>
          <w:rPr>
            <w:rStyle w:val="Hyperlink"/>
          </w:rPr>
          <w:t>[20]</w:t>
        </w:r>
      </w:hyperlink>
      <w:r>
        <w:t>.</w:t>
      </w:r>
    </w:p>
    <w:p w14:paraId="5607D9BC" w14:textId="77777777" w:rsidR="00C85062" w:rsidRDefault="00000000">
      <w:pPr>
        <w:spacing w:after="160"/>
      </w:pPr>
      <w:r>
        <w:t>Output of this step The output of this step is the identification of horizontal coordinated effects, which informs the subsequent assessment of vertical and conglomerate effects in Section 2.4.</w:t>
      </w:r>
    </w:p>
    <w:p w14:paraId="0638F6B7" w14:textId="77777777" w:rsidR="00C85062" w:rsidRDefault="00000000">
      <w:pPr>
        <w:spacing w:before="260" w:after="140"/>
      </w:pPr>
      <w:r>
        <w:rPr>
          <w:b/>
          <w:bCs/>
          <w:color w:val="1F4E5F"/>
          <w:sz w:val="26"/>
          <w:szCs w:val="26"/>
        </w:rPr>
        <w:t>2.4 Step 4: Assess Vertical and Conglomerate Effects</w:t>
      </w:r>
    </w:p>
    <w:p w14:paraId="525D6FCB" w14:textId="77777777" w:rsidR="00C85062" w:rsidRDefault="00000000">
      <w:pPr>
        <w:spacing w:after="160"/>
      </w:pPr>
      <w:r>
        <w:t>Following the assessment of horizontal coordinated effects in Section 2.3, this step evaluates vertical and conglomerate effects, which are crucial for understanding the full competitive impact of mergers in digital markets. Vertical effects arise when the merging firms operate at different levels of the supply chain, potentially leading to foreclosure, where rivals are denied access to essential inputs or customers. Conglomerate effects occur when firms combine complementary services, potentially leveraging their ecosystem to disadvantage competitors. This step is essential to capture the broader competitive dynamics that horizontal assessments might miss, particularly in digital markets characterized by complex ecosystems and platform dominance.</w:t>
      </w:r>
    </w:p>
    <w:p w14:paraId="6596AA1E" w14:textId="77777777" w:rsidR="00C85062" w:rsidRDefault="00000000">
      <w:pPr>
        <w:spacing w:after="160"/>
      </w:pPr>
      <w:r>
        <w:t>What this step establishes This step answers whether the merger could lead to anti-competitive vertical or conglomerate effects, such as foreclosure or leveraging, which might be exacerbated by digital market structures. It comes after horizontal assessments because it builds on the understanding of market dynamics and competitive constraints established in those analyses. By identifying potential vertical and conglomerate harms, this step ensures a comprehensive evaluation of the merger's impact on competition.</w:t>
      </w:r>
    </w:p>
    <w:p w14:paraId="600925E6" w14:textId="77777777" w:rsidR="00C85062" w:rsidRDefault="00000000">
      <w:pPr>
        <w:spacing w:after="160"/>
      </w:pPr>
      <w:r>
        <w:t xml:space="preserve">General approach The general approach to assessing vertical and conglomerate effects involves evaluating the potential for foreclosure and leveraging. The Commission examines whether the merged entity could foreclose rivals by controlling access to essential inputs or customers, thereby raising rivals' costs or reducing their market access </w:t>
      </w:r>
      <w:hyperlink r:id="rId51" w:anchor="page=65" w:history="1">
        <w:r>
          <w:rPr>
            <w:rStyle w:val="Hyperlink"/>
          </w:rPr>
          <w:t>[27]</w:t>
        </w:r>
      </w:hyperlink>
      <w:r>
        <w:t xml:space="preserve">. Evidence required includes internal documents, market data, and third-party submissions that demonstrate the merged entity's ability and incentive to foreclose </w:t>
      </w:r>
      <w:hyperlink r:id="rId52" w:anchor="page=12" w:history="1">
        <w:r>
          <w:rPr>
            <w:rStyle w:val="Hyperlink"/>
          </w:rPr>
          <w:t>[28]</w:t>
        </w:r>
      </w:hyperlink>
      <w:r>
        <w:t xml:space="preserve">. The Commission also considers whether any efficiencies could offset the identified harms </w:t>
      </w:r>
      <w:hyperlink r:id="rId53" w:anchor="page=87" w:history="1">
        <w:r>
          <w:rPr>
            <w:rStyle w:val="Hyperlink"/>
          </w:rPr>
          <w:t>[29]</w:t>
        </w:r>
      </w:hyperlink>
      <w:r>
        <w:t>.</w:t>
      </w:r>
    </w:p>
    <w:p w14:paraId="59FFE310" w14:textId="77777777" w:rsidR="00C85062" w:rsidRDefault="00000000">
      <w:pPr>
        <w:spacing w:after="160"/>
      </w:pPr>
      <w:r>
        <w:t>Adaptation to digital markets In digital markets, the assessment of vertical and conglomerate effects requires adaptation due to unique characteristics such as network effects, data control, and platform ecosystems. The table below highlights key differences:</w:t>
      </w:r>
    </w:p>
    <w:p w14:paraId="48B6B5FA" w14:textId="77777777" w:rsidR="00C85062" w:rsidRDefault="00000000">
      <w:pPr>
        <w:spacing w:after="160"/>
      </w:pPr>
      <w:r>
        <w:t>Element General approach Digital markets Guideline reference</w:t>
      </w:r>
    </w:p>
    <w:p w14:paraId="24701781" w14:textId="77777777" w:rsidR="00C85062" w:rsidRDefault="00000000">
      <w:pPr>
        <w:spacing w:after="160"/>
      </w:pPr>
      <w:r>
        <w:t xml:space="preserve">Forecl osure Focus on input and customer foreclosure Emphasis on data-related foreclosure and ecosystem entrenchment </w:t>
      </w:r>
      <w:hyperlink r:id="rId54" w:anchor="page=65" w:history="1">
        <w:r>
          <w:rPr>
            <w:rStyle w:val="Hyperlink"/>
          </w:rPr>
          <w:t>[27]</w:t>
        </w:r>
      </w:hyperlink>
    </w:p>
    <w:p w14:paraId="7B4287FA" w14:textId="77777777" w:rsidR="00C85062" w:rsidRDefault="00000000">
      <w:pPr>
        <w:spacing w:after="160"/>
      </w:pPr>
      <w:r>
        <w:t xml:space="preserve">Evidence Internal documents, market data, third-party submissions Additional focus on data control, interoperability, and platform dynamics </w:t>
      </w:r>
      <w:hyperlink r:id="rId55" w:anchor="page=12" w:history="1">
        <w:r>
          <w:rPr>
            <w:rStyle w:val="Hyperlink"/>
          </w:rPr>
          <w:t>[28]</w:t>
        </w:r>
      </w:hyperlink>
    </w:p>
    <w:p w14:paraId="4267730A" w14:textId="77777777" w:rsidR="00C85062" w:rsidRDefault="00000000">
      <w:pPr>
        <w:spacing w:after="160"/>
      </w:pPr>
      <w:r>
        <w:t xml:space="preserve">Efficie ncies Consideration of merger-specific efficiencies Evaluation of efficiencies related to data integration and platform improvements </w:t>
      </w:r>
      <w:hyperlink r:id="rId56" w:anchor="page=87" w:history="1">
        <w:r>
          <w:rPr>
            <w:rStyle w:val="Hyperlink"/>
          </w:rPr>
          <w:t>[29]</w:t>
        </w:r>
      </w:hyperlink>
    </w:p>
    <w:p w14:paraId="15B50BCB" w14:textId="77777777" w:rsidR="00C85062" w:rsidRDefault="00000000">
      <w:pPr>
        <w:spacing w:after="160"/>
      </w:pPr>
      <w:r>
        <w:t>Illustrative cases</w:t>
      </w:r>
    </w:p>
    <w:p w14:paraId="5D923752" w14:textId="77777777" w:rsidR="00C85062" w:rsidRDefault="00000000">
      <w:pPr>
        <w:spacing w:after="160"/>
      </w:pPr>
      <w:hyperlink r:id="rId57" w:history="1">
        <w:r>
          <w:rPr>
            <w:rStyle w:val="Hyperlink"/>
          </w:rPr>
          <w:t>[30]</w:t>
        </w:r>
      </w:hyperlink>
      <w:r>
        <w:t xml:space="preserve"> Background: This case involved the merger of London Stock Exchange Group and Refinitiv, a provider of financial market data and infrastructure. The Commission assessed potential vertical and conglomerate effects, focusing on input foreclosure and the use of customer information to harm competitors. How it applies: The Commission's analysis highlighted the risk of input foreclosure, where the merged entity could restrict access to essential financial data, thereby impeding competition in downstream markets. The case also demonstrated the importance of evaluating whether the merger-specific efficiencies could offset potential harms, a critical consideration in digital markets </w:t>
      </w:r>
      <w:hyperlink r:id="rId58" w:anchor="page=60" w:history="1">
        <w:r>
          <w:rPr>
            <w:rStyle w:val="Hyperlink"/>
          </w:rPr>
          <w:t>[31]</w:t>
        </w:r>
      </w:hyperlink>
    </w:p>
    <w:p w14:paraId="4D61370E" w14:textId="77777777" w:rsidR="00C85062" w:rsidRDefault="00000000">
      <w:pPr>
        <w:spacing w:after="160"/>
      </w:pPr>
      <w:r>
        <w:t>Output of this step The output of this step is the identification of vertical and conglomerate effects, which informs the subsequent assessment of dynamic and innovation effects in Section 2.5.</w:t>
      </w:r>
    </w:p>
    <w:p w14:paraId="2589EE00" w14:textId="77777777" w:rsidR="00C85062" w:rsidRDefault="00000000">
      <w:pPr>
        <w:spacing w:before="260" w:after="140"/>
      </w:pPr>
      <w:r>
        <w:rPr>
          <w:b/>
          <w:bCs/>
          <w:color w:val="1F4E5F"/>
          <w:sz w:val="26"/>
          <w:szCs w:val="26"/>
        </w:rPr>
        <w:t>2.5 Step 5: Assess Dynamic and Innovation Effects</w:t>
      </w:r>
    </w:p>
    <w:p w14:paraId="377C4EA4" w14:textId="77777777" w:rsidR="00C85062" w:rsidRDefault="00000000">
      <w:pPr>
        <w:spacing w:after="160"/>
      </w:pPr>
      <w:r>
        <w:t>Following the assessment of vertical and conglomerate effects in Section 2.4, this step focuses on evaluating the dynamic and innovation effects of mergers, particularly in digital markets. This analysis is crucial for understanding the long-term competitive implications of mergers, as it considers how the merger might impact innovation incentives and market dynamics.</w:t>
      </w:r>
    </w:p>
    <w:p w14:paraId="36E1BED9" w14:textId="77777777" w:rsidR="00C85062" w:rsidRDefault="00000000">
      <w:pPr>
        <w:spacing w:after="160"/>
      </w:pPr>
      <w:r>
        <w:t xml:space="preserve">What this step establishes This step addresses the question of how a merger might affect innovation incentives and market dynamics, particularly in fast-evolving digital markets. It is positioned after the assessment of structural effects because dynamic and innovation effects often manifest over a longer time horizon and require a different analytical approach. This step is essential for capturing the full competitive impact of mergers, especially in sectors where innovation is a key competitive parameter </w:t>
      </w:r>
      <w:hyperlink r:id="rId59" w:anchor="page=50" w:history="1">
        <w:r>
          <w:rPr>
            <w:rStyle w:val="Hyperlink"/>
          </w:rPr>
          <w:t>[32]</w:t>
        </w:r>
      </w:hyperlink>
    </w:p>
    <w:p w14:paraId="0D63596F" w14:textId="77777777" w:rsidR="00C85062" w:rsidRDefault="00000000">
      <w:pPr>
        <w:spacing w:after="160"/>
      </w:pPr>
      <w:r>
        <w:t xml:space="preserve">General approach The general approach to assessing dynamic and innovation effects involves evaluating how a merger might alter the incentives and abilities of firms to innovate. This includes examining the potential for both anticompetitive and procompetitive effects. The guidelines suggest considering factors such as the merging firms' R&amp;D capabilities, past innovation records, and the potential for the merger to either enhance or suppress innovation competition </w:t>
      </w:r>
      <w:hyperlink r:id="rId60" w:anchor="page=56" w:history="1">
        <w:r>
          <w:rPr>
            <w:rStyle w:val="Hyperlink"/>
          </w:rPr>
          <w:t>[33]</w:t>
        </w:r>
      </w:hyperlink>
      <w:r>
        <w:t xml:space="preserve">. The analysis should also consider the broader market context, including the presence of network effects and the role of nascent competitors </w:t>
      </w:r>
      <w:hyperlink r:id="rId61" w:anchor="page=42" w:history="1">
        <w:r>
          <w:rPr>
            <w:rStyle w:val="Hyperlink"/>
          </w:rPr>
          <w:t>[34]</w:t>
        </w:r>
      </w:hyperlink>
      <w:r>
        <w:t>.</w:t>
      </w:r>
    </w:p>
    <w:p w14:paraId="376ABF8E" w14:textId="77777777" w:rsidR="00C85062" w:rsidRDefault="00000000">
      <w:pPr>
        <w:spacing w:after="160"/>
      </w:pPr>
      <w:r>
        <w:t>Adaptation to digital markets In digital markets, the assessment of dynamic and innovation effects requires particular attention to the unique characteristics of these markets, such as rapid innovation cycles and strong network effects. The table below outlines key elements of the general approach and their adaptation to digital markets:</w:t>
      </w:r>
    </w:p>
    <w:p w14:paraId="15438853" w14:textId="77777777" w:rsidR="00C85062" w:rsidRDefault="00000000">
      <w:pPr>
        <w:spacing w:after="160"/>
      </w:pPr>
      <w:r>
        <w:t>Element General approach Digital markets adaptation Guideline reference</w:t>
      </w:r>
    </w:p>
    <w:p w14:paraId="5AD1948B" w14:textId="77777777" w:rsidR="00C85062" w:rsidRDefault="00000000">
      <w:pPr>
        <w:spacing w:after="160"/>
      </w:pPr>
      <w:r>
        <w:t xml:space="preserve">Innovation Evaluate R&amp;D capabilities and past Consider the role of data, network effects, and platform dynamics in </w:t>
      </w:r>
      <w:hyperlink r:id="rId62" w:anchor="page=50" w:history="1">
        <w:r>
          <w:rPr>
            <w:rStyle w:val="Hyperlink"/>
          </w:rPr>
          <w:t>[32]</w:t>
        </w:r>
      </w:hyperlink>
    </w:p>
    <w:p w14:paraId="353C81C5" w14:textId="77777777" w:rsidR="00C85062" w:rsidRDefault="00000000">
      <w:pPr>
        <w:spacing w:after="160"/>
      </w:pPr>
      <w:r>
        <w:t>Element General approach Digital markets adaptation Guideline reference</w:t>
      </w:r>
    </w:p>
    <w:p w14:paraId="6D4B4445" w14:textId="77777777" w:rsidR="00C85062" w:rsidRDefault="00000000">
      <w:pPr>
        <w:spacing w:after="160"/>
      </w:pPr>
      <w:r>
        <w:t xml:space="preserve">incentives innovation records shaping innovation 1, </w:t>
      </w:r>
      <w:hyperlink r:id="rId63" w:anchor="page=50" w:history="1">
        <w:r>
          <w:rPr>
            <w:rStyle w:val="Hyperlink"/>
          </w:rPr>
          <w:t>[32]</w:t>
        </w:r>
      </w:hyperlink>
      <w:r>
        <w:t>)</w:t>
      </w:r>
    </w:p>
    <w:p w14:paraId="7B8705DF" w14:textId="77777777" w:rsidR="00C85062" w:rsidRDefault="00000000">
      <w:pPr>
        <w:spacing w:after="160"/>
      </w:pPr>
      <w:r>
        <w:t xml:space="preserve">Market dynamics Assess potential changes in competitive dynamics Focus on the impact of the merger on digital ecosystems and potential for ecosystem entrenchment </w:t>
      </w:r>
      <w:hyperlink r:id="rId64" w:anchor="page=56" w:history="1">
        <w:r>
          <w:rPr>
            <w:rStyle w:val="Hyperlink"/>
          </w:rPr>
          <w:t>[33]</w:t>
        </w:r>
      </w:hyperlink>
    </w:p>
    <w:p w14:paraId="05F93121" w14:textId="77777777" w:rsidR="00C85062" w:rsidRDefault="00000000">
      <w:pPr>
        <w:spacing w:after="160"/>
      </w:pPr>
      <w:r>
        <w:t xml:space="preserve">Nascent competitors Consider the impact on potential future competitors Emphasize the importance of preserving competition from nascent digital firms </w:t>
      </w:r>
      <w:hyperlink r:id="rId65" w:anchor="page=42" w:history="1">
        <w:r>
          <w:rPr>
            <w:rStyle w:val="Hyperlink"/>
          </w:rPr>
          <w:t>[34]</w:t>
        </w:r>
      </w:hyperlink>
    </w:p>
    <w:p w14:paraId="43DE6EDE" w14:textId="77777777" w:rsidR="00C85062" w:rsidRDefault="00000000">
      <w:pPr>
        <w:spacing w:after="160"/>
      </w:pPr>
      <w:r>
        <w:t>Illustrative cases</w:t>
      </w:r>
    </w:p>
    <w:p w14:paraId="4750171C" w14:textId="77777777" w:rsidR="00C85062" w:rsidRDefault="00000000">
      <w:pPr>
        <w:spacing w:after="160"/>
      </w:pPr>
      <w:hyperlink r:id="rId66" w:history="1">
        <w:r>
          <w:rPr>
            <w:rStyle w:val="Hyperlink"/>
          </w:rPr>
          <w:t>[35]</w:t>
        </w:r>
      </w:hyperlink>
      <w:r>
        <w:t xml:space="preserve"> Background: Johnson &amp; Johnson acquired Actelion Pharmaceuticals, raising concerns about future competition and innovation in the pharmaceutical sector. How it applies: The European Commission's analysis focused on whether the merger would impact innovation incentives, particularly in drug development. The commitments proposed by J&amp;J, including divestitures, were crucial in maintaining competition and innovation incentives, demonstrating the importance of considering future innovation trajectories </w:t>
      </w:r>
      <w:hyperlink r:id="rId67" w:anchor="page=50" w:history="1">
        <w:r>
          <w:rPr>
            <w:rStyle w:val="Hyperlink"/>
          </w:rPr>
          <w:t>[36]</w:t>
        </w:r>
      </w:hyperlink>
    </w:p>
    <w:p w14:paraId="66936C8E" w14:textId="77777777" w:rsidR="00C85062" w:rsidRDefault="00000000">
      <w:pPr>
        <w:spacing w:after="160"/>
      </w:pPr>
      <w:hyperlink r:id="rId68" w:history="1">
        <w:r>
          <w:rPr>
            <w:rStyle w:val="Hyperlink"/>
          </w:rPr>
          <w:t>[37]</w:t>
        </w:r>
      </w:hyperlink>
      <w:r>
        <w:t xml:space="preserve"> Background: The merger between Dow and DuPont was assessed for its impact on innovation competition in the crop protection industry. How it applies: The Commission found that the merger would significantly reduce innovation competition, particularly in key areas for European farmers. This case highlights the need to assess how mergers can alter innovation dynamics and the importance of considering both current and future competitive impacts </w:t>
      </w:r>
      <w:hyperlink r:id="rId69" w:anchor="page=50" w:history="1">
        <w:r>
          <w:rPr>
            <w:rStyle w:val="Hyperlink"/>
          </w:rPr>
          <w:t>[36]</w:t>
        </w:r>
      </w:hyperlink>
    </w:p>
    <w:p w14:paraId="40B86631" w14:textId="77777777" w:rsidR="00C85062" w:rsidRDefault="00000000">
      <w:pPr>
        <w:spacing w:after="160"/>
      </w:pPr>
      <w:r>
        <w:t>Output of this step The output of this step is the identification of dynamic and innovation effects, which informs the subsequent consideration of efficiencies and remedies in Section 2.6.</w:t>
      </w:r>
    </w:p>
    <w:p w14:paraId="7D354123" w14:textId="77777777" w:rsidR="00C85062" w:rsidRDefault="00000000">
      <w:pPr>
        <w:spacing w:before="260" w:after="140"/>
      </w:pPr>
      <w:r>
        <w:rPr>
          <w:b/>
          <w:bCs/>
          <w:color w:val="1F4E5F"/>
          <w:sz w:val="26"/>
          <w:szCs w:val="26"/>
        </w:rPr>
        <w:t>2.6 Step 6: Consider Efficiencies and Remedies</w:t>
      </w:r>
    </w:p>
    <w:p w14:paraId="7F10C5A9" w14:textId="77777777" w:rsidR="00C85062" w:rsidRDefault="00000000">
      <w:pPr>
        <w:spacing w:after="160"/>
      </w:pPr>
      <w:r>
        <w:t>Following the assessment of dynamic and innovation effects in Section 2.5, this step evaluates potential efficiencies and remedies that could offset the identified harms. This involves assessing whether efficiencies are merger-specific, verifiable, and beneficial to consumers, with a focus on digital market considerations. This step ensures a balanced assessment of the merger's impact, preparing the groundwork for the practical application of these concepts in real-world cases in Section 2.7.</w:t>
      </w:r>
    </w:p>
    <w:p w14:paraId="417BDE9A" w14:textId="77777777" w:rsidR="00C85062" w:rsidRDefault="00000000">
      <w:pPr>
        <w:spacing w:after="160"/>
      </w:pPr>
      <w:r>
        <w:t xml:space="preserve">What this step establishes This step answers whether the efficiencies claimed by the merging parties are sufficient to counterbalance the anticompetitive effects identified in previous steps. It comes at this point because, after identifying potential harms, it is crucial to evaluate whether the merger could also bring about benefits that might justify its approval. The assessment of efficiencies and remedies is essential to ensure that any potential consumer harm is adequately mitigated, maintaining the competitive dynamics of the market </w:t>
      </w:r>
      <w:hyperlink r:id="rId70" w:anchor="page=14" w:history="1">
        <w:r>
          <w:rPr>
            <w:rStyle w:val="Hyperlink"/>
          </w:rPr>
          <w:t>[38]</w:t>
        </w:r>
      </w:hyperlink>
    </w:p>
    <w:p w14:paraId="48179DAD" w14:textId="77777777" w:rsidR="00C85062" w:rsidRDefault="00000000">
      <w:pPr>
        <w:spacing w:after="160"/>
      </w:pPr>
      <w:r>
        <w:t xml:space="preserve">General approach The general approach to assessing efficiencies involves a rigorous analysis of whether the claimed efficiencies are merger-specific, verifiable, and beneficial to consumers. The merging parties must articulate a 'theory of benefit' that explains how the merger will lead to efficiencies that enhance competition and benefit consumers </w:t>
      </w:r>
      <w:hyperlink r:id="rId71" w:anchor="page=11" w:history="1">
        <w:r>
          <w:rPr>
            <w:rStyle w:val="Hyperlink"/>
          </w:rPr>
          <w:t>[39]</w:t>
        </w:r>
      </w:hyperlink>
      <w:r>
        <w:t xml:space="preserve"> Efficiencies must be substantiated with a cogent body of evidence and should be timely and substantial enough to counteract the merger's anticompetitive effects </w:t>
      </w:r>
      <w:hyperlink r:id="rId72" w:anchor="page=78" w:history="1">
        <w:r>
          <w:rPr>
            <w:rStyle w:val="Hyperlink"/>
          </w:rPr>
          <w:t>[40]</w:t>
        </w:r>
      </w:hyperlink>
      <w:r>
        <w:t>.</w:t>
      </w:r>
    </w:p>
    <w:p w14:paraId="4D08C69F" w14:textId="77777777" w:rsidR="00C85062" w:rsidRDefault="00000000">
      <w:pPr>
        <w:spacing w:after="160"/>
      </w:pPr>
      <w:r>
        <w:t xml:space="preserve">Remedies, on the other hand, are measures proposed by the merging parties to address competition concerns. These can be structural, such as divestitures, or behavioral, such as commitments to maintain access to essential inputs </w:t>
      </w:r>
      <w:hyperlink r:id="rId73" w:anchor="page=60" w:history="1">
        <w:r>
          <w:rPr>
            <w:rStyle w:val="Hyperlink"/>
          </w:rPr>
          <w:t>[31]</w:t>
        </w:r>
      </w:hyperlink>
      <w:r>
        <w:t xml:space="preserve"> The effectiveness of remedies is assessed based on their ability to eliminate competition concerns and their feasibility of implementation within a short period </w:t>
      </w:r>
      <w:hyperlink r:id="rId74" w:anchor="page=60" w:history="1">
        <w:r>
          <w:rPr>
            <w:rStyle w:val="Hyperlink"/>
          </w:rPr>
          <w:t>[31]</w:t>
        </w:r>
      </w:hyperlink>
      <w:r>
        <w:t>.</w:t>
      </w:r>
    </w:p>
    <w:p w14:paraId="64B89441" w14:textId="77777777" w:rsidR="00C85062" w:rsidRDefault="00000000">
      <w:pPr>
        <w:spacing w:after="160"/>
      </w:pPr>
      <w:r>
        <w:t>Adaptation to digital markets In digital markets, the assessment of efficiencies and remedies requires particular attention to the unique characteristics of these markets, such as network effects and data advantages. The table below highlights key differences:</w:t>
      </w:r>
    </w:p>
    <w:p w14:paraId="181C814B" w14:textId="77777777" w:rsidR="00C85062" w:rsidRDefault="00000000">
      <w:pPr>
        <w:spacing w:after="160"/>
      </w:pPr>
      <w:r>
        <w:t>Element General approach Digital markets Guideline reference</w:t>
      </w:r>
    </w:p>
    <w:p w14:paraId="1898E181" w14:textId="77777777" w:rsidR="00C85062" w:rsidRDefault="00000000">
      <w:pPr>
        <w:spacing w:after="160"/>
      </w:pPr>
      <w:r>
        <w:t xml:space="preserve">Merger -specificity Efficiencies must be specific to the merger and not achievable by other means Consideration of whether efficiencies could be achieved through alternative digital collaborations </w:t>
      </w:r>
      <w:hyperlink r:id="rId75" w:anchor="page=193" w:history="1">
        <w:r>
          <w:rPr>
            <w:rStyle w:val="Hyperlink"/>
          </w:rPr>
          <w:t>[41]</w:t>
        </w:r>
      </w:hyperlink>
    </w:p>
    <w:p w14:paraId="3C0FE1BD" w14:textId="77777777" w:rsidR="00C85062" w:rsidRDefault="00000000">
      <w:pPr>
        <w:spacing w:after="160"/>
      </w:pPr>
      <w:r>
        <w:t xml:space="preserve">Verifiab ility Efficiencies must be supported by a cogent body of evidence Greater scrutiny due to the dynamic nature of digital markets and longer time horizons for benefits </w:t>
      </w:r>
      <w:hyperlink r:id="rId76" w:anchor="page=78" w:history="1">
        <w:r>
          <w:rPr>
            <w:rStyle w:val="Hyperlink"/>
          </w:rPr>
          <w:t>[40]</w:t>
        </w:r>
      </w:hyperlink>
    </w:p>
    <w:p w14:paraId="4853DB43" w14:textId="77777777" w:rsidR="00C85062" w:rsidRDefault="00000000">
      <w:pPr>
        <w:spacing w:after="160"/>
      </w:pPr>
      <w:r>
        <w:t xml:space="preserve">Consumer benefit Efficiencies must benefit consumers in the relevant market Consideration of broader societal benefits, such as data privacy and innovation incentives </w:t>
      </w:r>
      <w:hyperlink r:id="rId77" w:anchor="page=82" w:history="1">
        <w:r>
          <w:rPr>
            <w:rStyle w:val="Hyperlink"/>
          </w:rPr>
          <w:t>[42]</w:t>
        </w:r>
      </w:hyperlink>
    </w:p>
    <w:p w14:paraId="540F7DBE" w14:textId="77777777" w:rsidR="00C85062" w:rsidRDefault="00000000">
      <w:pPr>
        <w:spacing w:after="160"/>
      </w:pPr>
      <w:r>
        <w:t xml:space="preserve">Illustrative cases </w:t>
      </w:r>
      <w:hyperlink r:id="rId78" w:history="1">
        <w:r>
          <w:rPr>
            <w:rStyle w:val="Hyperlink"/>
          </w:rPr>
          <w:t>[43]</w:t>
        </w:r>
      </w:hyperlink>
      <w:r>
        <w:t xml:space="preserve"> Background: This case involved a merger in the telecommunications sector, where the Commission assessed potential anti-competitive effects and the parties' claims of efficiencies. How it applies: The Commission evaluated whether the claimed efficiencies, such as cost savings, would benefit consumers and counteract the merger's anti-competitive effects. It emphasized that efficiencies must be substantial, timely, and realized in the relevant markets where competition concerns arise </w:t>
      </w:r>
      <w:hyperlink r:id="rId79" w:anchor="page=80" w:history="1">
        <w:r>
          <w:rPr>
            <w:rStyle w:val="Hyperlink"/>
          </w:rPr>
          <w:t>[44]</w:t>
        </w:r>
      </w:hyperlink>
      <w:r>
        <w:t>.</w:t>
      </w:r>
    </w:p>
    <w:p w14:paraId="7157CB25" w14:textId="77777777" w:rsidR="00C85062" w:rsidRDefault="00000000">
      <w:pPr>
        <w:spacing w:after="160"/>
      </w:pPr>
      <w:hyperlink r:id="rId80" w:history="1">
        <w:r>
          <w:rPr>
            <w:rStyle w:val="Hyperlink"/>
          </w:rPr>
          <w:t>[45]</w:t>
        </w:r>
      </w:hyperlink>
      <w:r>
        <w:t xml:space="preserve"> Background: This case involved a merger in the UK mobile telecommunications market, with concerns about reduced competition and higher prices. How it applies: The Commission noted that while the merging parties claimed potential network efficiencies, these were not expected to materialize before a certain time, reducing their weight in the assessment. The case underscores the need for remedies to be proportionate and capable of being implemented effectively within a short period </w:t>
      </w:r>
      <w:hyperlink r:id="rId81" w:anchor="page=80" w:history="1">
        <w:r>
          <w:rPr>
            <w:rStyle w:val="Hyperlink"/>
          </w:rPr>
          <w:t>[44]</w:t>
        </w:r>
      </w:hyperlink>
      <w:r>
        <w:t>.</w:t>
      </w:r>
    </w:p>
    <w:p w14:paraId="50194493" w14:textId="77777777" w:rsidR="00C85062" w:rsidRDefault="00000000">
      <w:pPr>
        <w:spacing w:after="160"/>
      </w:pPr>
      <w:r>
        <w:t>Output of this step The output of this step is an assessment of efficiencies and proposed remedies, which will be synthesized in the next section through real-world examples, demonstrating the practical application of the theories and steps discussed.</w:t>
      </w:r>
    </w:p>
    <w:p w14:paraId="7468983C" w14:textId="77777777" w:rsidR="00C85062" w:rsidRDefault="00000000">
      <w:pPr>
        <w:spacing w:before="260" w:after="140"/>
      </w:pPr>
      <w:r>
        <w:rPr>
          <w:b/>
          <w:bCs/>
          <w:color w:val="1F4E5F"/>
          <w:sz w:val="26"/>
          <w:szCs w:val="26"/>
        </w:rPr>
        <w:t>2.7 Step 7: Worked Examples: Digital-Market Cases</w:t>
      </w:r>
    </w:p>
    <w:p w14:paraId="6BA53805" w14:textId="77777777" w:rsidR="00C85062" w:rsidRDefault="00000000">
      <w:pPr>
        <w:spacing w:after="160"/>
      </w:pPr>
      <w:r>
        <w:t>This section synthesizes the methodology for assessing theories of harm in digital market mergers by applying it to real-world cases. It illustrates how the steps outlined in previous sections are practically implemented, providing insights into the unique challenges and adaptations required in digital markets.</w:t>
      </w:r>
    </w:p>
    <w:p w14:paraId="3C630C55" w14:textId="77777777" w:rsidR="00C85062" w:rsidRDefault="00000000">
      <w:pPr>
        <w:spacing w:before="220" w:after="140"/>
      </w:pPr>
      <w:r>
        <w:rPr>
          <w:b/>
          <w:bCs/>
          <w:i/>
          <w:iCs/>
          <w:color w:val="1F4E5F"/>
          <w:sz w:val="24"/>
          <w:szCs w:val="24"/>
        </w:rPr>
        <w:t>Why these cases</w:t>
      </w:r>
    </w:p>
    <w:p w14:paraId="3EDCDDBD" w14:textId="77777777" w:rsidR="00C85062" w:rsidRDefault="00000000">
      <w:pPr>
        <w:spacing w:after="160"/>
      </w:pPr>
      <w:r>
        <w:t xml:space="preserve">The cases of </w:t>
      </w:r>
      <w:hyperlink r:id="rId82" w:history="1">
        <w:r>
          <w:rPr>
            <w:rStyle w:val="Hyperlink"/>
          </w:rPr>
          <w:t>[46]</w:t>
        </w:r>
      </w:hyperlink>
      <w:r>
        <w:t>, Google/Fitbit, and Apple/Shazam were selected from the case database for their relevance to digital markets and their illustration of diverse theories of harm. These cases exemplify the application of the methodology in complex digital environments, highlighting both common patterns and unique challenges.</w:t>
      </w:r>
    </w:p>
    <w:p w14:paraId="3A3372BA" w14:textId="77777777" w:rsidR="00C85062" w:rsidRDefault="00000000">
      <w:pPr>
        <w:spacing w:after="160"/>
      </w:pPr>
      <w:r>
        <w:t>Microsoft/Activision Blizzard</w:t>
      </w:r>
    </w:p>
    <w:p w14:paraId="62C525F5" w14:textId="77777777" w:rsidR="00C85062" w:rsidRDefault="00000000">
      <w:pPr>
        <w:spacing w:before="180" w:after="140"/>
      </w:pPr>
      <w:r>
        <w:rPr>
          <w:b/>
          <w:bCs/>
          <w:i/>
          <w:iCs/>
          <w:color w:val="1F4E5F"/>
        </w:rPr>
        <w:t>Background</w:t>
      </w:r>
    </w:p>
    <w:p w14:paraId="404E006B" w14:textId="77777777" w:rsidR="00C85062" w:rsidRDefault="00000000">
      <w:pPr>
        <w:spacing w:after="160"/>
      </w:pPr>
      <w:r>
        <w:t>This case involved Microsoft's acquisition of Activision Blizzard, a major player in the video game industry. The merger raised concerns about potential impacts on competition in the development, publishing, and distribution of video games.</w:t>
      </w:r>
    </w:p>
    <w:p w14:paraId="0B72EF9A" w14:textId="77777777" w:rsidR="00C85062" w:rsidRDefault="00000000">
      <w:pPr>
        <w:spacing w:before="180" w:after="140"/>
      </w:pPr>
      <w:r>
        <w:rPr>
          <w:b/>
          <w:bCs/>
          <w:i/>
          <w:iCs/>
          <w:color w:val="1F4E5F"/>
        </w:rPr>
        <w:t>How it applies</w:t>
      </w:r>
    </w:p>
    <w:p w14:paraId="535E9B8B" w14:textId="77777777" w:rsidR="00C85062" w:rsidRDefault="00000000">
      <w:pPr>
        <w:spacing w:after="160"/>
      </w:pPr>
      <w:r>
        <w:t xml:space="preserve">The authority defined relevant markets by considering specific segments such as AAA games and distribution channels. It assessed horizontal non-coordinated effects by examining the potential loss of competition between the merging firms. Vertical and conglomerate effects were evaluated, focusing on potential foreclosure of rival developers and publishers. The authority accepted commitments proposed by Microsoft to address competition concerns, declaring the transaction compatible with the internal market </w:t>
      </w:r>
      <w:hyperlink r:id="rId83" w:history="1">
        <w:r>
          <w:rPr>
            <w:rStyle w:val="Hyperlink"/>
          </w:rPr>
          <w:t>[46]</w:t>
        </w:r>
      </w:hyperlink>
      <w:r>
        <w:t>.</w:t>
      </w:r>
    </w:p>
    <w:p w14:paraId="6F8210F7" w14:textId="77777777" w:rsidR="00C85062" w:rsidRDefault="00000000">
      <w:pPr>
        <w:spacing w:after="160"/>
      </w:pPr>
      <w:r>
        <w:t>Google/Fitbit</w:t>
      </w:r>
    </w:p>
    <w:p w14:paraId="6BD1BC07" w14:textId="77777777" w:rsidR="00C85062" w:rsidRDefault="00000000">
      <w:pPr>
        <w:spacing w:before="180" w:after="140"/>
      </w:pPr>
      <w:r>
        <w:rPr>
          <w:b/>
          <w:bCs/>
          <w:i/>
          <w:iCs/>
          <w:color w:val="1F4E5F"/>
        </w:rPr>
        <w:t>Background</w:t>
      </w:r>
    </w:p>
    <w:p w14:paraId="682752C0" w14:textId="77777777" w:rsidR="00C85062" w:rsidRDefault="00000000">
      <w:pPr>
        <w:spacing w:after="160"/>
      </w:pPr>
      <w:r>
        <w:t>Google's acquisition of Fitbit, a leading wearable device company, raised concerns about data-related foreclosure and the potential strengthening of Google's dominant position in online advertising.</w:t>
      </w:r>
    </w:p>
    <w:p w14:paraId="479E737B" w14:textId="77777777" w:rsidR="00C85062" w:rsidRDefault="00000000">
      <w:pPr>
        <w:spacing w:before="180" w:after="140"/>
      </w:pPr>
      <w:r>
        <w:rPr>
          <w:b/>
          <w:bCs/>
          <w:i/>
          <w:iCs/>
          <w:color w:val="1F4E5F"/>
        </w:rPr>
        <w:t>How it applies</w:t>
      </w:r>
    </w:p>
    <w:p w14:paraId="24C10675" w14:textId="77777777" w:rsidR="00C85062" w:rsidRDefault="00000000">
      <w:pPr>
        <w:spacing w:after="160"/>
      </w:pPr>
      <w:r>
        <w:t>The authority defined several relevant markets, including online advertising and wearable devices, with a global scope. It assessed horizontal non-coordinated effects by examining Google's dominant position and potential conglomerate effects, focusing on Google's ability to leverage its market position. The authority considered dynamic and innovation effects, noting potential long-term reductions in innovation. Final commitments from Google were accepted to address competition concerns, ensuring the merger's compatibility with the internal market (page 61, 101, 151, 109, 223).</w:t>
      </w:r>
    </w:p>
    <w:p w14:paraId="1C218901" w14:textId="77777777" w:rsidR="00C85062" w:rsidRDefault="00000000">
      <w:pPr>
        <w:spacing w:after="160"/>
      </w:pPr>
      <w:r>
        <w:t>Apple/Shazam</w:t>
      </w:r>
    </w:p>
    <w:p w14:paraId="4D919E50" w14:textId="77777777" w:rsidR="00C85062" w:rsidRDefault="00000000">
      <w:pPr>
        <w:spacing w:before="180" w:after="140"/>
      </w:pPr>
      <w:r>
        <w:rPr>
          <w:b/>
          <w:bCs/>
          <w:i/>
          <w:iCs/>
          <w:color w:val="1F4E5F"/>
        </w:rPr>
        <w:t>Background</w:t>
      </w:r>
    </w:p>
    <w:p w14:paraId="667350AE" w14:textId="77777777" w:rsidR="00C85062" w:rsidRDefault="00000000">
      <w:pPr>
        <w:spacing w:after="160"/>
      </w:pPr>
      <w:r>
        <w:t>Apple's acquisition of Shazam, a music recognition app, was scrutinized for potential impacts on competition in digital music streaming and software solutions.</w:t>
      </w:r>
    </w:p>
    <w:p w14:paraId="70EB1972" w14:textId="77777777" w:rsidR="00C85062" w:rsidRDefault="00000000">
      <w:pPr>
        <w:spacing w:before="180" w:after="140"/>
      </w:pPr>
      <w:r>
        <w:rPr>
          <w:b/>
          <w:bCs/>
          <w:i/>
          <w:iCs/>
          <w:color w:val="1F4E5F"/>
        </w:rPr>
        <w:t>How it applies</w:t>
      </w:r>
    </w:p>
    <w:p w14:paraId="063C1C62" w14:textId="77777777" w:rsidR="00C85062" w:rsidRDefault="00000000">
      <w:pPr>
        <w:spacing w:after="160"/>
      </w:pPr>
      <w:r>
        <w:t xml:space="preserve">The authority defined markets in software solutions and digital music streaming, leaving some definitions open due to lack of significant competitive impediments. It assessed horizontal non-coordinated effects, concluding that the services were complementary. Vertical and conglomerate effects were examined, focusing on potential foreclosure effects. The transaction was declared compatible with the internal market, with no remedies or fines imposed (page 21, </w:t>
      </w:r>
      <w:hyperlink r:id="rId84" w:history="1">
        <w:r>
          <w:rPr>
            <w:rStyle w:val="Hyperlink"/>
          </w:rPr>
          <w:t>[48]</w:t>
        </w:r>
      </w:hyperlink>
      <w:r>
        <w:t>.</w:t>
      </w:r>
    </w:p>
    <w:p w14:paraId="4B1999B7" w14:textId="77777777" w:rsidR="00C85062" w:rsidRDefault="00000000">
      <w:pPr>
        <w:spacing w:before="220" w:after="140"/>
      </w:pPr>
      <w:r>
        <w:rPr>
          <w:b/>
          <w:bCs/>
          <w:i/>
          <w:iCs/>
          <w:color w:val="1F4E5F"/>
          <w:sz w:val="24"/>
          <w:szCs w:val="24"/>
        </w:rPr>
        <w:t>Comparison across cases</w:t>
      </w:r>
    </w:p>
    <w:p w14:paraId="302AF193" w14:textId="77777777" w:rsidR="00C85062" w:rsidRDefault="00000000">
      <w:pPr>
        <w:spacing w:before="220" w:after="140"/>
      </w:pPr>
      <w:r>
        <w:rPr>
          <w:b/>
          <w:bCs/>
          <w:i/>
          <w:iCs/>
          <w:color w:val="1F4E5F"/>
          <w:sz w:val="24"/>
          <w:szCs w:val="24"/>
        </w:rPr>
        <w:t>What the cases show about the methodology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7"/>
        <w:gridCol w:w="2517"/>
        <w:gridCol w:w="2518"/>
        <w:gridCol w:w="2518"/>
      </w:tblGrid>
      <w:tr w:rsidR="00C85062" w14:paraId="2D088AC9" w14:textId="77777777">
        <w:tblPrEx>
          <w:tblCellMar>
            <w:top w:w="0" w:type="dxa"/>
            <w:bottom w:w="0" w:type="dxa"/>
          </w:tblCellMar>
        </w:tblPrEx>
        <w:trPr>
          <w:tblHeader/>
        </w:trPr>
        <w:tc>
          <w:tcPr>
            <w:tcW w:w="1250" w:type="pct"/>
            <w:shd w:val="clear" w:color="auto" w:fill="1F4E5F"/>
            <w:tcMar>
              <w:top w:w="80" w:type="dxa"/>
              <w:left w:w="100" w:type="dxa"/>
              <w:bottom w:w="80" w:type="dxa"/>
              <w:right w:w="100" w:type="dxa"/>
            </w:tcMar>
          </w:tcPr>
          <w:p w14:paraId="7A82640C" w14:textId="77777777" w:rsidR="00C85062" w:rsidRDefault="00000000">
            <w:r>
              <w:rPr>
                <w:b/>
                <w:bCs/>
                <w:color w:val="FFFFFF"/>
                <w:sz w:val="18"/>
                <w:szCs w:val="18"/>
              </w:rPr>
              <w:t>Step</w:t>
            </w:r>
          </w:p>
        </w:tc>
        <w:tc>
          <w:tcPr>
            <w:tcW w:w="1250" w:type="pct"/>
            <w:shd w:val="clear" w:color="auto" w:fill="1F4E5F"/>
            <w:tcMar>
              <w:top w:w="80" w:type="dxa"/>
              <w:left w:w="100" w:type="dxa"/>
              <w:bottom w:w="80" w:type="dxa"/>
              <w:right w:w="100" w:type="dxa"/>
            </w:tcMar>
          </w:tcPr>
          <w:p w14:paraId="774523C8" w14:textId="77777777" w:rsidR="00C85062" w:rsidRDefault="00000000">
            <w:r>
              <w:rPr>
                <w:b/>
                <w:bCs/>
                <w:color w:val="FFFFFF"/>
                <w:sz w:val="18"/>
                <w:szCs w:val="18"/>
              </w:rPr>
              <w:t>Microsoft/Activision Blizzard</w:t>
            </w:r>
          </w:p>
        </w:tc>
        <w:tc>
          <w:tcPr>
            <w:tcW w:w="1250" w:type="pct"/>
            <w:shd w:val="clear" w:color="auto" w:fill="1F4E5F"/>
            <w:tcMar>
              <w:top w:w="80" w:type="dxa"/>
              <w:left w:w="100" w:type="dxa"/>
              <w:bottom w:w="80" w:type="dxa"/>
              <w:right w:w="100" w:type="dxa"/>
            </w:tcMar>
          </w:tcPr>
          <w:p w14:paraId="327AA093" w14:textId="77777777" w:rsidR="00C85062" w:rsidRDefault="00000000">
            <w:r>
              <w:rPr>
                <w:b/>
                <w:bCs/>
                <w:color w:val="FFFFFF"/>
                <w:sz w:val="18"/>
                <w:szCs w:val="18"/>
              </w:rPr>
              <w:t>Google/Fitbit</w:t>
            </w:r>
          </w:p>
        </w:tc>
        <w:tc>
          <w:tcPr>
            <w:tcW w:w="1250" w:type="pct"/>
            <w:shd w:val="clear" w:color="auto" w:fill="1F4E5F"/>
            <w:tcMar>
              <w:top w:w="80" w:type="dxa"/>
              <w:left w:w="100" w:type="dxa"/>
              <w:bottom w:w="80" w:type="dxa"/>
              <w:right w:w="100" w:type="dxa"/>
            </w:tcMar>
          </w:tcPr>
          <w:p w14:paraId="256EF70E" w14:textId="77777777" w:rsidR="00C85062" w:rsidRDefault="00000000">
            <w:r>
              <w:rPr>
                <w:b/>
                <w:bCs/>
                <w:color w:val="FFFFFF"/>
                <w:sz w:val="18"/>
                <w:szCs w:val="18"/>
              </w:rPr>
              <w:t>Apple/Shazam</w:t>
            </w:r>
          </w:p>
        </w:tc>
      </w:tr>
      <w:tr w:rsidR="00C85062" w14:paraId="2EDF522B" w14:textId="77777777">
        <w:tblPrEx>
          <w:tblCellMar>
            <w:top w:w="0" w:type="dxa"/>
            <w:bottom w:w="0" w:type="dxa"/>
          </w:tblCellMar>
        </w:tblPrEx>
        <w:tc>
          <w:tcPr>
            <w:tcW w:w="1250" w:type="pct"/>
            <w:tcMar>
              <w:top w:w="80" w:type="dxa"/>
              <w:left w:w="100" w:type="dxa"/>
              <w:bottom w:w="80" w:type="dxa"/>
              <w:right w:w="100" w:type="dxa"/>
            </w:tcMar>
          </w:tcPr>
          <w:p w14:paraId="3BC10B6D" w14:textId="77777777" w:rsidR="00C85062" w:rsidRDefault="00000000">
            <w:r>
              <w:rPr>
                <w:color w:val="000000"/>
                <w:sz w:val="18"/>
                <w:szCs w:val="18"/>
              </w:rPr>
              <w:t>Define the Markets and the Counterfactual</w:t>
            </w:r>
          </w:p>
        </w:tc>
        <w:tc>
          <w:tcPr>
            <w:tcW w:w="1250" w:type="pct"/>
            <w:tcMar>
              <w:top w:w="80" w:type="dxa"/>
              <w:left w:w="100" w:type="dxa"/>
              <w:bottom w:w="80" w:type="dxa"/>
              <w:right w:w="100" w:type="dxa"/>
            </w:tcMar>
          </w:tcPr>
          <w:p w14:paraId="77E0163B" w14:textId="77777777" w:rsidR="00C85062" w:rsidRDefault="00000000">
            <w:r>
              <w:rPr>
                <w:color w:val="000000"/>
                <w:sz w:val="18"/>
                <w:szCs w:val="18"/>
              </w:rPr>
              <w:t>Specific segments defined</w:t>
            </w:r>
          </w:p>
        </w:tc>
        <w:tc>
          <w:tcPr>
            <w:tcW w:w="1250" w:type="pct"/>
            <w:tcMar>
              <w:top w:w="80" w:type="dxa"/>
              <w:left w:w="100" w:type="dxa"/>
              <w:bottom w:w="80" w:type="dxa"/>
              <w:right w:w="100" w:type="dxa"/>
            </w:tcMar>
          </w:tcPr>
          <w:p w14:paraId="6AC1DA21" w14:textId="77777777" w:rsidR="00C85062" w:rsidRDefault="00000000">
            <w:r>
              <w:rPr>
                <w:color w:val="000000"/>
                <w:sz w:val="18"/>
                <w:szCs w:val="18"/>
              </w:rPr>
              <w:t>Multiple sectors, global scope</w:t>
            </w:r>
          </w:p>
        </w:tc>
        <w:tc>
          <w:tcPr>
            <w:tcW w:w="1250" w:type="pct"/>
            <w:tcMar>
              <w:top w:w="80" w:type="dxa"/>
              <w:left w:w="100" w:type="dxa"/>
              <w:bottom w:w="80" w:type="dxa"/>
              <w:right w:w="100" w:type="dxa"/>
            </w:tcMar>
          </w:tcPr>
          <w:p w14:paraId="29DA1834" w14:textId="77777777" w:rsidR="00C85062" w:rsidRDefault="00000000">
            <w:r>
              <w:rPr>
                <w:color w:val="000000"/>
                <w:sz w:val="18"/>
                <w:szCs w:val="18"/>
              </w:rPr>
              <w:t>Some definitions open</w:t>
            </w:r>
          </w:p>
        </w:tc>
      </w:tr>
      <w:tr w:rsidR="00C85062" w14:paraId="6C054851" w14:textId="77777777">
        <w:tblPrEx>
          <w:tblCellMar>
            <w:top w:w="0" w:type="dxa"/>
            <w:bottom w:w="0" w:type="dxa"/>
          </w:tblCellMar>
        </w:tblPrEx>
        <w:tc>
          <w:tcPr>
            <w:tcW w:w="1250" w:type="pct"/>
            <w:tcMar>
              <w:top w:w="80" w:type="dxa"/>
              <w:left w:w="100" w:type="dxa"/>
              <w:bottom w:w="80" w:type="dxa"/>
              <w:right w:w="100" w:type="dxa"/>
            </w:tcMar>
          </w:tcPr>
          <w:p w14:paraId="485FF5D7" w14:textId="77777777" w:rsidR="00C85062" w:rsidRDefault="00000000">
            <w:r>
              <w:rPr>
                <w:color w:val="000000"/>
                <w:sz w:val="18"/>
                <w:szCs w:val="18"/>
              </w:rPr>
              <w:t>Assess Horizontal Non-Coordinated Effects</w:t>
            </w:r>
          </w:p>
        </w:tc>
        <w:tc>
          <w:tcPr>
            <w:tcW w:w="1250" w:type="pct"/>
            <w:tcMar>
              <w:top w:w="80" w:type="dxa"/>
              <w:left w:w="100" w:type="dxa"/>
              <w:bottom w:w="80" w:type="dxa"/>
              <w:right w:w="100" w:type="dxa"/>
            </w:tcMar>
          </w:tcPr>
          <w:p w14:paraId="2467181E" w14:textId="77777777" w:rsidR="00C85062" w:rsidRDefault="00000000">
            <w:r>
              <w:rPr>
                <w:color w:val="000000"/>
                <w:sz w:val="18"/>
                <w:szCs w:val="18"/>
              </w:rPr>
              <w:t>Focus on competition loss</w:t>
            </w:r>
          </w:p>
        </w:tc>
        <w:tc>
          <w:tcPr>
            <w:tcW w:w="1250" w:type="pct"/>
            <w:tcMar>
              <w:top w:w="80" w:type="dxa"/>
              <w:left w:w="100" w:type="dxa"/>
              <w:bottom w:w="80" w:type="dxa"/>
              <w:right w:w="100" w:type="dxa"/>
            </w:tcMar>
          </w:tcPr>
          <w:p w14:paraId="2214F6AA" w14:textId="77777777" w:rsidR="00C85062" w:rsidRDefault="00000000">
            <w:r>
              <w:rPr>
                <w:color w:val="000000"/>
                <w:sz w:val="18"/>
                <w:szCs w:val="18"/>
              </w:rPr>
              <w:t>Dominant position examined</w:t>
            </w:r>
          </w:p>
        </w:tc>
        <w:tc>
          <w:tcPr>
            <w:tcW w:w="1250" w:type="pct"/>
            <w:tcMar>
              <w:top w:w="80" w:type="dxa"/>
              <w:left w:w="100" w:type="dxa"/>
              <w:bottom w:w="80" w:type="dxa"/>
              <w:right w:w="100" w:type="dxa"/>
            </w:tcMar>
          </w:tcPr>
          <w:p w14:paraId="1947A157" w14:textId="77777777" w:rsidR="00C85062" w:rsidRDefault="00000000">
            <w:r>
              <w:rPr>
                <w:color w:val="000000"/>
                <w:sz w:val="18"/>
                <w:szCs w:val="18"/>
              </w:rPr>
              <w:t>Complementary services</w:t>
            </w:r>
          </w:p>
        </w:tc>
      </w:tr>
      <w:tr w:rsidR="00C85062" w14:paraId="4005CEAC" w14:textId="77777777">
        <w:tblPrEx>
          <w:tblCellMar>
            <w:top w:w="0" w:type="dxa"/>
            <w:bottom w:w="0" w:type="dxa"/>
          </w:tblCellMar>
        </w:tblPrEx>
        <w:tc>
          <w:tcPr>
            <w:tcW w:w="1250" w:type="pct"/>
            <w:tcMar>
              <w:top w:w="80" w:type="dxa"/>
              <w:left w:w="100" w:type="dxa"/>
              <w:bottom w:w="80" w:type="dxa"/>
              <w:right w:w="100" w:type="dxa"/>
            </w:tcMar>
          </w:tcPr>
          <w:p w14:paraId="21B430BB" w14:textId="77777777" w:rsidR="00C85062" w:rsidRDefault="00000000">
            <w:r>
              <w:rPr>
                <w:color w:val="000000"/>
                <w:sz w:val="18"/>
                <w:szCs w:val="18"/>
              </w:rPr>
              <w:t>Assess Horizontal Coordinated Effects</w:t>
            </w:r>
          </w:p>
        </w:tc>
        <w:tc>
          <w:tcPr>
            <w:tcW w:w="1250" w:type="pct"/>
            <w:tcMar>
              <w:top w:w="80" w:type="dxa"/>
              <w:left w:w="100" w:type="dxa"/>
              <w:bottom w:w="80" w:type="dxa"/>
              <w:right w:w="100" w:type="dxa"/>
            </w:tcMar>
          </w:tcPr>
          <w:p w14:paraId="18BE3F97" w14:textId="77777777" w:rsidR="00C85062" w:rsidRDefault="00000000">
            <w:r>
              <w:rPr>
                <w:color w:val="000000"/>
                <w:sz w:val="18"/>
                <w:szCs w:val="18"/>
              </w:rPr>
              <w:t>Not covered</w:t>
            </w:r>
          </w:p>
        </w:tc>
        <w:tc>
          <w:tcPr>
            <w:tcW w:w="1250" w:type="pct"/>
            <w:tcMar>
              <w:top w:w="80" w:type="dxa"/>
              <w:left w:w="100" w:type="dxa"/>
              <w:bottom w:w="80" w:type="dxa"/>
              <w:right w:w="100" w:type="dxa"/>
            </w:tcMar>
          </w:tcPr>
          <w:p w14:paraId="559A4C89" w14:textId="77777777" w:rsidR="00C85062" w:rsidRDefault="00000000">
            <w:r>
              <w:rPr>
                <w:color w:val="000000"/>
                <w:sz w:val="18"/>
                <w:szCs w:val="18"/>
              </w:rPr>
              <w:t>Not detailed</w:t>
            </w:r>
          </w:p>
        </w:tc>
        <w:tc>
          <w:tcPr>
            <w:tcW w:w="1250" w:type="pct"/>
            <w:tcMar>
              <w:top w:w="80" w:type="dxa"/>
              <w:left w:w="100" w:type="dxa"/>
              <w:bottom w:w="80" w:type="dxa"/>
              <w:right w:w="100" w:type="dxa"/>
            </w:tcMar>
          </w:tcPr>
          <w:p w14:paraId="1B7704F4" w14:textId="77777777" w:rsidR="00C85062" w:rsidRDefault="00000000">
            <w:r>
              <w:rPr>
                <w:color w:val="000000"/>
                <w:sz w:val="18"/>
                <w:szCs w:val="18"/>
              </w:rPr>
              <w:t>Not detailed</w:t>
            </w:r>
          </w:p>
        </w:tc>
      </w:tr>
      <w:tr w:rsidR="00C85062" w14:paraId="3880FB7D" w14:textId="77777777">
        <w:tblPrEx>
          <w:tblCellMar>
            <w:top w:w="0" w:type="dxa"/>
            <w:bottom w:w="0" w:type="dxa"/>
          </w:tblCellMar>
        </w:tblPrEx>
        <w:tc>
          <w:tcPr>
            <w:tcW w:w="1250" w:type="pct"/>
            <w:tcMar>
              <w:top w:w="80" w:type="dxa"/>
              <w:left w:w="100" w:type="dxa"/>
              <w:bottom w:w="80" w:type="dxa"/>
              <w:right w:w="100" w:type="dxa"/>
            </w:tcMar>
          </w:tcPr>
          <w:p w14:paraId="39D661A5" w14:textId="77777777" w:rsidR="00C85062" w:rsidRDefault="00000000">
            <w:r>
              <w:rPr>
                <w:color w:val="000000"/>
                <w:sz w:val="18"/>
                <w:szCs w:val="18"/>
              </w:rPr>
              <w:t>Assess Vertical and Conglomerate Effects</w:t>
            </w:r>
          </w:p>
        </w:tc>
        <w:tc>
          <w:tcPr>
            <w:tcW w:w="1250" w:type="pct"/>
            <w:tcMar>
              <w:top w:w="80" w:type="dxa"/>
              <w:left w:w="100" w:type="dxa"/>
              <w:bottom w:w="80" w:type="dxa"/>
              <w:right w:w="100" w:type="dxa"/>
            </w:tcMar>
          </w:tcPr>
          <w:p w14:paraId="706CC384" w14:textId="77777777" w:rsidR="00C85062" w:rsidRDefault="00000000">
            <w:r>
              <w:rPr>
                <w:color w:val="000000"/>
                <w:sz w:val="18"/>
                <w:szCs w:val="18"/>
              </w:rPr>
              <w:t>Foreclosure potential</w:t>
            </w:r>
          </w:p>
        </w:tc>
        <w:tc>
          <w:tcPr>
            <w:tcW w:w="1250" w:type="pct"/>
            <w:tcMar>
              <w:top w:w="80" w:type="dxa"/>
              <w:left w:w="100" w:type="dxa"/>
              <w:bottom w:w="80" w:type="dxa"/>
              <w:right w:w="100" w:type="dxa"/>
            </w:tcMar>
          </w:tcPr>
          <w:p w14:paraId="17959139" w14:textId="77777777" w:rsidR="00C85062" w:rsidRDefault="00000000">
            <w:r>
              <w:rPr>
                <w:color w:val="000000"/>
                <w:sz w:val="18"/>
                <w:szCs w:val="18"/>
              </w:rPr>
              <w:t>Conglomerate effects</w:t>
            </w:r>
          </w:p>
        </w:tc>
        <w:tc>
          <w:tcPr>
            <w:tcW w:w="1250" w:type="pct"/>
            <w:tcMar>
              <w:top w:w="80" w:type="dxa"/>
              <w:left w:w="100" w:type="dxa"/>
              <w:bottom w:w="80" w:type="dxa"/>
              <w:right w:w="100" w:type="dxa"/>
            </w:tcMar>
          </w:tcPr>
          <w:p w14:paraId="5FF0EB55" w14:textId="77777777" w:rsidR="00C85062" w:rsidRDefault="00000000">
            <w:r>
              <w:rPr>
                <w:color w:val="000000"/>
                <w:sz w:val="18"/>
                <w:szCs w:val="18"/>
              </w:rPr>
              <w:t>Foreclosure potential</w:t>
            </w:r>
          </w:p>
        </w:tc>
      </w:tr>
      <w:tr w:rsidR="00C85062" w14:paraId="63079003" w14:textId="77777777">
        <w:tblPrEx>
          <w:tblCellMar>
            <w:top w:w="0" w:type="dxa"/>
            <w:bottom w:w="0" w:type="dxa"/>
          </w:tblCellMar>
        </w:tblPrEx>
        <w:tc>
          <w:tcPr>
            <w:tcW w:w="1250" w:type="pct"/>
            <w:tcMar>
              <w:top w:w="80" w:type="dxa"/>
              <w:left w:w="100" w:type="dxa"/>
              <w:bottom w:w="80" w:type="dxa"/>
              <w:right w:w="100" w:type="dxa"/>
            </w:tcMar>
          </w:tcPr>
          <w:p w14:paraId="473CBB8F" w14:textId="77777777" w:rsidR="00C85062" w:rsidRDefault="00000000">
            <w:r>
              <w:rPr>
                <w:color w:val="000000"/>
                <w:sz w:val="18"/>
                <w:szCs w:val="18"/>
              </w:rPr>
              <w:t>Assess Dynamic and Innovation Effects</w:t>
            </w:r>
          </w:p>
        </w:tc>
        <w:tc>
          <w:tcPr>
            <w:tcW w:w="1250" w:type="pct"/>
            <w:tcMar>
              <w:top w:w="80" w:type="dxa"/>
              <w:left w:w="100" w:type="dxa"/>
              <w:bottom w:w="80" w:type="dxa"/>
              <w:right w:w="100" w:type="dxa"/>
            </w:tcMar>
          </w:tcPr>
          <w:p w14:paraId="7FF42BEC" w14:textId="77777777" w:rsidR="00C85062" w:rsidRDefault="00000000">
            <w:r>
              <w:rPr>
                <w:color w:val="000000"/>
                <w:sz w:val="18"/>
                <w:szCs w:val="18"/>
              </w:rPr>
              <w:t>Not covered</w:t>
            </w:r>
          </w:p>
        </w:tc>
        <w:tc>
          <w:tcPr>
            <w:tcW w:w="1250" w:type="pct"/>
            <w:tcMar>
              <w:top w:w="80" w:type="dxa"/>
              <w:left w:w="100" w:type="dxa"/>
              <w:bottom w:w="80" w:type="dxa"/>
              <w:right w:w="100" w:type="dxa"/>
            </w:tcMar>
          </w:tcPr>
          <w:p w14:paraId="5545E7CE" w14:textId="77777777" w:rsidR="00C85062" w:rsidRDefault="00000000">
            <w:r>
              <w:rPr>
                <w:color w:val="000000"/>
                <w:sz w:val="18"/>
                <w:szCs w:val="18"/>
              </w:rPr>
              <w:t>Long-term innovation impact</w:t>
            </w:r>
          </w:p>
        </w:tc>
        <w:tc>
          <w:tcPr>
            <w:tcW w:w="1250" w:type="pct"/>
            <w:tcMar>
              <w:top w:w="80" w:type="dxa"/>
              <w:left w:w="100" w:type="dxa"/>
              <w:bottom w:w="80" w:type="dxa"/>
              <w:right w:w="100" w:type="dxa"/>
            </w:tcMar>
          </w:tcPr>
          <w:p w14:paraId="75DAB967" w14:textId="77777777" w:rsidR="00C85062" w:rsidRDefault="00000000">
            <w:r>
              <w:rPr>
                <w:color w:val="000000"/>
                <w:sz w:val="18"/>
                <w:szCs w:val="18"/>
              </w:rPr>
              <w:t>Not covered</w:t>
            </w:r>
          </w:p>
        </w:tc>
      </w:tr>
      <w:tr w:rsidR="00C85062" w14:paraId="258C40EF" w14:textId="77777777">
        <w:tblPrEx>
          <w:tblCellMar>
            <w:top w:w="0" w:type="dxa"/>
            <w:bottom w:w="0" w:type="dxa"/>
          </w:tblCellMar>
        </w:tblPrEx>
        <w:tc>
          <w:tcPr>
            <w:tcW w:w="1250" w:type="pct"/>
            <w:tcMar>
              <w:top w:w="80" w:type="dxa"/>
              <w:left w:w="100" w:type="dxa"/>
              <w:bottom w:w="80" w:type="dxa"/>
              <w:right w:w="100" w:type="dxa"/>
            </w:tcMar>
          </w:tcPr>
          <w:p w14:paraId="342CBD00" w14:textId="77777777" w:rsidR="00C85062" w:rsidRDefault="00000000">
            <w:r>
              <w:rPr>
                <w:color w:val="000000"/>
                <w:sz w:val="18"/>
                <w:szCs w:val="18"/>
              </w:rPr>
              <w:t>Consider Efficiencies and Remedies</w:t>
            </w:r>
          </w:p>
        </w:tc>
        <w:tc>
          <w:tcPr>
            <w:tcW w:w="1250" w:type="pct"/>
            <w:tcMar>
              <w:top w:w="80" w:type="dxa"/>
              <w:left w:w="100" w:type="dxa"/>
              <w:bottom w:w="80" w:type="dxa"/>
              <w:right w:w="100" w:type="dxa"/>
            </w:tcMar>
          </w:tcPr>
          <w:p w14:paraId="335B70C8" w14:textId="77777777" w:rsidR="00C85062" w:rsidRDefault="00000000">
            <w:r>
              <w:rPr>
                <w:color w:val="000000"/>
                <w:sz w:val="18"/>
                <w:szCs w:val="18"/>
              </w:rPr>
              <w:t>Commitments accepted</w:t>
            </w:r>
          </w:p>
        </w:tc>
        <w:tc>
          <w:tcPr>
            <w:tcW w:w="1250" w:type="pct"/>
            <w:tcMar>
              <w:top w:w="80" w:type="dxa"/>
              <w:left w:w="100" w:type="dxa"/>
              <w:bottom w:w="80" w:type="dxa"/>
              <w:right w:w="100" w:type="dxa"/>
            </w:tcMar>
          </w:tcPr>
          <w:p w14:paraId="560282F2" w14:textId="77777777" w:rsidR="00C85062" w:rsidRDefault="00000000">
            <w:r>
              <w:rPr>
                <w:color w:val="000000"/>
                <w:sz w:val="18"/>
                <w:szCs w:val="18"/>
              </w:rPr>
              <w:t>Commitments accepted</w:t>
            </w:r>
          </w:p>
        </w:tc>
        <w:tc>
          <w:tcPr>
            <w:tcW w:w="1250" w:type="pct"/>
            <w:tcMar>
              <w:top w:w="80" w:type="dxa"/>
              <w:left w:w="100" w:type="dxa"/>
              <w:bottom w:w="80" w:type="dxa"/>
              <w:right w:w="100" w:type="dxa"/>
            </w:tcMar>
          </w:tcPr>
          <w:p w14:paraId="39665309" w14:textId="77777777" w:rsidR="00C85062" w:rsidRDefault="00000000">
            <w:r>
              <w:rPr>
                <w:color w:val="000000"/>
                <w:sz w:val="18"/>
                <w:szCs w:val="18"/>
              </w:rPr>
              <w:t>Not covered</w:t>
            </w:r>
          </w:p>
        </w:tc>
      </w:tr>
    </w:tbl>
    <w:p w14:paraId="10A3E14D" w14:textId="77777777" w:rsidR="00C85062" w:rsidRDefault="00C85062">
      <w:pPr>
        <w:spacing w:after="200"/>
      </w:pPr>
    </w:p>
    <w:p w14:paraId="7A06FD98" w14:textId="77777777" w:rsidR="00C85062" w:rsidRDefault="00000000">
      <w:pPr>
        <w:spacing w:after="160"/>
      </w:pPr>
      <w:r>
        <w:t xml:space="preserve">These cases demonstrate the adaptability of the methodology to the unique characteristics of digital markets. The emphasis on defining relevant markets and assessing potential foreclosure effects is consistent across cases, reflecting the importance of these steps in digital environments </w:t>
      </w:r>
      <w:hyperlink r:id="rId85" w:anchor="page=52" w:history="1">
        <w:r>
          <w:rPr>
            <w:rStyle w:val="Hyperlink"/>
          </w:rPr>
          <w:t>[49]</w:t>
        </w:r>
      </w:hyperlink>
      <w:r>
        <w:t xml:space="preserve">. However, the assessment of dynamic and innovation effects varies, highlighting the challenges in predicting long-term impacts in rapidly evolving markets </w:t>
      </w:r>
      <w:hyperlink r:id="rId86" w:anchor="page=90" w:history="1">
        <w:r>
          <w:rPr>
            <w:rStyle w:val="Hyperlink"/>
          </w:rPr>
          <w:t>[50]</w:t>
        </w:r>
      </w:hyperlink>
      <w:r>
        <w:t xml:space="preserve">. The cases also underscore the role of commitments in addressing competition concerns, ensuring that mergers align with the internal market's competitive landscape </w:t>
      </w:r>
      <w:hyperlink r:id="rId87" w:anchor="page=91" w:history="1">
        <w:r>
          <w:rPr>
            <w:rStyle w:val="Hyperlink"/>
          </w:rPr>
          <w:t>[51]</w:t>
        </w:r>
      </w:hyperlink>
      <w:r>
        <w:t>.</w:t>
      </w:r>
    </w:p>
    <w:p w14:paraId="793B9A04" w14:textId="77777777" w:rsidR="00C85062" w:rsidRDefault="00000000">
      <w:pPr>
        <w:spacing w:after="160"/>
      </w:pPr>
      <w:hyperlink r:id="rId88" w:anchor="page=161" w:history="1">
        <w:r>
          <w:rPr>
            <w:rStyle w:val="Hyperlink"/>
          </w:rPr>
          <w:t>[1]</w:t>
        </w:r>
      </w:hyperlink>
    </w:p>
    <w:p w14:paraId="7E907792" w14:textId="77777777" w:rsidR="00C85062" w:rsidRDefault="00000000">
      <w:pPr>
        <w:spacing w:after="160"/>
      </w:pPr>
      <w:hyperlink r:id="rId89" w:anchor="page=34" w:history="1">
        <w:r>
          <w:rPr>
            <w:rStyle w:val="Hyperlink"/>
          </w:rPr>
          <w:t>[2]</w:t>
        </w:r>
      </w:hyperlink>
    </w:p>
    <w:p w14:paraId="07482071" w14:textId="77777777" w:rsidR="00C85062" w:rsidRDefault="00000000">
      <w:pPr>
        <w:spacing w:after="160"/>
      </w:pPr>
      <w:hyperlink r:id="rId90" w:anchor="page=73" w:history="1">
        <w:r>
          <w:rPr>
            <w:rStyle w:val="Hyperlink"/>
          </w:rPr>
          <w:t>[3]</w:t>
        </w:r>
      </w:hyperlink>
      <w:r>
        <w:t xml:space="preserve"> </w:t>
      </w:r>
      <w:hyperlink r:id="rId91" w:anchor="page=224" w:history="1">
        <w:r>
          <w:rPr>
            <w:rStyle w:val="Hyperlink"/>
          </w:rPr>
          <w:t>[4]</w:t>
        </w:r>
      </w:hyperlink>
      <w:r>
        <w:t xml:space="preserve"> </w:t>
      </w:r>
      <w:hyperlink r:id="rId92" w:anchor="page=84" w:history="1">
        <w:r>
          <w:rPr>
            <w:rStyle w:val="Hyperlink"/>
          </w:rPr>
          <w:t>[5]</w:t>
        </w:r>
      </w:hyperlink>
    </w:p>
    <w:p w14:paraId="75114106" w14:textId="77777777" w:rsidR="00C85062" w:rsidRDefault="00000000">
      <w:pPr>
        <w:spacing w:after="160"/>
      </w:pPr>
      <w:hyperlink r:id="rId93" w:anchor="page=57" w:history="1">
        <w:r>
          <w:rPr>
            <w:rStyle w:val="Hyperlink"/>
          </w:rPr>
          <w:t>[6]</w:t>
        </w:r>
      </w:hyperlink>
    </w:p>
    <w:p w14:paraId="31F8894D" w14:textId="77777777" w:rsidR="00C85062" w:rsidRDefault="00000000">
      <w:pPr>
        <w:spacing w:after="160"/>
      </w:pPr>
      <w:hyperlink r:id="rId94" w:anchor="page=4" w:history="1">
        <w:r>
          <w:rPr>
            <w:rStyle w:val="Hyperlink"/>
          </w:rPr>
          <w:t>[7]</w:t>
        </w:r>
      </w:hyperlink>
    </w:p>
    <w:p w14:paraId="26B82E35" w14:textId="77777777" w:rsidR="00C85062" w:rsidRDefault="00000000">
      <w:pPr>
        <w:spacing w:before="280" w:after="120"/>
      </w:pPr>
      <w:r>
        <w:rPr>
          <w:b/>
          <w:bCs/>
          <w:color w:val="1F4E5F"/>
        </w:rPr>
        <w:t>Cited Sources</w:t>
      </w:r>
    </w:p>
    <w:p w14:paraId="02D17BED" w14:textId="77777777" w:rsidR="00C85062" w:rsidRDefault="00000000">
      <w:pPr>
        <w:pStyle w:val="ListParagraph"/>
        <w:numPr>
          <w:ilvl w:val="0"/>
          <w:numId w:val="2"/>
        </w:numPr>
        <w:spacing w:after="100"/>
      </w:pPr>
      <w:hyperlink r:id="rId95" w:anchor="page=161" w:history="1">
        <w:r>
          <w:rPr>
            <w:rStyle w:val="Hyperlink"/>
          </w:rPr>
          <w:t>Economic study on the dynamic effects of mergers, Volume 1: Main report (DG Competition</w:t>
        </w:r>
      </w:hyperlink>
    </w:p>
    <w:p w14:paraId="398BF051" w14:textId="77777777" w:rsidR="00C85062" w:rsidRDefault="00000000">
      <w:pPr>
        <w:pStyle w:val="ListParagraph"/>
        <w:numPr>
          <w:ilvl w:val="0"/>
          <w:numId w:val="2"/>
        </w:numPr>
        <w:spacing w:after="100"/>
      </w:pPr>
      <w:hyperlink r:id="rId96" w:anchor="page=34" w:history="1">
        <w:r>
          <w:rPr>
            <w:rStyle w:val="Hyperlink"/>
          </w:rPr>
          <w:t>Draft Guidelines on the assessment of mergers under Council Regulation (EC) No 139/2004 (Commission services draft, not adopted), p. 34</w:t>
        </w:r>
      </w:hyperlink>
    </w:p>
    <w:p w14:paraId="488F1644" w14:textId="77777777" w:rsidR="00C85062" w:rsidRDefault="00000000">
      <w:pPr>
        <w:pStyle w:val="ListParagraph"/>
        <w:numPr>
          <w:ilvl w:val="0"/>
          <w:numId w:val="2"/>
        </w:numPr>
        <w:spacing w:after="100"/>
      </w:pPr>
      <w:hyperlink r:id="rId97" w:anchor="page=73" w:history="1">
        <w:r>
          <w:rPr>
            <w:rStyle w:val="Hyperlink"/>
          </w:rPr>
          <w:t>Draft Guidelines on the assessment of mergers under Council Regulation (EC) No 139/2004 (Commission services draft, not adopted), p. 73</w:t>
        </w:r>
      </w:hyperlink>
    </w:p>
    <w:p w14:paraId="3455FA15" w14:textId="77777777" w:rsidR="00C85062" w:rsidRDefault="00000000">
      <w:pPr>
        <w:pStyle w:val="ListParagraph"/>
        <w:numPr>
          <w:ilvl w:val="0"/>
          <w:numId w:val="2"/>
        </w:numPr>
        <w:spacing w:after="100"/>
      </w:pPr>
      <w:hyperlink r:id="rId98" w:anchor="page=224" w:history="1">
        <w:r>
          <w:rPr>
            <w:rStyle w:val="Hyperlink"/>
          </w:rPr>
          <w:t>Economic study on the dynamic effects of mergers, Volume 1: Main report (DG Competition</w:t>
        </w:r>
      </w:hyperlink>
    </w:p>
    <w:p w14:paraId="6167C720" w14:textId="77777777" w:rsidR="00C85062" w:rsidRDefault="00000000">
      <w:pPr>
        <w:pStyle w:val="ListParagraph"/>
        <w:numPr>
          <w:ilvl w:val="0"/>
          <w:numId w:val="2"/>
        </w:numPr>
        <w:spacing w:after="100"/>
      </w:pPr>
      <w:hyperlink r:id="rId99" w:anchor="page=84" w:history="1">
        <w:r>
          <w:rPr>
            <w:rStyle w:val="Hyperlink"/>
          </w:rPr>
          <w:t>Economic study on the dynamic effects of mergers, Volume 1: Main report (DG Competition</w:t>
        </w:r>
      </w:hyperlink>
    </w:p>
    <w:p w14:paraId="654F0C1C" w14:textId="77777777" w:rsidR="00C85062" w:rsidRDefault="00000000">
      <w:pPr>
        <w:pStyle w:val="ListParagraph"/>
        <w:numPr>
          <w:ilvl w:val="0"/>
          <w:numId w:val="2"/>
        </w:numPr>
        <w:spacing w:after="100"/>
      </w:pPr>
      <w:hyperlink r:id="rId100" w:anchor="page=57" w:history="1">
        <w:r>
          <w:rPr>
            <w:rStyle w:val="Hyperlink"/>
          </w:rPr>
          <w:t>Economic study on the dynamic effects of mergers, Volume 1: Main report (DG Competition</w:t>
        </w:r>
      </w:hyperlink>
    </w:p>
    <w:p w14:paraId="2490872F" w14:textId="77777777" w:rsidR="00C85062" w:rsidRDefault="00000000">
      <w:pPr>
        <w:pStyle w:val="ListParagraph"/>
        <w:numPr>
          <w:ilvl w:val="0"/>
          <w:numId w:val="2"/>
        </w:numPr>
        <w:spacing w:after="100"/>
      </w:pPr>
      <w:hyperlink r:id="rId101" w:anchor="page=4" w:history="1">
        <w:r>
          <w:rPr>
            <w:rStyle w:val="Hyperlink"/>
          </w:rPr>
          <w:t>Draft Guidelines on the assessment of mergers under Council Regulation (EC) No 139/2004 (Commission services draft, not adopted), p. 4</w:t>
        </w:r>
      </w:hyperlink>
    </w:p>
    <w:p w14:paraId="579ED6F6" w14:textId="77777777" w:rsidR="00C85062" w:rsidRDefault="00000000">
      <w:pPr>
        <w:pStyle w:val="ListParagraph"/>
        <w:numPr>
          <w:ilvl w:val="0"/>
          <w:numId w:val="2"/>
        </w:numPr>
        <w:spacing w:after="100"/>
      </w:pPr>
      <w:hyperlink r:id="rId102" w:anchor="page=97" w:history="1">
        <w:r>
          <w:rPr>
            <w:rStyle w:val="Hyperlink"/>
          </w:rPr>
          <w:t>Draft Guidelines on the assessment of mergers under Council Regulation (EC) No 139/2004 (Commission services draft, not adopted), p. 97</w:t>
        </w:r>
      </w:hyperlink>
    </w:p>
    <w:p w14:paraId="03A980C0" w14:textId="77777777" w:rsidR="00C85062" w:rsidRDefault="00000000">
      <w:pPr>
        <w:pStyle w:val="ListParagraph"/>
        <w:numPr>
          <w:ilvl w:val="0"/>
          <w:numId w:val="2"/>
        </w:numPr>
        <w:spacing w:after="100"/>
      </w:pPr>
      <w:hyperlink r:id="rId103" w:anchor="page=7" w:history="1">
        <w:r>
          <w:rPr>
            <w:rStyle w:val="Hyperlink"/>
          </w:rPr>
          <w:t>Draft Guidelines on the assessment of mergers under Council Regulation (EC) No 139/2004 (Commission services draft, not adopted), p. 7</w:t>
        </w:r>
      </w:hyperlink>
    </w:p>
    <w:p w14:paraId="18BCF003" w14:textId="77777777" w:rsidR="00C85062" w:rsidRDefault="00000000">
      <w:pPr>
        <w:pStyle w:val="ListParagraph"/>
        <w:numPr>
          <w:ilvl w:val="0"/>
          <w:numId w:val="2"/>
        </w:numPr>
        <w:spacing w:after="100"/>
      </w:pPr>
      <w:hyperlink r:id="rId104" w:anchor="page=5" w:history="1">
        <w:r>
          <w:rPr>
            <w:rStyle w:val="Hyperlink"/>
          </w:rPr>
          <w:t>Draft Guidelines on the assessment of mergers under Council Regulation (EC) No 139/2004 (Commission services draft, not adopted), p. 5</w:t>
        </w:r>
      </w:hyperlink>
    </w:p>
    <w:p w14:paraId="235067A7" w14:textId="77777777" w:rsidR="00C85062" w:rsidRDefault="00000000">
      <w:pPr>
        <w:pStyle w:val="ListParagraph"/>
        <w:numPr>
          <w:ilvl w:val="0"/>
          <w:numId w:val="2"/>
        </w:numPr>
        <w:spacing w:after="100"/>
      </w:pPr>
      <w:hyperlink r:id="rId105" w:anchor="page=7" w:history="1">
        <w:r>
          <w:rPr>
            <w:rStyle w:val="Hyperlink"/>
          </w:rPr>
          <w:t>Commission Notice on the definition of the relevant market for the purposes of Union competition law (C/2024/1645), p. 7</w:t>
        </w:r>
      </w:hyperlink>
    </w:p>
    <w:p w14:paraId="5EA52CDC" w14:textId="77777777" w:rsidR="00C85062" w:rsidRDefault="00000000">
      <w:pPr>
        <w:pStyle w:val="ListParagraph"/>
        <w:numPr>
          <w:ilvl w:val="0"/>
          <w:numId w:val="2"/>
        </w:numPr>
        <w:spacing w:after="100"/>
      </w:pPr>
      <w:hyperlink r:id="rId106" w:anchor="page=30" w:history="1">
        <w:r>
          <w:rPr>
            <w:rStyle w:val="Hyperlink"/>
          </w:rPr>
          <w:t>Commission Notice on the definition of the relevant market for the purposes of Union competition law (C/2024/1645), p. 30</w:t>
        </w:r>
      </w:hyperlink>
    </w:p>
    <w:p w14:paraId="01B6E0CC" w14:textId="77777777" w:rsidR="00C85062" w:rsidRDefault="00000000">
      <w:pPr>
        <w:pStyle w:val="ListParagraph"/>
        <w:numPr>
          <w:ilvl w:val="0"/>
          <w:numId w:val="2"/>
        </w:numPr>
        <w:spacing w:after="100"/>
      </w:pPr>
      <w:hyperlink r:id="rId107" w:anchor="page=31" w:history="1">
        <w:r>
          <w:rPr>
            <w:rStyle w:val="Hyperlink"/>
          </w:rPr>
          <w:t>Commission Notice on the definition of the relevant market for the purposes of Union competition law (C/2024/1645), p. 31</w:t>
        </w:r>
      </w:hyperlink>
    </w:p>
    <w:p w14:paraId="5FDAA2A9" w14:textId="77777777" w:rsidR="00C85062" w:rsidRDefault="00000000">
      <w:pPr>
        <w:pStyle w:val="ListParagraph"/>
        <w:numPr>
          <w:ilvl w:val="0"/>
          <w:numId w:val="2"/>
        </w:numPr>
        <w:spacing w:after="100"/>
      </w:pPr>
      <w:hyperlink r:id="rId108" w:anchor="page=5" w:history="1">
        <w:r>
          <w:rPr>
            <w:rStyle w:val="Hyperlink"/>
          </w:rPr>
          <w:t>Commission Notice on the definition of the relevant market for the purposes of Union competition law (C/2024/1645), p. 5</w:t>
        </w:r>
      </w:hyperlink>
    </w:p>
    <w:p w14:paraId="619F2235" w14:textId="77777777" w:rsidR="00C85062" w:rsidRDefault="00000000">
      <w:pPr>
        <w:pStyle w:val="ListParagraph"/>
        <w:numPr>
          <w:ilvl w:val="0"/>
          <w:numId w:val="2"/>
        </w:numPr>
        <w:spacing w:after="100"/>
      </w:pPr>
      <w:hyperlink r:id="rId109" w:anchor="page=11" w:history="1">
        <w:r>
          <w:rPr>
            <w:rStyle w:val="Hyperlink"/>
          </w:rPr>
          <w:t>Commission Notice on the definition of the relevant market for the purposes of Union competition law (C/2024/1645), p. 11</w:t>
        </w:r>
      </w:hyperlink>
    </w:p>
    <w:p w14:paraId="30F042EA" w14:textId="77777777" w:rsidR="00C85062" w:rsidRDefault="00000000">
      <w:pPr>
        <w:pStyle w:val="ListParagraph"/>
        <w:numPr>
          <w:ilvl w:val="0"/>
          <w:numId w:val="2"/>
        </w:numPr>
        <w:spacing w:after="100"/>
      </w:pPr>
      <w:hyperlink r:id="rId110" w:anchor="page=19" w:history="1">
        <w:r>
          <w:rPr>
            <w:rStyle w:val="Hyperlink"/>
          </w:rPr>
          <w:t>Commission Notice on the definition of the relevant market for the purposes of Union competition law (C/2024/1645), p. 19</w:t>
        </w:r>
      </w:hyperlink>
    </w:p>
    <w:p w14:paraId="0C43E7EC" w14:textId="77777777" w:rsidR="00C85062" w:rsidRDefault="00000000">
      <w:pPr>
        <w:pStyle w:val="ListParagraph"/>
        <w:numPr>
          <w:ilvl w:val="0"/>
          <w:numId w:val="2"/>
        </w:numPr>
        <w:spacing w:after="100"/>
      </w:pPr>
      <w:hyperlink r:id="rId111" w:anchor="page=16" w:history="1">
        <w:r>
          <w:rPr>
            <w:rStyle w:val="Hyperlink"/>
          </w:rPr>
          <w:t>Draft Guidelines on the assessment of mergers under Council Regulation (EC) No 139/2004 (Commission services draft, not adopted), p. 16</w:t>
        </w:r>
      </w:hyperlink>
    </w:p>
    <w:p w14:paraId="24250534" w14:textId="77777777" w:rsidR="00C85062" w:rsidRDefault="00000000">
      <w:pPr>
        <w:pStyle w:val="ListParagraph"/>
        <w:numPr>
          <w:ilvl w:val="0"/>
          <w:numId w:val="2"/>
        </w:numPr>
        <w:spacing w:after="100"/>
      </w:pPr>
      <w:hyperlink r:id="rId112" w:history="1">
        <w:r>
          <w:rPr>
            <w:rStyle w:val="Hyperlink"/>
          </w:rPr>
          <w:t>M.7555 Staples/Off ice Depot</w:t>
        </w:r>
      </w:hyperlink>
    </w:p>
    <w:p w14:paraId="3B4565C5" w14:textId="77777777" w:rsidR="00C85062" w:rsidRDefault="00000000">
      <w:pPr>
        <w:pStyle w:val="ListParagraph"/>
        <w:numPr>
          <w:ilvl w:val="0"/>
          <w:numId w:val="2"/>
        </w:numPr>
        <w:spacing w:after="100"/>
      </w:pPr>
      <w:hyperlink r:id="rId113" w:anchor="page=21" w:history="1">
        <w:r>
          <w:rPr>
            <w:rStyle w:val="Hyperlink"/>
          </w:rPr>
          <w:t>Draft Guidelines on the assessment of mergers under Council Regulation (EC) No 139/2004 (Commission services draft, not adopted), p. 21</w:t>
        </w:r>
      </w:hyperlink>
    </w:p>
    <w:p w14:paraId="705E1426" w14:textId="77777777" w:rsidR="00C85062" w:rsidRDefault="00000000">
      <w:pPr>
        <w:pStyle w:val="ListParagraph"/>
        <w:numPr>
          <w:ilvl w:val="0"/>
          <w:numId w:val="2"/>
        </w:numPr>
        <w:spacing w:after="100"/>
      </w:pPr>
      <w:hyperlink r:id="rId114" w:anchor="page=10" w:history="1">
        <w:r>
          <w:rPr>
            <w:rStyle w:val="Hyperlink"/>
          </w:rPr>
          <w:t>Draft Guidelines on the assessment of mergers under Council Regulation (EC) No 139/2004 (Commission services draft, not adopted), p. 10</w:t>
        </w:r>
      </w:hyperlink>
    </w:p>
    <w:p w14:paraId="6437F0FC" w14:textId="77777777" w:rsidR="00C85062" w:rsidRDefault="00000000">
      <w:pPr>
        <w:pStyle w:val="ListParagraph"/>
        <w:numPr>
          <w:ilvl w:val="0"/>
          <w:numId w:val="2"/>
        </w:numPr>
        <w:spacing w:after="100"/>
      </w:pPr>
      <w:hyperlink r:id="rId115" w:anchor="page=22" w:history="1">
        <w:r>
          <w:rPr>
            <w:rStyle w:val="Hyperlink"/>
          </w:rPr>
          <w:t>Draft Guidelines on the assessment of mergers under Council Regulation (EC) No 139/2004 (Commission services draft, not adopted), p. 22</w:t>
        </w:r>
      </w:hyperlink>
    </w:p>
    <w:p w14:paraId="5124E510" w14:textId="77777777" w:rsidR="00C85062" w:rsidRDefault="00000000">
      <w:pPr>
        <w:pStyle w:val="ListParagraph"/>
        <w:numPr>
          <w:ilvl w:val="0"/>
          <w:numId w:val="2"/>
        </w:numPr>
        <w:spacing w:after="100"/>
      </w:pPr>
      <w:hyperlink r:id="rId116" w:anchor="page=53" w:history="1">
        <w:r>
          <w:rPr>
            <w:rStyle w:val="Hyperlink"/>
          </w:rPr>
          <w:t>Draft Guidelines on the assessment of mergers under Council Regulation (EC) No 139/2004 (Commission services draft, not adopted), p. 53</w:t>
        </w:r>
      </w:hyperlink>
    </w:p>
    <w:p w14:paraId="0F7477C6" w14:textId="77777777" w:rsidR="00C85062" w:rsidRDefault="00000000">
      <w:pPr>
        <w:pStyle w:val="ListParagraph"/>
        <w:numPr>
          <w:ilvl w:val="0"/>
          <w:numId w:val="2"/>
        </w:numPr>
        <w:spacing w:after="100"/>
      </w:pPr>
      <w:hyperlink r:id="rId117" w:history="1">
        <w:r>
          <w:rPr>
            <w:rStyle w:val="Hyperlink"/>
          </w:rPr>
          <w:t>Background: How it applies:</w:t>
        </w:r>
      </w:hyperlink>
    </w:p>
    <w:p w14:paraId="02239C0F" w14:textId="77777777" w:rsidR="00C85062" w:rsidRDefault="00000000">
      <w:pPr>
        <w:pStyle w:val="ListParagraph"/>
        <w:numPr>
          <w:ilvl w:val="0"/>
          <w:numId w:val="2"/>
        </w:numPr>
        <w:spacing w:after="100"/>
      </w:pPr>
      <w:hyperlink r:id="rId118" w:anchor="page=67" w:history="1">
        <w:r>
          <w:rPr>
            <w:rStyle w:val="Hyperlink"/>
          </w:rPr>
          <w:t>Draft Guidelines on the assessment of mergers under Council Regulation (EC) No 139/2004 (Commission services draft, not adopted), p. 67</w:t>
        </w:r>
      </w:hyperlink>
    </w:p>
    <w:p w14:paraId="2B26969C" w14:textId="77777777" w:rsidR="00C85062" w:rsidRDefault="00000000">
      <w:pPr>
        <w:pStyle w:val="ListParagraph"/>
        <w:numPr>
          <w:ilvl w:val="0"/>
          <w:numId w:val="2"/>
        </w:numPr>
        <w:spacing w:after="100"/>
      </w:pPr>
      <w:hyperlink r:id="rId119" w:anchor="page=70" w:history="1">
        <w:r>
          <w:rPr>
            <w:rStyle w:val="Hyperlink"/>
          </w:rPr>
          <w:t>Draft Guidelines on the assessment of mergers under Council Regulation (EC) No 139/2004 (Commission services draft, not adopted), p. 70</w:t>
        </w:r>
      </w:hyperlink>
    </w:p>
    <w:p w14:paraId="026CAA22" w14:textId="77777777" w:rsidR="00C85062" w:rsidRDefault="00000000">
      <w:pPr>
        <w:pStyle w:val="ListParagraph"/>
        <w:numPr>
          <w:ilvl w:val="0"/>
          <w:numId w:val="2"/>
        </w:numPr>
        <w:spacing w:after="100"/>
      </w:pPr>
      <w:hyperlink r:id="rId120" w:anchor="page=69" w:history="1">
        <w:r>
          <w:rPr>
            <w:rStyle w:val="Hyperlink"/>
          </w:rPr>
          <w:t>Draft Guidelines on the assessment of mergers under Council Regulation (EC) No 139/2004 (Commission services draft, not adopted), p. 69</w:t>
        </w:r>
      </w:hyperlink>
    </w:p>
    <w:p w14:paraId="1DC77B19" w14:textId="77777777" w:rsidR="00C85062" w:rsidRDefault="00000000">
      <w:pPr>
        <w:pStyle w:val="ListParagraph"/>
        <w:numPr>
          <w:ilvl w:val="0"/>
          <w:numId w:val="2"/>
        </w:numPr>
        <w:spacing w:after="100"/>
      </w:pPr>
      <w:hyperlink r:id="rId121" w:anchor="page=65" w:history="1">
        <w:r>
          <w:rPr>
            <w:rStyle w:val="Hyperlink"/>
          </w:rPr>
          <w:t>Draft Guidelines on the assessment of mergers under Council Regulation (EC) No 139/2004 (Commission services draft, not adopted), p. 65</w:t>
        </w:r>
      </w:hyperlink>
    </w:p>
    <w:p w14:paraId="08CA3006" w14:textId="77777777" w:rsidR="00C85062" w:rsidRDefault="00000000">
      <w:pPr>
        <w:pStyle w:val="ListParagraph"/>
        <w:numPr>
          <w:ilvl w:val="0"/>
          <w:numId w:val="2"/>
        </w:numPr>
        <w:spacing w:after="100"/>
      </w:pPr>
      <w:hyperlink r:id="rId122" w:anchor="page=12" w:history="1">
        <w:r>
          <w:rPr>
            <w:rStyle w:val="Hyperlink"/>
          </w:rPr>
          <w:t>Draft Guidelines on the assessment of mergers under Council Regulation (EC) No 139/2004 (Commission services draft, not adopted), p. 12</w:t>
        </w:r>
      </w:hyperlink>
    </w:p>
    <w:p w14:paraId="4FA11AAA" w14:textId="77777777" w:rsidR="00C85062" w:rsidRDefault="00000000">
      <w:pPr>
        <w:pStyle w:val="ListParagraph"/>
        <w:numPr>
          <w:ilvl w:val="0"/>
          <w:numId w:val="2"/>
        </w:numPr>
        <w:spacing w:after="100"/>
      </w:pPr>
      <w:hyperlink r:id="rId123" w:anchor="page=87" w:history="1">
        <w:r>
          <w:rPr>
            <w:rStyle w:val="Hyperlink"/>
          </w:rPr>
          <w:t>Draft Guidelines on the assessment of mergers under Council Regulation (EC) No 139/2004 (Commission services draft, not adopted), p. 87</w:t>
        </w:r>
      </w:hyperlink>
    </w:p>
    <w:p w14:paraId="7288C658" w14:textId="77777777" w:rsidR="00C85062" w:rsidRDefault="00000000">
      <w:pPr>
        <w:pStyle w:val="ListParagraph"/>
        <w:numPr>
          <w:ilvl w:val="0"/>
          <w:numId w:val="2"/>
        </w:numPr>
        <w:spacing w:after="100"/>
      </w:pPr>
      <w:hyperlink r:id="rId124" w:history="1">
        <w:r>
          <w:rPr>
            <w:rStyle w:val="Hyperlink"/>
          </w:rPr>
          <w:t>M.9564 LSEG/Refinitiv</w:t>
        </w:r>
      </w:hyperlink>
    </w:p>
    <w:p w14:paraId="042E0EF7" w14:textId="77777777" w:rsidR="00C85062" w:rsidRDefault="00000000">
      <w:pPr>
        <w:pStyle w:val="ListParagraph"/>
        <w:numPr>
          <w:ilvl w:val="0"/>
          <w:numId w:val="2"/>
        </w:numPr>
        <w:spacing w:after="100"/>
      </w:pPr>
      <w:hyperlink r:id="rId125" w:anchor="page=60" w:history="1">
        <w:r>
          <w:rPr>
            <w:rStyle w:val="Hyperlink"/>
          </w:rPr>
          <w:t>Draft Guidelines on the assessment of mergers under Council Regulation (EC) No 139/2004 (Commission services draft, not adopted), p. 60</w:t>
        </w:r>
      </w:hyperlink>
    </w:p>
    <w:p w14:paraId="7600C9E8" w14:textId="77777777" w:rsidR="00C85062" w:rsidRDefault="00000000">
      <w:pPr>
        <w:pStyle w:val="ListParagraph"/>
        <w:numPr>
          <w:ilvl w:val="0"/>
          <w:numId w:val="2"/>
        </w:numPr>
        <w:spacing w:after="100"/>
      </w:pPr>
      <w:hyperlink r:id="rId126" w:anchor="page=50" w:history="1">
        <w:r>
          <w:rPr>
            <w:rStyle w:val="Hyperlink"/>
          </w:rPr>
          <w:t>Economic study on the dynamic effects of mergers, Volume 1: Main report (DG Competition</w:t>
        </w:r>
      </w:hyperlink>
    </w:p>
    <w:p w14:paraId="174EC19E" w14:textId="77777777" w:rsidR="00C85062" w:rsidRDefault="00000000">
      <w:pPr>
        <w:pStyle w:val="ListParagraph"/>
        <w:numPr>
          <w:ilvl w:val="0"/>
          <w:numId w:val="2"/>
        </w:numPr>
        <w:spacing w:after="100"/>
      </w:pPr>
      <w:hyperlink r:id="rId127" w:anchor="page=56" w:history="1">
        <w:r>
          <w:rPr>
            <w:rStyle w:val="Hyperlink"/>
          </w:rPr>
          <w:t>Economic study on the dynamic effects of mergers, Volume 1: Main report (DG Competition</w:t>
        </w:r>
      </w:hyperlink>
    </w:p>
    <w:p w14:paraId="43669973" w14:textId="77777777" w:rsidR="00C85062" w:rsidRDefault="00000000">
      <w:pPr>
        <w:pStyle w:val="ListParagraph"/>
        <w:numPr>
          <w:ilvl w:val="0"/>
          <w:numId w:val="2"/>
        </w:numPr>
        <w:spacing w:after="100"/>
      </w:pPr>
      <w:hyperlink r:id="rId128" w:anchor="page=42" w:history="1">
        <w:r>
          <w:rPr>
            <w:rStyle w:val="Hyperlink"/>
          </w:rPr>
          <w:t>Economic study on the dynamic effects of mergers, Volume 1: Main report (DG Competition</w:t>
        </w:r>
      </w:hyperlink>
    </w:p>
    <w:p w14:paraId="52199C74" w14:textId="77777777" w:rsidR="00C85062" w:rsidRDefault="00000000">
      <w:pPr>
        <w:pStyle w:val="ListParagraph"/>
        <w:numPr>
          <w:ilvl w:val="0"/>
          <w:numId w:val="2"/>
        </w:numPr>
        <w:spacing w:after="100"/>
      </w:pPr>
      <w:hyperlink r:id="rId129" w:history="1">
        <w:r>
          <w:rPr>
            <w:rStyle w:val="Hyperlink"/>
          </w:rPr>
          <w:t>M.8401 J&amp;J/Actelion</w:t>
        </w:r>
      </w:hyperlink>
    </w:p>
    <w:p w14:paraId="3B93F983" w14:textId="77777777" w:rsidR="00C85062" w:rsidRDefault="00000000">
      <w:pPr>
        <w:pStyle w:val="ListParagraph"/>
        <w:numPr>
          <w:ilvl w:val="0"/>
          <w:numId w:val="2"/>
        </w:numPr>
        <w:spacing w:after="100"/>
      </w:pPr>
      <w:hyperlink r:id="rId130" w:anchor="page=50" w:history="1">
        <w:r>
          <w:rPr>
            <w:rStyle w:val="Hyperlink"/>
          </w:rPr>
          <w:t>Draft Guidelines on the assessment of mergers under Council Regulation (EC) No 139/2004 (Commission services draft, not adopted), p. 50</w:t>
        </w:r>
      </w:hyperlink>
    </w:p>
    <w:p w14:paraId="36D7FB98" w14:textId="77777777" w:rsidR="00C85062" w:rsidRDefault="00000000">
      <w:pPr>
        <w:pStyle w:val="ListParagraph"/>
        <w:numPr>
          <w:ilvl w:val="0"/>
          <w:numId w:val="2"/>
        </w:numPr>
        <w:spacing w:after="100"/>
      </w:pPr>
      <w:hyperlink r:id="rId131" w:history="1">
        <w:r>
          <w:rPr>
            <w:rStyle w:val="Hyperlink"/>
          </w:rPr>
          <w:t>M.7932 Dow/DuPont</w:t>
        </w:r>
      </w:hyperlink>
    </w:p>
    <w:p w14:paraId="16DBCA5E" w14:textId="77777777" w:rsidR="00C85062" w:rsidRDefault="00000000">
      <w:pPr>
        <w:pStyle w:val="ListParagraph"/>
        <w:numPr>
          <w:ilvl w:val="0"/>
          <w:numId w:val="2"/>
        </w:numPr>
        <w:spacing w:after="100"/>
      </w:pPr>
      <w:hyperlink r:id="rId132" w:anchor="page=14" w:history="1">
        <w:r>
          <w:rPr>
            <w:rStyle w:val="Hyperlink"/>
          </w:rPr>
          <w:t>Draft Guidelines on the assessment of mergers under Council Regulation (EC) No 139/2004 (Commission services draft, not adopted), p. 14</w:t>
        </w:r>
      </w:hyperlink>
    </w:p>
    <w:p w14:paraId="08EF2AF4" w14:textId="77777777" w:rsidR="00C85062" w:rsidRDefault="00000000">
      <w:pPr>
        <w:pStyle w:val="ListParagraph"/>
        <w:numPr>
          <w:ilvl w:val="0"/>
          <w:numId w:val="2"/>
        </w:numPr>
        <w:spacing w:after="100"/>
      </w:pPr>
      <w:hyperlink r:id="rId133" w:anchor="page=11" w:history="1">
        <w:r>
          <w:rPr>
            <w:rStyle w:val="Hyperlink"/>
          </w:rPr>
          <w:t>Draft Guidelines on the assessment of mergers under Council Regulation (EC) No 139/2004 (Commission services draft, not adopted), p. 11</w:t>
        </w:r>
      </w:hyperlink>
    </w:p>
    <w:p w14:paraId="5A4F8BF6" w14:textId="77777777" w:rsidR="00C85062" w:rsidRDefault="00000000">
      <w:pPr>
        <w:pStyle w:val="ListParagraph"/>
        <w:numPr>
          <w:ilvl w:val="0"/>
          <w:numId w:val="2"/>
        </w:numPr>
        <w:spacing w:after="100"/>
      </w:pPr>
      <w:hyperlink r:id="rId134" w:anchor="page=78" w:history="1">
        <w:r>
          <w:rPr>
            <w:rStyle w:val="Hyperlink"/>
          </w:rPr>
          <w:t>Draft Guidelines on the assessment of mergers under Council Regulation (EC) No 139/2004 (Commission services draft, not adopted), p. 78</w:t>
        </w:r>
      </w:hyperlink>
    </w:p>
    <w:p w14:paraId="38B9347C" w14:textId="77777777" w:rsidR="00C85062" w:rsidRDefault="00000000">
      <w:pPr>
        <w:pStyle w:val="ListParagraph"/>
        <w:numPr>
          <w:ilvl w:val="0"/>
          <w:numId w:val="2"/>
        </w:numPr>
        <w:spacing w:after="100"/>
      </w:pPr>
      <w:hyperlink r:id="rId135" w:anchor="page=193" w:history="1">
        <w:r>
          <w:rPr>
            <w:rStyle w:val="Hyperlink"/>
          </w:rPr>
          <w:t>Economic study on the dynamic effects of mergers, Volume 1: Main report (DG Competition</w:t>
        </w:r>
      </w:hyperlink>
    </w:p>
    <w:p w14:paraId="341F43E7" w14:textId="77777777" w:rsidR="00C85062" w:rsidRDefault="00000000">
      <w:pPr>
        <w:pStyle w:val="ListParagraph"/>
        <w:numPr>
          <w:ilvl w:val="0"/>
          <w:numId w:val="2"/>
        </w:numPr>
        <w:spacing w:after="100"/>
      </w:pPr>
      <w:hyperlink r:id="rId136" w:anchor="page=82" w:history="1">
        <w:r>
          <w:rPr>
            <w:rStyle w:val="Hyperlink"/>
          </w:rPr>
          <w:t>Draft Guidelines on the assessment of mergers under Council Regulation (EC) No 139/2004 (Commission services draft, not adopted), p. 82</w:t>
        </w:r>
      </w:hyperlink>
    </w:p>
    <w:p w14:paraId="2E7CBA01" w14:textId="77777777" w:rsidR="00C85062" w:rsidRDefault="00000000">
      <w:pPr>
        <w:pStyle w:val="ListParagraph"/>
        <w:numPr>
          <w:ilvl w:val="0"/>
          <w:numId w:val="2"/>
        </w:numPr>
        <w:spacing w:after="100"/>
      </w:pPr>
      <w:hyperlink r:id="rId137" w:history="1">
        <w:r>
          <w:rPr>
            <w:rStyle w:val="Hyperlink"/>
          </w:rPr>
          <w:t>M.10896 Orange/MásMóvil</w:t>
        </w:r>
      </w:hyperlink>
    </w:p>
    <w:p w14:paraId="01F87DFA" w14:textId="77777777" w:rsidR="00C85062" w:rsidRDefault="00000000">
      <w:pPr>
        <w:pStyle w:val="ListParagraph"/>
        <w:numPr>
          <w:ilvl w:val="0"/>
          <w:numId w:val="2"/>
        </w:numPr>
        <w:spacing w:after="100"/>
      </w:pPr>
      <w:hyperlink r:id="rId138" w:anchor="page=80" w:history="1">
        <w:r>
          <w:rPr>
            <w:rStyle w:val="Hyperlink"/>
          </w:rPr>
          <w:t>Draft Guidelines on the assessment of mergers under Council Regulation (EC) No 139/2004 (Commission services draft, not adopted), p. 80</w:t>
        </w:r>
      </w:hyperlink>
    </w:p>
    <w:p w14:paraId="3505897B" w14:textId="77777777" w:rsidR="00C85062" w:rsidRDefault="00000000">
      <w:pPr>
        <w:pStyle w:val="ListParagraph"/>
        <w:numPr>
          <w:ilvl w:val="0"/>
          <w:numId w:val="2"/>
        </w:numPr>
        <w:spacing w:after="100"/>
      </w:pPr>
      <w:hyperlink r:id="rId139" w:history="1">
        <w:r>
          <w:rPr>
            <w:rStyle w:val="Hyperlink"/>
          </w:rPr>
          <w:t>M.7612 H3G UK/Telefónica UK</w:t>
        </w:r>
      </w:hyperlink>
    </w:p>
    <w:p w14:paraId="30780D3A" w14:textId="77777777" w:rsidR="00C85062" w:rsidRDefault="00000000">
      <w:pPr>
        <w:pStyle w:val="ListParagraph"/>
        <w:numPr>
          <w:ilvl w:val="0"/>
          <w:numId w:val="2"/>
        </w:numPr>
        <w:spacing w:after="100"/>
      </w:pPr>
      <w:hyperlink r:id="rId140" w:history="1">
        <w:r>
          <w:rPr>
            <w:rStyle w:val="Hyperlink"/>
          </w:rPr>
          <w:t>Microsoft/Activision Blizzard</w:t>
        </w:r>
      </w:hyperlink>
    </w:p>
    <w:p w14:paraId="08A036E0" w14:textId="77777777" w:rsidR="00C85062" w:rsidRDefault="00000000">
      <w:pPr>
        <w:pStyle w:val="ListParagraph"/>
        <w:numPr>
          <w:ilvl w:val="0"/>
          <w:numId w:val="2"/>
        </w:numPr>
        <w:spacing w:after="100"/>
      </w:pPr>
      <w:hyperlink r:id="rId141" w:history="1">
        <w:r>
          <w:rPr>
            <w:rStyle w:val="Hyperlink"/>
          </w:rPr>
          <w:t>Google/Fitbit (page 61, 101, 151, 109, 223</w:t>
        </w:r>
      </w:hyperlink>
    </w:p>
    <w:p w14:paraId="0565E9D3" w14:textId="77777777" w:rsidR="00C85062" w:rsidRDefault="00000000">
      <w:pPr>
        <w:pStyle w:val="ListParagraph"/>
        <w:numPr>
          <w:ilvl w:val="0"/>
          <w:numId w:val="2"/>
        </w:numPr>
        <w:spacing w:after="100"/>
      </w:pPr>
      <w:hyperlink r:id="rId142" w:history="1">
        <w:r>
          <w:rPr>
            <w:rStyle w:val="Hyperlink"/>
          </w:rPr>
          <w:t>Apple/Shazam (page 21</w:t>
        </w:r>
      </w:hyperlink>
    </w:p>
    <w:p w14:paraId="31C7EAD7" w14:textId="77777777" w:rsidR="00C85062" w:rsidRDefault="00000000">
      <w:pPr>
        <w:pStyle w:val="ListParagraph"/>
        <w:numPr>
          <w:ilvl w:val="0"/>
          <w:numId w:val="2"/>
        </w:numPr>
        <w:spacing w:after="100"/>
      </w:pPr>
      <w:hyperlink r:id="rId143" w:anchor="page=52" w:history="1">
        <w:r>
          <w:rPr>
            <w:rStyle w:val="Hyperlink"/>
          </w:rPr>
          <w:t>Economic study on the dynamic effects of mergers, Volume 1: Main report (DG Competition</w:t>
        </w:r>
      </w:hyperlink>
    </w:p>
    <w:p w14:paraId="5D8913DE" w14:textId="77777777" w:rsidR="00C85062" w:rsidRDefault="00000000">
      <w:pPr>
        <w:pStyle w:val="ListParagraph"/>
        <w:numPr>
          <w:ilvl w:val="0"/>
          <w:numId w:val="2"/>
        </w:numPr>
        <w:spacing w:after="100"/>
      </w:pPr>
      <w:hyperlink r:id="rId144" w:anchor="page=90" w:history="1">
        <w:r>
          <w:rPr>
            <w:rStyle w:val="Hyperlink"/>
          </w:rPr>
          <w:t>Economic study on the dynamic effects of mergers, Volume 1: Main report (DG Competition</w:t>
        </w:r>
      </w:hyperlink>
    </w:p>
    <w:p w14:paraId="6ECC1CB6" w14:textId="77777777" w:rsidR="00C85062" w:rsidRDefault="00000000">
      <w:pPr>
        <w:pStyle w:val="ListParagraph"/>
        <w:numPr>
          <w:ilvl w:val="0"/>
          <w:numId w:val="2"/>
        </w:numPr>
        <w:spacing w:after="100"/>
      </w:pPr>
      <w:hyperlink r:id="rId145" w:anchor="page=91" w:history="1">
        <w:r>
          <w:rPr>
            <w:rStyle w:val="Hyperlink"/>
          </w:rPr>
          <w:t>Economic study on the dynamic effects of mergers, Volume 1: Main report (DG Competition</w:t>
        </w:r>
      </w:hyperlink>
    </w:p>
    <w:sectPr w:rsidR="00C85062">
      <w:headerReference w:type="default" r:id="rId146"/>
      <w:footerReference w:type="default" r:id="rId147"/>
      <w:pgSz w:w="12240" w:h="15840"/>
      <w:pgMar w:top="1350" w:right="1080" w:bottom="13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418A1" w14:textId="77777777" w:rsidR="00BD65FF" w:rsidRDefault="00BD65FF">
      <w:r>
        <w:separator/>
      </w:r>
    </w:p>
  </w:endnote>
  <w:endnote w:type="continuationSeparator" w:id="0">
    <w:p w14:paraId="4BA94214" w14:textId="77777777" w:rsidR="00BD65FF" w:rsidRDefault="00BD6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1FC1" w14:textId="77777777" w:rsidR="00C85062"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967B8">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D092A" w14:textId="77777777" w:rsidR="00BD65FF" w:rsidRDefault="00BD65FF">
      <w:r>
        <w:separator/>
      </w:r>
    </w:p>
  </w:footnote>
  <w:footnote w:type="continuationSeparator" w:id="0">
    <w:p w14:paraId="6CDCBCC4" w14:textId="77777777" w:rsidR="00BD65FF" w:rsidRDefault="00BD6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FA03" w14:textId="77777777" w:rsidR="00C85062" w:rsidRDefault="00000000">
    <w:pPr>
      <w:jc w:val="right"/>
    </w:pPr>
    <w:r>
      <w:rPr>
        <w:color w:val="808080"/>
        <w:sz w:val="18"/>
        <w:szCs w:val="18"/>
      </w:rPr>
      <w:t>Competition-Law Assistant Evaluation — Blinded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36EF9"/>
    <w:multiLevelType w:val="hybridMultilevel"/>
    <w:tmpl w:val="440016C4"/>
    <w:lvl w:ilvl="0" w:tplc="A0C89EE0">
      <w:start w:val="1"/>
      <w:numFmt w:val="bullet"/>
      <w:lvlText w:val="●"/>
      <w:lvlJc w:val="left"/>
      <w:pPr>
        <w:ind w:left="720" w:hanging="360"/>
      </w:pPr>
    </w:lvl>
    <w:lvl w:ilvl="1" w:tplc="948C51F4">
      <w:start w:val="1"/>
      <w:numFmt w:val="bullet"/>
      <w:lvlText w:val="○"/>
      <w:lvlJc w:val="left"/>
      <w:pPr>
        <w:ind w:left="1440" w:hanging="360"/>
      </w:pPr>
    </w:lvl>
    <w:lvl w:ilvl="2" w:tplc="87566DFE">
      <w:start w:val="1"/>
      <w:numFmt w:val="bullet"/>
      <w:lvlText w:val="■"/>
      <w:lvlJc w:val="left"/>
      <w:pPr>
        <w:ind w:left="2160" w:hanging="360"/>
      </w:pPr>
    </w:lvl>
    <w:lvl w:ilvl="3" w:tplc="39FC0450">
      <w:start w:val="1"/>
      <w:numFmt w:val="bullet"/>
      <w:lvlText w:val="●"/>
      <w:lvlJc w:val="left"/>
      <w:pPr>
        <w:ind w:left="2880" w:hanging="360"/>
      </w:pPr>
    </w:lvl>
    <w:lvl w:ilvl="4" w:tplc="DE2CC774">
      <w:start w:val="1"/>
      <w:numFmt w:val="bullet"/>
      <w:lvlText w:val="○"/>
      <w:lvlJc w:val="left"/>
      <w:pPr>
        <w:ind w:left="3600" w:hanging="360"/>
      </w:pPr>
    </w:lvl>
    <w:lvl w:ilvl="5" w:tplc="26B4510A">
      <w:start w:val="1"/>
      <w:numFmt w:val="bullet"/>
      <w:lvlText w:val="■"/>
      <w:lvlJc w:val="left"/>
      <w:pPr>
        <w:ind w:left="4320" w:hanging="360"/>
      </w:pPr>
    </w:lvl>
    <w:lvl w:ilvl="6" w:tplc="7082A9C6">
      <w:start w:val="1"/>
      <w:numFmt w:val="bullet"/>
      <w:lvlText w:val="●"/>
      <w:lvlJc w:val="left"/>
      <w:pPr>
        <w:ind w:left="5040" w:hanging="360"/>
      </w:pPr>
    </w:lvl>
    <w:lvl w:ilvl="7" w:tplc="7CB6CB64">
      <w:start w:val="1"/>
      <w:numFmt w:val="bullet"/>
      <w:lvlText w:val="●"/>
      <w:lvlJc w:val="left"/>
      <w:pPr>
        <w:ind w:left="5760" w:hanging="360"/>
      </w:pPr>
    </w:lvl>
    <w:lvl w:ilvl="8" w:tplc="676894F2">
      <w:start w:val="1"/>
      <w:numFmt w:val="bullet"/>
      <w:lvlText w:val="●"/>
      <w:lvlJc w:val="left"/>
      <w:pPr>
        <w:ind w:left="6480" w:hanging="360"/>
      </w:pPr>
    </w:lvl>
  </w:abstractNum>
  <w:abstractNum w:abstractNumId="1" w15:restartNumberingAfterBreak="0">
    <w:nsid w:val="6AA75C6D"/>
    <w:multiLevelType w:val="hybridMultilevel"/>
    <w:tmpl w:val="0FF6CAAE"/>
    <w:lvl w:ilvl="0" w:tplc="30987CA0">
      <w:start w:val="1"/>
      <w:numFmt w:val="decimal"/>
      <w:lvlText w:val="[%1]"/>
      <w:lvlJc w:val="left"/>
      <w:pPr>
        <w:ind w:left="450" w:hanging="300"/>
      </w:pPr>
    </w:lvl>
    <w:lvl w:ilvl="1" w:tplc="6F1E675E">
      <w:numFmt w:val="decimal"/>
      <w:lvlText w:val=""/>
      <w:lvlJc w:val="left"/>
    </w:lvl>
    <w:lvl w:ilvl="2" w:tplc="00D2D370">
      <w:numFmt w:val="decimal"/>
      <w:lvlText w:val=""/>
      <w:lvlJc w:val="left"/>
    </w:lvl>
    <w:lvl w:ilvl="3" w:tplc="15863316">
      <w:numFmt w:val="decimal"/>
      <w:lvlText w:val=""/>
      <w:lvlJc w:val="left"/>
    </w:lvl>
    <w:lvl w:ilvl="4" w:tplc="5630EFE4">
      <w:numFmt w:val="decimal"/>
      <w:lvlText w:val=""/>
      <w:lvlJc w:val="left"/>
    </w:lvl>
    <w:lvl w:ilvl="5" w:tplc="B5D673B6">
      <w:numFmt w:val="decimal"/>
      <w:lvlText w:val=""/>
      <w:lvlJc w:val="left"/>
    </w:lvl>
    <w:lvl w:ilvl="6" w:tplc="8EB8D3E4">
      <w:numFmt w:val="decimal"/>
      <w:lvlText w:val=""/>
      <w:lvlJc w:val="left"/>
    </w:lvl>
    <w:lvl w:ilvl="7" w:tplc="5B6C9F5A">
      <w:numFmt w:val="decimal"/>
      <w:lvlText w:val=""/>
      <w:lvlJc w:val="left"/>
    </w:lvl>
    <w:lvl w:ilvl="8" w:tplc="B3CC1354">
      <w:numFmt w:val="decimal"/>
      <w:lvlText w:val=""/>
      <w:lvlJc w:val="left"/>
    </w:lvl>
  </w:abstractNum>
  <w:num w:numId="1" w16cid:durableId="350761427">
    <w:abstractNumId w:val="0"/>
    <w:lvlOverride w:ilvl="0">
      <w:startOverride w:val="1"/>
    </w:lvlOverride>
  </w:num>
  <w:num w:numId="2" w16cid:durableId="18270929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062"/>
    <w:rsid w:val="008967B8"/>
    <w:rsid w:val="00B43875"/>
    <w:rsid w:val="00BD65FF"/>
    <w:rsid w:val="00C850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EBC71"/>
  <w15:docId w15:val="{5BF57A8C-DCAD-4BBA-82D6-B6B4687B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curia.europa.eu/juris/liste.jsf?num=C-376/20&amp;language=en" TargetMode="External"/><Relationship Id="rId21" Type="http://schemas.openxmlformats.org/officeDocument/2006/relationships/hyperlink" Target="https://eur-lex.europa.eu/legal-content/EN/TXT/PDF/?uri=OJ:C_202401645" TargetMode="External"/><Relationship Id="rId42" Type="http://schemas.openxmlformats.org/officeDocument/2006/relationships/hyperlink" Target="https://competition-policy.ec.europa.eu/document/download/46dde10f-85c1-4590-a3f4-2b71f85685ef_en?filename=Merger+Guidelines+-+final+for+public+consultation.pdf" TargetMode="External"/><Relationship Id="rId63" Type="http://schemas.openxmlformats.org/officeDocument/2006/relationships/hyperlink" Target="https://competition-policy.ec.europa.eu/document/download/dfddb9ab-7248-49bb-9cec-9dcb7f50505b_en?filename=kd0126014enn_dynamic_effects_of_mergers_study_vol1.pdf" TargetMode="External"/><Relationship Id="rId84" Type="http://schemas.openxmlformats.org/officeDocument/2006/relationships/hyperlink" Target="https://ec.europa.eu/competition/mergers/cases/decisions/m8788_1279_3.pdf" TargetMode="External"/><Relationship Id="rId138" Type="http://schemas.openxmlformats.org/officeDocument/2006/relationships/hyperlink" Target="https://competition-policy.ec.europa.eu/document/download/46dde10f-85c1-4590-a3f4-2b71f85685ef_en?filename=Merger+Guidelines+-+final+for+public+consultation.pdf" TargetMode="External"/><Relationship Id="rId107" Type="http://schemas.openxmlformats.org/officeDocument/2006/relationships/hyperlink" Target="https://eur-lex.europa.eu/legal-content/EN/TXT/PDF/?uri=OJ:C_202401645" TargetMode="External"/><Relationship Id="rId11" Type="http://schemas.openxmlformats.org/officeDocument/2006/relationships/hyperlink" Target="https://competition-policy.ec.europa.eu/document/download/dfddb9ab-7248-49bb-9cec-9dcb7f50505b_en?filename=kd0126014enn_dynamic_effects_of_mergers_study_vol1.pdf" TargetMode="External"/><Relationship Id="rId32" Type="http://schemas.openxmlformats.org/officeDocument/2006/relationships/hyperlink" Target="https://eur-lex.europa.eu/legal-content/EN/TXT/PDF/?uri=OJ:C_202401645" TargetMode="External"/><Relationship Id="rId53" Type="http://schemas.openxmlformats.org/officeDocument/2006/relationships/hyperlink" Target="https://competition-policy.ec.europa.eu/document/download/46dde10f-85c1-4590-a3f4-2b71f85685ef_en?filename=Merger+Guidelines+-+final+for+public+consultation.pdf" TargetMode="External"/><Relationship Id="rId74" Type="http://schemas.openxmlformats.org/officeDocument/2006/relationships/hyperlink" Target="https://competition-policy.ec.europa.eu/document/download/46dde10f-85c1-4590-a3f4-2b71f85685ef_en?filename=Merger+Guidelines+-+final+for+public+consultation.pdf" TargetMode="External"/><Relationship Id="rId128" Type="http://schemas.openxmlformats.org/officeDocument/2006/relationships/hyperlink" Target="https://competition-policy.ec.europa.eu/document/download/dfddb9ab-7248-49bb-9cec-9dcb7f50505b_en?filename=kd0126014enn_dynamic_effects_of_mergers_study_vol1.pdf" TargetMode="External"/><Relationship Id="rId149" Type="http://schemas.openxmlformats.org/officeDocument/2006/relationships/theme" Target="theme/theme1.xml"/><Relationship Id="rId5" Type="http://schemas.openxmlformats.org/officeDocument/2006/relationships/footnotes" Target="footnotes.xml"/><Relationship Id="rId95" Type="http://schemas.openxmlformats.org/officeDocument/2006/relationships/hyperlink" Target="https://competition-policy.ec.europa.eu/document/download/dfddb9ab-7248-49bb-9cec-9dcb7f50505b_en?filename=kd0126014enn_dynamic_effects_of_mergers_study_vol1.pdf" TargetMode="External"/><Relationship Id="rId22" Type="http://schemas.openxmlformats.org/officeDocument/2006/relationships/hyperlink" Target="https://eur-lex.europa.eu/legal-content/EN/TXT/PDF/?uri=OJ:C_202401645" TargetMode="External"/><Relationship Id="rId27" Type="http://schemas.openxmlformats.org/officeDocument/2006/relationships/hyperlink" Target="https://competition-policy.ec.europa.eu/document/download/46dde10f-85c1-4590-a3f4-2b71f85685ef_en?filename=Merger+Guidelines+-+final+for+public+consultation.pdf" TargetMode="External"/><Relationship Id="rId43" Type="http://schemas.openxmlformats.org/officeDocument/2006/relationships/hyperlink" Target="https://competition-policy.ec.europa.eu/document/download/46dde10f-85c1-4590-a3f4-2b71f85685ef_en?filename=Merger+Guidelines+-+final+for+public+consultation.pdf" TargetMode="External"/><Relationship Id="rId48" Type="http://schemas.openxmlformats.org/officeDocument/2006/relationships/hyperlink" Target="https://competition-policy.ec.europa.eu/document/download/46dde10f-85c1-4590-a3f4-2b71f85685ef_en?filename=Merger+Guidelines+-+final+for+public+consultation.pdf" TargetMode="External"/><Relationship Id="rId64" Type="http://schemas.openxmlformats.org/officeDocument/2006/relationships/hyperlink" Target="https://competition-policy.ec.europa.eu/document/download/dfddb9ab-7248-49bb-9cec-9dcb7f50505b_en?filename=kd0126014enn_dynamic_effects_of_mergers_study_vol1.pdf" TargetMode="External"/><Relationship Id="rId69" Type="http://schemas.openxmlformats.org/officeDocument/2006/relationships/hyperlink" Target="https://competition-policy.ec.europa.eu/document/download/46dde10f-85c1-4590-a3f4-2b71f85685ef_en?filename=Merger+Guidelines+-+final+for+public+consultation.pdf" TargetMode="External"/><Relationship Id="rId113" Type="http://schemas.openxmlformats.org/officeDocument/2006/relationships/hyperlink" Target="https://competition-policy.ec.europa.eu/document/download/46dde10f-85c1-4590-a3f4-2b71f85685ef_en?filename=Merger+Guidelines+-+final+for+public+consultation.pdf" TargetMode="External"/><Relationship Id="rId118" Type="http://schemas.openxmlformats.org/officeDocument/2006/relationships/hyperlink" Target="https://competition-policy.ec.europa.eu/document/download/46dde10f-85c1-4590-a3f4-2b71f85685ef_en?filename=Merger+Guidelines+-+final+for+public+consultation.pdf" TargetMode="External"/><Relationship Id="rId134" Type="http://schemas.openxmlformats.org/officeDocument/2006/relationships/hyperlink" Target="https://competition-policy.ec.europa.eu/document/download/46dde10f-85c1-4590-a3f4-2b71f85685ef_en?filename=Merger+Guidelines+-+final+for+public+consultation.pdf" TargetMode="External"/><Relationship Id="rId139" Type="http://schemas.openxmlformats.org/officeDocument/2006/relationships/hyperlink" Target="https://ec.europa.eu/competition/mergers/cases/decisions/m7612_6555_3.pdf" TargetMode="External"/><Relationship Id="rId80" Type="http://schemas.openxmlformats.org/officeDocument/2006/relationships/hyperlink" Target="https://ec.europa.eu/competition/mergers/cases/decisions/m7612_6555_3.pdf" TargetMode="External"/><Relationship Id="rId85" Type="http://schemas.openxmlformats.org/officeDocument/2006/relationships/hyperlink" Target="https://competition-policy.ec.europa.eu/document/download/dfddb9ab-7248-49bb-9cec-9dcb7f50505b_en?filename=kd0126014enn_dynamic_effects_of_mergers_study_vol1.pdf" TargetMode="External"/><Relationship Id="rId12" Type="http://schemas.openxmlformats.org/officeDocument/2006/relationships/hyperlink" Target="https://competition-policy.ec.europa.eu/document/download/dfddb9ab-7248-49bb-9cec-9dcb7f50505b_en?filename=kd0126014enn_dynamic_effects_of_mergers_study_vol1.pdf" TargetMode="External"/><Relationship Id="rId17" Type="http://schemas.openxmlformats.org/officeDocument/2006/relationships/hyperlink" Target="https://competition-policy.ec.europa.eu/document/download/46dde10f-85c1-4590-a3f4-2b71f85685ef_en?filename=Merger+Guidelines+-+final+for+public+consultation.pdf" TargetMode="External"/><Relationship Id="rId33" Type="http://schemas.openxmlformats.org/officeDocument/2006/relationships/hyperlink" Target="https://competition-policy.ec.europa.eu/document/download/46dde10f-85c1-4590-a3f4-2b71f85685ef_en?filename=Merger+Guidelines+-+final+for+public+consultation.pdf" TargetMode="External"/><Relationship Id="rId38" Type="http://schemas.openxmlformats.org/officeDocument/2006/relationships/hyperlink" Target="https://competition-policy.ec.europa.eu/document/download/46dde10f-85c1-4590-a3f4-2b71f85685ef_en?filename=Merger+Guidelines+-+final+for+public+consultation.pdf" TargetMode="External"/><Relationship Id="rId59" Type="http://schemas.openxmlformats.org/officeDocument/2006/relationships/hyperlink" Target="https://competition-policy.ec.europa.eu/document/download/dfddb9ab-7248-49bb-9cec-9dcb7f50505b_en?filename=kd0126014enn_dynamic_effects_of_mergers_study_vol1.pdf" TargetMode="External"/><Relationship Id="rId103" Type="http://schemas.openxmlformats.org/officeDocument/2006/relationships/hyperlink" Target="https://competition-policy.ec.europa.eu/document/download/46dde10f-85c1-4590-a3f4-2b71f85685ef_en?filename=Merger+Guidelines+-+final+for+public+consultation.pdf" TargetMode="External"/><Relationship Id="rId108" Type="http://schemas.openxmlformats.org/officeDocument/2006/relationships/hyperlink" Target="https://eur-lex.europa.eu/legal-content/EN/TXT/PDF/?uri=OJ:C_202401645" TargetMode="External"/><Relationship Id="rId124" Type="http://schemas.openxmlformats.org/officeDocument/2006/relationships/hyperlink" Target="https://ec.europa.eu/competition/mergers/cases1/202143/M_9564_7982342_9230_3.pdf" TargetMode="External"/><Relationship Id="rId129" Type="http://schemas.openxmlformats.org/officeDocument/2006/relationships/hyperlink" Target="https://ec.europa.eu/competition/mergers/cases/decisions/m8401_740_3.pdf" TargetMode="External"/><Relationship Id="rId54" Type="http://schemas.openxmlformats.org/officeDocument/2006/relationships/hyperlink" Target="https://competition-policy.ec.europa.eu/document/download/46dde10f-85c1-4590-a3f4-2b71f85685ef_en?filename=Merger+Guidelines+-+final+for+public+consultation.pdf" TargetMode="External"/><Relationship Id="rId70" Type="http://schemas.openxmlformats.org/officeDocument/2006/relationships/hyperlink" Target="https://competition-policy.ec.europa.eu/document/download/46dde10f-85c1-4590-a3f4-2b71f85685ef_en?filename=Merger+Guidelines+-+final+for+public+consultation.pdf" TargetMode="External"/><Relationship Id="rId75" Type="http://schemas.openxmlformats.org/officeDocument/2006/relationships/hyperlink" Target="https://competition-policy.ec.europa.eu/document/download/dfddb9ab-7248-49bb-9cec-9dcb7f50505b_en?filename=kd0126014enn_dynamic_effects_of_mergers_study_vol1.pdf" TargetMode="External"/><Relationship Id="rId91" Type="http://schemas.openxmlformats.org/officeDocument/2006/relationships/hyperlink" Target="https://competition-policy.ec.europa.eu/document/download/dfddb9ab-7248-49bb-9cec-9dcb7f50505b_en?filename=kd0126014enn_dynamic_effects_of_mergers_study_vol1.pdf" TargetMode="External"/><Relationship Id="rId96" Type="http://schemas.openxmlformats.org/officeDocument/2006/relationships/hyperlink" Target="https://competition-policy.ec.europa.eu/document/download/46dde10f-85c1-4590-a3f4-2b71f85685ef_en?filename=Merger+Guidelines+-+final+for+public+consultation.pdf" TargetMode="External"/><Relationship Id="rId140" Type="http://schemas.openxmlformats.org/officeDocument/2006/relationships/hyperlink" Target="https://ec.europa.eu/competition/mergers/cases1/202330/M_10646_9311516_7443_3.pdf" TargetMode="External"/><Relationship Id="rId145" Type="http://schemas.openxmlformats.org/officeDocument/2006/relationships/hyperlink" Target="https://competition-policy.ec.europa.eu/document/download/dfddb9ab-7248-49bb-9cec-9dcb7f50505b_en?filename=kd0126014enn_dynamic_effects_of_mergers_study_vol1.pdf"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eur-lex.europa.eu/legal-content/EN/TXT/PDF/?uri=OJ:C_202401645" TargetMode="External"/><Relationship Id="rId28" Type="http://schemas.openxmlformats.org/officeDocument/2006/relationships/hyperlink" Target="https://competition-policy.ec.europa.eu/document/download/dfddb9ab-7248-49bb-9cec-9dcb7f50505b_en?filename=kd0126014enn_dynamic_effects_of_mergers_study_vol1.pdf" TargetMode="External"/><Relationship Id="rId49" Type="http://schemas.openxmlformats.org/officeDocument/2006/relationships/hyperlink" Target="https://curia.europa.eu/juris/liste.jsf?num=C-376/20&amp;language=en" TargetMode="External"/><Relationship Id="rId114" Type="http://schemas.openxmlformats.org/officeDocument/2006/relationships/hyperlink" Target="https://competition-policy.ec.europa.eu/document/download/46dde10f-85c1-4590-a3f4-2b71f85685ef_en?filename=Merger+Guidelines+-+final+for+public+consultation.pdf" TargetMode="External"/><Relationship Id="rId119" Type="http://schemas.openxmlformats.org/officeDocument/2006/relationships/hyperlink" Target="https://competition-policy.ec.europa.eu/document/download/46dde10f-85c1-4590-a3f4-2b71f85685ef_en?filename=Merger+Guidelines+-+final+for+public+consultation.pdf" TargetMode="External"/><Relationship Id="rId44" Type="http://schemas.openxmlformats.org/officeDocument/2006/relationships/hyperlink" Target="https://competition-policy.ec.europa.eu/document/download/46dde10f-85c1-4590-a3f4-2b71f85685ef_en?filename=Merger+Guidelines+-+final+for+public+consultation.pdf" TargetMode="External"/><Relationship Id="rId60" Type="http://schemas.openxmlformats.org/officeDocument/2006/relationships/hyperlink" Target="https://competition-policy.ec.europa.eu/document/download/dfddb9ab-7248-49bb-9cec-9dcb7f50505b_en?filename=kd0126014enn_dynamic_effects_of_mergers_study_vol1.pdf" TargetMode="External"/><Relationship Id="rId65" Type="http://schemas.openxmlformats.org/officeDocument/2006/relationships/hyperlink" Target="https://competition-policy.ec.europa.eu/document/download/dfddb9ab-7248-49bb-9cec-9dcb7f50505b_en?filename=kd0126014enn_dynamic_effects_of_mergers_study_vol1.pdf" TargetMode="External"/><Relationship Id="rId81" Type="http://schemas.openxmlformats.org/officeDocument/2006/relationships/hyperlink" Target="https://competition-policy.ec.europa.eu/document/download/46dde10f-85c1-4590-a3f4-2b71f85685ef_en?filename=Merger+Guidelines+-+final+for+public+consultation.pdf" TargetMode="External"/><Relationship Id="rId86" Type="http://schemas.openxmlformats.org/officeDocument/2006/relationships/hyperlink" Target="https://competition-policy.ec.europa.eu/document/download/dfddb9ab-7248-49bb-9cec-9dcb7f50505b_en?filename=kd0126014enn_dynamic_effects_of_mergers_study_vol1.pdf" TargetMode="External"/><Relationship Id="rId130" Type="http://schemas.openxmlformats.org/officeDocument/2006/relationships/hyperlink" Target="https://competition-policy.ec.europa.eu/document/download/46dde10f-85c1-4590-a3f4-2b71f85685ef_en?filename=Merger+Guidelines+-+final+for+public+consultation.pdf" TargetMode="External"/><Relationship Id="rId135" Type="http://schemas.openxmlformats.org/officeDocument/2006/relationships/hyperlink" Target="https://competition-policy.ec.europa.eu/document/download/dfddb9ab-7248-49bb-9cec-9dcb7f50505b_en?filename=kd0126014enn_dynamic_effects_of_mergers_study_vol1.pdf" TargetMode="External"/><Relationship Id="rId13" Type="http://schemas.openxmlformats.org/officeDocument/2006/relationships/hyperlink" Target="https://competition-policy.ec.europa.eu/document/download/46dde10f-85c1-4590-a3f4-2b71f85685ef_en?filename=Merger+Guidelines+-+final+for+public+consultation.pdf" TargetMode="External"/><Relationship Id="rId18" Type="http://schemas.openxmlformats.org/officeDocument/2006/relationships/hyperlink" Target="https://competition-policy.ec.europa.eu/document/download/46dde10f-85c1-4590-a3f4-2b71f85685ef_en?filename=Merger+Guidelines+-+final+for+public+consultation.pdf" TargetMode="External"/><Relationship Id="rId39" Type="http://schemas.openxmlformats.org/officeDocument/2006/relationships/hyperlink" Target="https://competition-policy.ec.europa.eu/document/download/46dde10f-85c1-4590-a3f4-2b71f85685ef_en?filename=Merger+Guidelines+-+final+for+public+consultation.pdf" TargetMode="External"/><Relationship Id="rId109" Type="http://schemas.openxmlformats.org/officeDocument/2006/relationships/hyperlink" Target="https://eur-lex.europa.eu/legal-content/EN/TXT/PDF/?uri=OJ:C_202401645" TargetMode="External"/><Relationship Id="rId34" Type="http://schemas.openxmlformats.org/officeDocument/2006/relationships/hyperlink" Target="https://competition-policy.ec.europa.eu/document/download/46dde10f-85c1-4590-a3f4-2b71f85685ef_en?filename=Merger+Guidelines+-+final+for+public+consultation.pdf" TargetMode="External"/><Relationship Id="rId50" Type="http://schemas.openxmlformats.org/officeDocument/2006/relationships/hyperlink" Target="https://competition-policy.ec.europa.eu/document/download/46dde10f-85c1-4590-a3f4-2b71f85685ef_en?filename=Merger+Guidelines+-+final+for+public+consultation.pdf" TargetMode="External"/><Relationship Id="rId55" Type="http://schemas.openxmlformats.org/officeDocument/2006/relationships/hyperlink" Target="https://competition-policy.ec.europa.eu/document/download/46dde10f-85c1-4590-a3f4-2b71f85685ef_en?filename=Merger+Guidelines+-+final+for+public+consultation.pdf" TargetMode="External"/><Relationship Id="rId76" Type="http://schemas.openxmlformats.org/officeDocument/2006/relationships/hyperlink" Target="https://competition-policy.ec.europa.eu/document/download/46dde10f-85c1-4590-a3f4-2b71f85685ef_en?filename=Merger+Guidelines+-+final+for+public+consultation.pdf" TargetMode="External"/><Relationship Id="rId97" Type="http://schemas.openxmlformats.org/officeDocument/2006/relationships/hyperlink" Target="https://competition-policy.ec.europa.eu/document/download/46dde10f-85c1-4590-a3f4-2b71f85685ef_en?filename=Merger+Guidelines+-+final+for+public+consultation.pdf" TargetMode="External"/><Relationship Id="rId104" Type="http://schemas.openxmlformats.org/officeDocument/2006/relationships/hyperlink" Target="https://competition-policy.ec.europa.eu/document/download/46dde10f-85c1-4590-a3f4-2b71f85685ef_en?filename=Merger+Guidelines+-+final+for+public+consultation.pdf" TargetMode="External"/><Relationship Id="rId120" Type="http://schemas.openxmlformats.org/officeDocument/2006/relationships/hyperlink" Target="https://competition-policy.ec.europa.eu/document/download/46dde10f-85c1-4590-a3f4-2b71f85685ef_en?filename=Merger+Guidelines+-+final+for+public+consultation.pdf" TargetMode="External"/><Relationship Id="rId125" Type="http://schemas.openxmlformats.org/officeDocument/2006/relationships/hyperlink" Target="https://competition-policy.ec.europa.eu/document/download/46dde10f-85c1-4590-a3f4-2b71f85685ef_en?filename=Merger+Guidelines+-+final+for+public+consultation.pdf" TargetMode="External"/><Relationship Id="rId141" Type="http://schemas.openxmlformats.org/officeDocument/2006/relationships/hyperlink" Target="https://ec.europa.eu/competition/mergers/cases1/202120/m9660_3314_3.pdf" TargetMode="External"/><Relationship Id="rId146" Type="http://schemas.openxmlformats.org/officeDocument/2006/relationships/header" Target="header1.xml"/><Relationship Id="rId7" Type="http://schemas.openxmlformats.org/officeDocument/2006/relationships/hyperlink" Target="https://competition-policy.ec.europa.eu/document/download/dfddb9ab-7248-49bb-9cec-9dcb7f50505b_en?filename=kd0126014enn_dynamic_effects_of_mergers_study_vol1.pdf" TargetMode="External"/><Relationship Id="rId71" Type="http://schemas.openxmlformats.org/officeDocument/2006/relationships/hyperlink" Target="https://competition-policy.ec.europa.eu/document/download/46dde10f-85c1-4590-a3f4-2b71f85685ef_en?filename=Merger+Guidelines+-+final+for+public+consultation.pdf" TargetMode="External"/><Relationship Id="rId92" Type="http://schemas.openxmlformats.org/officeDocument/2006/relationships/hyperlink" Target="https://competition-policy.ec.europa.eu/document/download/dfddb9ab-7248-49bb-9cec-9dcb7f50505b_en?filename=kd0126014enn_dynamic_effects_of_mergers_study_vol1.pdf" TargetMode="External"/><Relationship Id="rId2" Type="http://schemas.openxmlformats.org/officeDocument/2006/relationships/styles" Target="styles.xml"/><Relationship Id="rId29" Type="http://schemas.openxmlformats.org/officeDocument/2006/relationships/hyperlink" Target="https://competition-policy.ec.europa.eu/document/download/46dde10f-85c1-4590-a3f4-2b71f85685ef_en?filename=Merger+Guidelines+-+final+for+public+consultation.pdf" TargetMode="External"/><Relationship Id="rId24" Type="http://schemas.openxmlformats.org/officeDocument/2006/relationships/hyperlink" Target="https://eur-lex.europa.eu/legal-content/EN/TXT/PDF/?uri=OJ:C_202401645" TargetMode="External"/><Relationship Id="rId40" Type="http://schemas.openxmlformats.org/officeDocument/2006/relationships/hyperlink" Target="https://curia.europa.eu/juris/liste.jsf?num=C-376/20&amp;language=en" TargetMode="External"/><Relationship Id="rId45" Type="http://schemas.openxmlformats.org/officeDocument/2006/relationships/hyperlink" Target="https://competition-policy.ec.europa.eu/document/download/46dde10f-85c1-4590-a3f4-2b71f85685ef_en?filename=Merger+Guidelines+-+final+for+public+consultation.pdf" TargetMode="External"/><Relationship Id="rId66" Type="http://schemas.openxmlformats.org/officeDocument/2006/relationships/hyperlink" Target="https://ec.europa.eu/competition/mergers/cases/decisions/m8401_740_3.pdf" TargetMode="External"/><Relationship Id="rId87" Type="http://schemas.openxmlformats.org/officeDocument/2006/relationships/hyperlink" Target="https://competition-policy.ec.europa.eu/document/download/dfddb9ab-7248-49bb-9cec-9dcb7f50505b_en?filename=kd0126014enn_dynamic_effects_of_mergers_study_vol1.pdf" TargetMode="External"/><Relationship Id="rId110" Type="http://schemas.openxmlformats.org/officeDocument/2006/relationships/hyperlink" Target="https://eur-lex.europa.eu/legal-content/EN/TXT/PDF/?uri=OJ:C_202401645" TargetMode="External"/><Relationship Id="rId115" Type="http://schemas.openxmlformats.org/officeDocument/2006/relationships/hyperlink" Target="https://competition-policy.ec.europa.eu/document/download/46dde10f-85c1-4590-a3f4-2b71f85685ef_en?filename=Merger+Guidelines+-+final+for+public+consultation.pdf" TargetMode="External"/><Relationship Id="rId131" Type="http://schemas.openxmlformats.org/officeDocument/2006/relationships/hyperlink" Target="https://ec.europa.eu/competition/mergers/cases1/202431/M_7932_10183342_13668_7.pdf" TargetMode="External"/><Relationship Id="rId136" Type="http://schemas.openxmlformats.org/officeDocument/2006/relationships/hyperlink" Target="https://competition-policy.ec.europa.eu/document/download/46dde10f-85c1-4590-a3f4-2b71f85685ef_en?filename=Merger+Guidelines+-+final+for+public+consultation.pdf" TargetMode="External"/><Relationship Id="rId61" Type="http://schemas.openxmlformats.org/officeDocument/2006/relationships/hyperlink" Target="https://competition-policy.ec.europa.eu/document/download/dfddb9ab-7248-49bb-9cec-9dcb7f50505b_en?filename=kd0126014enn_dynamic_effects_of_mergers_study_vol1.pdf" TargetMode="External"/><Relationship Id="rId82" Type="http://schemas.openxmlformats.org/officeDocument/2006/relationships/hyperlink" Target="https://ec.europa.eu/competition/mergers/cases1/202330/M_10646_9311516_7443_3.pdf" TargetMode="External"/><Relationship Id="rId19" Type="http://schemas.openxmlformats.org/officeDocument/2006/relationships/hyperlink" Target="https://eur-lex.europa.eu/legal-content/EN/TXT/PDF/?uri=OJ:C_202401645" TargetMode="External"/><Relationship Id="rId14" Type="http://schemas.openxmlformats.org/officeDocument/2006/relationships/hyperlink" Target="https://competition-policy.ec.europa.eu/document/download/46dde10f-85c1-4590-a3f4-2b71f85685ef_en?filename=Merger+Guidelines+-+final+for+public+consultation.pdf" TargetMode="External"/><Relationship Id="rId30" Type="http://schemas.openxmlformats.org/officeDocument/2006/relationships/hyperlink" Target="https://ec.europa.eu/competition/mergers/cases/decisions/m7555_5720_3.pdf" TargetMode="External"/><Relationship Id="rId35" Type="http://schemas.openxmlformats.org/officeDocument/2006/relationships/hyperlink" Target="https://competition-policy.ec.europa.eu/document/download/46dde10f-85c1-4590-a3f4-2b71f85685ef_en?filename=Merger+Guidelines+-+final+for+public+consultation.pdf" TargetMode="External"/><Relationship Id="rId56" Type="http://schemas.openxmlformats.org/officeDocument/2006/relationships/hyperlink" Target="https://competition-policy.ec.europa.eu/document/download/46dde10f-85c1-4590-a3f4-2b71f85685ef_en?filename=Merger+Guidelines+-+final+for+public+consultation.pdf" TargetMode="External"/><Relationship Id="rId77" Type="http://schemas.openxmlformats.org/officeDocument/2006/relationships/hyperlink" Target="https://competition-policy.ec.europa.eu/document/download/46dde10f-85c1-4590-a3f4-2b71f85685ef_en?filename=Merger+Guidelines+-+final+for+public+consultation.pdf" TargetMode="External"/><Relationship Id="rId100" Type="http://schemas.openxmlformats.org/officeDocument/2006/relationships/hyperlink" Target="https://competition-policy.ec.europa.eu/document/download/dfddb9ab-7248-49bb-9cec-9dcb7f50505b_en?filename=kd0126014enn_dynamic_effects_of_mergers_study_vol1.pdf" TargetMode="External"/><Relationship Id="rId105" Type="http://schemas.openxmlformats.org/officeDocument/2006/relationships/hyperlink" Target="https://eur-lex.europa.eu/legal-content/EN/TXT/PDF/?uri=OJ:C_202401645" TargetMode="External"/><Relationship Id="rId126" Type="http://schemas.openxmlformats.org/officeDocument/2006/relationships/hyperlink" Target="https://competition-policy.ec.europa.eu/document/download/dfddb9ab-7248-49bb-9cec-9dcb7f50505b_en?filename=kd0126014enn_dynamic_effects_of_mergers_study_vol1.pdf" TargetMode="External"/><Relationship Id="rId147" Type="http://schemas.openxmlformats.org/officeDocument/2006/relationships/footer" Target="footer1.xml"/><Relationship Id="rId8" Type="http://schemas.openxmlformats.org/officeDocument/2006/relationships/hyperlink" Target="https://competition-policy.ec.europa.eu/document/download/46dde10f-85c1-4590-a3f4-2b71f85685ef_en?filename=Merger+Guidelines+-+final+for+public+consultation.pdf" TargetMode="External"/><Relationship Id="rId51" Type="http://schemas.openxmlformats.org/officeDocument/2006/relationships/hyperlink" Target="https://competition-policy.ec.europa.eu/document/download/46dde10f-85c1-4590-a3f4-2b71f85685ef_en?filename=Merger+Guidelines+-+final+for+public+consultation.pdf" TargetMode="External"/><Relationship Id="rId72" Type="http://schemas.openxmlformats.org/officeDocument/2006/relationships/hyperlink" Target="https://competition-policy.ec.europa.eu/document/download/46dde10f-85c1-4590-a3f4-2b71f85685ef_en?filename=Merger+Guidelines+-+final+for+public+consultation.pdf" TargetMode="External"/><Relationship Id="rId93" Type="http://schemas.openxmlformats.org/officeDocument/2006/relationships/hyperlink" Target="https://competition-policy.ec.europa.eu/document/download/dfddb9ab-7248-49bb-9cec-9dcb7f50505b_en?filename=kd0126014enn_dynamic_effects_of_mergers_study_vol1.pdf" TargetMode="External"/><Relationship Id="rId98" Type="http://schemas.openxmlformats.org/officeDocument/2006/relationships/hyperlink" Target="https://competition-policy.ec.europa.eu/document/download/dfddb9ab-7248-49bb-9cec-9dcb7f50505b_en?filename=kd0126014enn_dynamic_effects_of_mergers_study_vol1.pdf" TargetMode="External"/><Relationship Id="rId121" Type="http://schemas.openxmlformats.org/officeDocument/2006/relationships/hyperlink" Target="https://competition-policy.ec.europa.eu/document/download/46dde10f-85c1-4590-a3f4-2b71f85685ef_en?filename=Merger+Guidelines+-+final+for+public+consultation.pdf" TargetMode="External"/><Relationship Id="rId142" Type="http://schemas.openxmlformats.org/officeDocument/2006/relationships/hyperlink" Target="https://ec.europa.eu/competition/mergers/cases/decisions/m8788_1279_3.pdf" TargetMode="External"/><Relationship Id="rId3" Type="http://schemas.openxmlformats.org/officeDocument/2006/relationships/settings" Target="settings.xml"/><Relationship Id="rId25" Type="http://schemas.openxmlformats.org/officeDocument/2006/relationships/hyperlink" Target="https://eur-lex.europa.eu/legal-content/EN/TXT/PDF/?uri=OJ:C_202401645" TargetMode="External"/><Relationship Id="rId46" Type="http://schemas.openxmlformats.org/officeDocument/2006/relationships/hyperlink" Target="https://competition-policy.ec.europa.eu/document/download/46dde10f-85c1-4590-a3f4-2b71f85685ef_en?filename=Merger+Guidelines+-+final+for+public+consultation.pdf" TargetMode="External"/><Relationship Id="rId67" Type="http://schemas.openxmlformats.org/officeDocument/2006/relationships/hyperlink" Target="https://competition-policy.ec.europa.eu/document/download/46dde10f-85c1-4590-a3f4-2b71f85685ef_en?filename=Merger+Guidelines+-+final+for+public+consultation.pdf" TargetMode="External"/><Relationship Id="rId116" Type="http://schemas.openxmlformats.org/officeDocument/2006/relationships/hyperlink" Target="https://competition-policy.ec.europa.eu/document/download/46dde10f-85c1-4590-a3f4-2b71f85685ef_en?filename=Merger+Guidelines+-+final+for+public+consultation.pdf" TargetMode="External"/><Relationship Id="rId137" Type="http://schemas.openxmlformats.org/officeDocument/2006/relationships/hyperlink" Target="https://ec.europa.eu/competition/mergers/cases1/202426/M_10896_10132275_5929_5.pdf" TargetMode="External"/><Relationship Id="rId20" Type="http://schemas.openxmlformats.org/officeDocument/2006/relationships/hyperlink" Target="https://eur-lex.europa.eu/legal-content/EN/TXT/PDF/?uri=OJ:C_202401645" TargetMode="External"/><Relationship Id="rId41" Type="http://schemas.openxmlformats.org/officeDocument/2006/relationships/hyperlink" Target="https://competition-policy.ec.europa.eu/document/download/46dde10f-85c1-4590-a3f4-2b71f85685ef_en?filename=Merger+Guidelines+-+final+for+public+consultation.pdf" TargetMode="External"/><Relationship Id="rId62" Type="http://schemas.openxmlformats.org/officeDocument/2006/relationships/hyperlink" Target="https://competition-policy.ec.europa.eu/document/download/dfddb9ab-7248-49bb-9cec-9dcb7f50505b_en?filename=kd0126014enn_dynamic_effects_of_mergers_study_vol1.pdf" TargetMode="External"/><Relationship Id="rId83" Type="http://schemas.openxmlformats.org/officeDocument/2006/relationships/hyperlink" Target="https://ec.europa.eu/competition/mergers/cases1/202330/M_10646_9311516_7443_3.pdf" TargetMode="External"/><Relationship Id="rId88" Type="http://schemas.openxmlformats.org/officeDocument/2006/relationships/hyperlink" Target="https://competition-policy.ec.europa.eu/document/download/dfddb9ab-7248-49bb-9cec-9dcb7f50505b_en?filename=kd0126014enn_dynamic_effects_of_mergers_study_vol1.pdf" TargetMode="External"/><Relationship Id="rId111" Type="http://schemas.openxmlformats.org/officeDocument/2006/relationships/hyperlink" Target="https://competition-policy.ec.europa.eu/document/download/46dde10f-85c1-4590-a3f4-2b71f85685ef_en?filename=Merger+Guidelines+-+final+for+public+consultation.pdf" TargetMode="External"/><Relationship Id="rId132" Type="http://schemas.openxmlformats.org/officeDocument/2006/relationships/hyperlink" Target="https://competition-policy.ec.europa.eu/document/download/46dde10f-85c1-4590-a3f4-2b71f85685ef_en?filename=Merger+Guidelines+-+final+for+public+consultation.pdf" TargetMode="External"/><Relationship Id="rId15" Type="http://schemas.openxmlformats.org/officeDocument/2006/relationships/hyperlink" Target="https://competition-policy.ec.europa.eu/document/download/46dde10f-85c1-4590-a3f4-2b71f85685ef_en?filename=Merger+Guidelines+-+final+for+public+consultation.pdf" TargetMode="External"/><Relationship Id="rId36" Type="http://schemas.openxmlformats.org/officeDocument/2006/relationships/hyperlink" Target="https://competition-policy.ec.europa.eu/document/download/46dde10f-85c1-4590-a3f4-2b71f85685ef_en?filename=Merger+Guidelines+-+final+for+public+consultation.pdf" TargetMode="External"/><Relationship Id="rId57" Type="http://schemas.openxmlformats.org/officeDocument/2006/relationships/hyperlink" Target="https://ec.europa.eu/competition/mergers/cases1/202143/M_9564_7982342_9230_3.pdf" TargetMode="External"/><Relationship Id="rId106" Type="http://schemas.openxmlformats.org/officeDocument/2006/relationships/hyperlink" Target="https://eur-lex.europa.eu/legal-content/EN/TXT/PDF/?uri=OJ:C_202401645" TargetMode="External"/><Relationship Id="rId127" Type="http://schemas.openxmlformats.org/officeDocument/2006/relationships/hyperlink" Target="https://competition-policy.ec.europa.eu/document/download/dfddb9ab-7248-49bb-9cec-9dcb7f50505b_en?filename=kd0126014enn_dynamic_effects_of_mergers_study_vol1.pdf" TargetMode="External"/><Relationship Id="rId10" Type="http://schemas.openxmlformats.org/officeDocument/2006/relationships/hyperlink" Target="https://competition-policy.ec.europa.eu/document/download/dfddb9ab-7248-49bb-9cec-9dcb7f50505b_en?filename=kd0126014enn_dynamic_effects_of_mergers_study_vol1.pdf" TargetMode="External"/><Relationship Id="rId31" Type="http://schemas.openxmlformats.org/officeDocument/2006/relationships/hyperlink" Target="https://curia.europa.eu/juris/liste.jsf?num=C-376/20&amp;language=en" TargetMode="External"/><Relationship Id="rId52" Type="http://schemas.openxmlformats.org/officeDocument/2006/relationships/hyperlink" Target="https://competition-policy.ec.europa.eu/document/download/46dde10f-85c1-4590-a3f4-2b71f85685ef_en?filename=Merger+Guidelines+-+final+for+public+consultation.pdf" TargetMode="External"/><Relationship Id="rId73" Type="http://schemas.openxmlformats.org/officeDocument/2006/relationships/hyperlink" Target="https://competition-policy.ec.europa.eu/document/download/46dde10f-85c1-4590-a3f4-2b71f85685ef_en?filename=Merger+Guidelines+-+final+for+public+consultation.pdf" TargetMode="External"/><Relationship Id="rId78" Type="http://schemas.openxmlformats.org/officeDocument/2006/relationships/hyperlink" Target="https://ec.europa.eu/competition/mergers/cases1/202426/M_10896_10132275_5929_5.pdf" TargetMode="External"/><Relationship Id="rId94" Type="http://schemas.openxmlformats.org/officeDocument/2006/relationships/hyperlink" Target="https://competition-policy.ec.europa.eu/document/download/46dde10f-85c1-4590-a3f4-2b71f85685ef_en?filename=Merger+Guidelines+-+final+for+public+consultation.pdf" TargetMode="External"/><Relationship Id="rId99" Type="http://schemas.openxmlformats.org/officeDocument/2006/relationships/hyperlink" Target="https://competition-policy.ec.europa.eu/document/download/dfddb9ab-7248-49bb-9cec-9dcb7f50505b_en?filename=kd0126014enn_dynamic_effects_of_mergers_study_vol1.pdf" TargetMode="External"/><Relationship Id="rId101" Type="http://schemas.openxmlformats.org/officeDocument/2006/relationships/hyperlink" Target="https://competition-policy.ec.europa.eu/document/download/46dde10f-85c1-4590-a3f4-2b71f85685ef_en?filename=Merger+Guidelines+-+final+for+public+consultation.pdf" TargetMode="External"/><Relationship Id="rId122" Type="http://schemas.openxmlformats.org/officeDocument/2006/relationships/hyperlink" Target="https://competition-policy.ec.europa.eu/document/download/46dde10f-85c1-4590-a3f4-2b71f85685ef_en?filename=Merger+Guidelines+-+final+for+public+consultation.pdf" TargetMode="External"/><Relationship Id="rId143" Type="http://schemas.openxmlformats.org/officeDocument/2006/relationships/hyperlink" Target="https://competition-policy.ec.europa.eu/document/download/dfddb9ab-7248-49bb-9cec-9dcb7f50505b_en?filename=kd0126014enn_dynamic_effects_of_mergers_study_vol1.pdf" TargetMode="External"/><Relationship Id="rId14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mpetition-policy.ec.europa.eu/document/download/46dde10f-85c1-4590-a3f4-2b71f85685ef_en?filename=Merger+Guidelines+-+final+for+public+consultation.pdf" TargetMode="External"/><Relationship Id="rId26" Type="http://schemas.openxmlformats.org/officeDocument/2006/relationships/hyperlink" Target="https://eur-lex.europa.eu/legal-content/EN/TXT/PDF/?uri=OJ:C_202401645" TargetMode="External"/><Relationship Id="rId47" Type="http://schemas.openxmlformats.org/officeDocument/2006/relationships/hyperlink" Target="https://competition-policy.ec.europa.eu/document/download/46dde10f-85c1-4590-a3f4-2b71f85685ef_en?filename=Merger+Guidelines+-+final+for+public+consultation.pdf" TargetMode="External"/><Relationship Id="rId68" Type="http://schemas.openxmlformats.org/officeDocument/2006/relationships/hyperlink" Target="https://ec.europa.eu/competition/mergers/cases1/202431/M_7932_10183342_13668_7.pdf" TargetMode="External"/><Relationship Id="rId89" Type="http://schemas.openxmlformats.org/officeDocument/2006/relationships/hyperlink" Target="https://competition-policy.ec.europa.eu/document/download/46dde10f-85c1-4590-a3f4-2b71f85685ef_en?filename=Merger+Guidelines+-+final+for+public+consultation.pdf" TargetMode="External"/><Relationship Id="rId112" Type="http://schemas.openxmlformats.org/officeDocument/2006/relationships/hyperlink" Target="https://ec.europa.eu/competition/mergers/cases/decisions/m7555_5720_3.pdf" TargetMode="External"/><Relationship Id="rId133" Type="http://schemas.openxmlformats.org/officeDocument/2006/relationships/hyperlink" Target="https://competition-policy.ec.europa.eu/document/download/46dde10f-85c1-4590-a3f4-2b71f85685ef_en?filename=Merger+Guidelines+-+final+for+public+consultation.pdf" TargetMode="External"/><Relationship Id="rId16" Type="http://schemas.openxmlformats.org/officeDocument/2006/relationships/hyperlink" Target="https://competition-policy.ec.europa.eu/document/download/46dde10f-85c1-4590-a3f4-2b71f85685ef_en?filename=Merger+Guidelines+-+final+for+public+consultation.pdf" TargetMode="External"/><Relationship Id="rId37" Type="http://schemas.openxmlformats.org/officeDocument/2006/relationships/hyperlink" Target="https://competition-policy.ec.europa.eu/document/download/46dde10f-85c1-4590-a3f4-2b71f85685ef_en?filename=Merger+Guidelines+-+final+for+public+consultation.pdf" TargetMode="External"/><Relationship Id="rId58" Type="http://schemas.openxmlformats.org/officeDocument/2006/relationships/hyperlink" Target="https://competition-policy.ec.europa.eu/document/download/46dde10f-85c1-4590-a3f4-2b71f85685ef_en?filename=Merger+Guidelines+-+final+for+public+consultation.pdf" TargetMode="External"/><Relationship Id="rId79" Type="http://schemas.openxmlformats.org/officeDocument/2006/relationships/hyperlink" Target="https://competition-policy.ec.europa.eu/document/download/46dde10f-85c1-4590-a3f4-2b71f85685ef_en?filename=Merger+Guidelines+-+final+for+public+consultation.pdf" TargetMode="External"/><Relationship Id="rId102" Type="http://schemas.openxmlformats.org/officeDocument/2006/relationships/hyperlink" Target="https://competition-policy.ec.europa.eu/document/download/46dde10f-85c1-4590-a3f4-2b71f85685ef_en?filename=Merger+Guidelines+-+final+for+public+consultation.pdf" TargetMode="External"/><Relationship Id="rId123" Type="http://schemas.openxmlformats.org/officeDocument/2006/relationships/hyperlink" Target="https://competition-policy.ec.europa.eu/document/download/46dde10f-85c1-4590-a3f4-2b71f85685ef_en?filename=Merger+Guidelines+-+final+for+public+consultation.pdf" TargetMode="External"/><Relationship Id="rId144" Type="http://schemas.openxmlformats.org/officeDocument/2006/relationships/hyperlink" Target="https://competition-policy.ec.europa.eu/document/download/dfddb9ab-7248-49bb-9cec-9dcb7f50505b_en?filename=kd0126014enn_dynamic_effects_of_mergers_study_vol1.pdf" TargetMode="External"/><Relationship Id="rId90" Type="http://schemas.openxmlformats.org/officeDocument/2006/relationships/hyperlink" Target="https://competition-policy.ec.europa.eu/document/download/46dde10f-85c1-4590-a3f4-2b71f85685ef_en?filename=Merger+Guidelines+-+final+for+public+consulta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9334</Words>
  <Characters>53210</Characters>
  <Application>Microsoft Office Word</Application>
  <DocSecurity>0</DocSecurity>
  <Lines>443</Lines>
  <Paragraphs>124</Paragraphs>
  <ScaleCrop>false</ScaleCrop>
  <Company/>
  <LinksUpToDate>false</LinksUpToDate>
  <CharactersWithSpaces>62420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Basant Mounir</cp:lastModifiedBy>
  <cp:revision>2</cp:revision>
  <dcterms:created xsi:type="dcterms:W3CDTF">2026-09-23T09:37:00Z</dcterms:created>
  <dcterms:modified xsi:type="dcterms:W3CDTF">2026-09-23T09:40:00Z</dcterms:modified>
</cp:coreProperties>
</file>