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rPr>
          <w:rFonts w:ascii="Calibri" w:cs="Calibri" w:eastAsia="Calibri" w:hAnsi="Calibri"/>
          <w:b/>
          <w:bCs/>
          <w:color w:val="1F4E5F"/>
          <w:sz w:val="40"/>
          <w:szCs w:val="40"/>
        </w:rPr>
        <w:t xml:space="preserve">Response Transcript — Sample 6</w:t>
      </w:r>
    </w:p>
    <w:p>
      <w:pPr>
        <w:pBdr>
          <w:bottom w:val="single" w:color="CCCCCC" w:sz="6" w:space="4"/>
        </w:pBdr>
        <w:spacing w:after="300"/>
      </w:pPr>
    </w:p>
    <w:p>
      <w:pPr>
        <w:pStyle w:val="Heading1"/>
        <w:spacing w:after="140" w:before="280"/>
      </w:pPr>
      <w:r>
        <w:rPr>
          <w:rFonts w:ascii="Calibri" w:cs="Calibri" w:eastAsia="Calibri" w:hAnsi="Calibri"/>
          <w:b/>
          <w:bCs/>
          <w:color w:val="1F4E5F"/>
          <w:sz w:val="26"/>
          <w:szCs w:val="26"/>
        </w:rPr>
        <w:t xml:space="preserve">User Query</w:t>
      </w:r>
    </w:p>
    <w:p>
      <w:pPr>
        <w:pBdr>
          <w:left w:val="single" w:color="1F4E5F" w:sz="18" w:space="8"/>
        </w:pBdr>
        <w:spacing w:after="240"/>
        <w:ind w:left="360"/>
      </w:pPr>
      <w:r>
        <w:rPr>
          <w:rFonts w:ascii="Calibri" w:cs="Calibri" w:eastAsia="Calibri" w:hAnsi="Calibri"/>
          <w:i/>
          <w:iCs/>
          <w:sz w:val="24"/>
          <w:szCs w:val="24"/>
        </w:rPr>
        <w:t xml:space="preserve">What are the theories of harm in merger cases in digital market?</w:t>
      </w:r>
    </w:p>
    <w:p>
      <w:pPr>
        <w:pStyle w:val="Heading1"/>
        <w:spacing w:after="140" w:before="280"/>
      </w:pPr>
      <w:r>
        <w:rPr>
          <w:rFonts w:ascii="Calibri" w:cs="Calibri" w:eastAsia="Calibri" w:hAnsi="Calibri"/>
          <w:b/>
          <w:bCs/>
          <w:color w:val="1F4E5F"/>
          <w:sz w:val="26"/>
          <w:szCs w:val="26"/>
        </w:rPr>
        <w:t xml:space="preserve">System Response</w:t>
      </w:r>
    </w:p>
    <w:p>
      <w:pPr>
        <w:spacing w:after="140"/>
      </w:pPr>
      <w:r>
        <w:rPr>
          <w:rFonts w:ascii="Calibri" w:cs="Calibri" w:eastAsia="Calibri" w:hAnsi="Calibri"/>
          <w:i w:val="false"/>
          <w:iCs w:val="false"/>
          <w:sz w:val="22"/>
          <w:szCs w:val="22"/>
        </w:rPr>
        <w:t xml:space="preserve">There are two main theories of harm in merger cases in the digital market.</w:t>
      </w:r>
    </w:p>
    <w:p>
      <w:pPr>
        <w:pStyle w:val="Heading2"/>
        <w:spacing w:after="100" w:before="200"/>
      </w:pPr>
      <w:r>
        <w:rPr>
          <w:rFonts w:ascii="Calibri" w:cs="Calibri" w:eastAsia="Calibri" w:hAnsi="Calibri"/>
          <w:b/>
          <w:bCs/>
          <w:i/>
          <w:iCs/>
          <w:color w:val="333333"/>
          <w:sz w:val="22"/>
          <w:szCs w:val="22"/>
        </w:rPr>
        <w:t xml:space="preserve">1. Unilateral Effects</w:t>
      </w:r>
    </w:p>
    <w:p>
      <w:pPr>
        <w:spacing w:after="140"/>
      </w:pPr>
      <w:r>
        <w:rPr>
          <w:rFonts w:ascii="Calibri" w:cs="Calibri" w:eastAsia="Calibri" w:hAnsi="Calibri"/>
          <w:i w:val="false"/>
          <w:iCs w:val="false"/>
          <w:sz w:val="22"/>
          <w:szCs w:val="22"/>
        </w:rPr>
        <w:t xml:space="preserve">The first theory is the unilateral effects doctrine, which asserts that a merger will result in a unilateral change in market structure or behavior that may lead to higher prices and lower output. This type of harm can arise when a dominant firm acquires a significant competitor, leading to a reduction in the total number of firms and creating a more concentrated market. The dominant firm may then be able to exercise market power and increase prices without facing significant competition.</w:t>
      </w:r>
    </w:p>
    <w:p>
      <w:pPr>
        <w:pStyle w:val="Heading2"/>
        <w:spacing w:after="100" w:before="200"/>
      </w:pPr>
      <w:r>
        <w:rPr>
          <w:rFonts w:ascii="Calibri" w:cs="Calibri" w:eastAsia="Calibri" w:hAnsi="Calibri"/>
          <w:b/>
          <w:bCs/>
          <w:i/>
          <w:iCs/>
          <w:color w:val="333333"/>
          <w:sz w:val="22"/>
          <w:szCs w:val="22"/>
        </w:rPr>
        <w:t xml:space="preserve">2. Coordinated Effects</w:t>
      </w:r>
    </w:p>
    <w:p>
      <w:pPr>
        <w:spacing w:after="140"/>
      </w:pPr>
      <w:r>
        <w:rPr>
          <w:rFonts w:ascii="Calibri" w:cs="Calibri" w:eastAsia="Calibri" w:hAnsi="Calibri"/>
          <w:i w:val="false"/>
          <w:iCs w:val="false"/>
          <w:sz w:val="22"/>
          <w:szCs w:val="22"/>
        </w:rPr>
        <w:t xml:space="preserve">The second theory is the coordinated effects doctrine, which argues that a merger could result in an increase in collusion between firms in the market. When large firms merge, they may be in a better position to coordinate their behaviors and divide the market among themselves, leading to higher prices and lower output. This type of harm is often seen in industries where firms have path-dependent barriers to entry, such as strong intellectual property rights, high upfront costs, or technological lock-in.</w:t>
      </w:r>
    </w:p>
    <w:p>
      <w:pPr>
        <w:pStyle w:val="Heading2"/>
        <w:spacing w:after="100" w:before="200"/>
      </w:pPr>
      <w:r>
        <w:rPr>
          <w:rFonts w:ascii="Calibri" w:cs="Calibri" w:eastAsia="Calibri" w:hAnsi="Calibri"/>
          <w:b/>
          <w:bCs/>
          <w:i/>
          <w:iCs/>
          <w:color w:val="333333"/>
          <w:sz w:val="22"/>
          <w:szCs w:val="22"/>
        </w:rPr>
        <w:t xml:space="preserve">3. Innovation and Competition</w:t>
      </w:r>
    </w:p>
    <w:p>
      <w:pPr>
        <w:spacing w:after="140"/>
      </w:pPr>
      <w:r>
        <w:rPr>
          <w:rFonts w:ascii="Calibri" w:cs="Calibri" w:eastAsia="Calibri" w:hAnsi="Calibri"/>
          <w:i w:val="false"/>
          <w:iCs w:val="false"/>
          <w:sz w:val="22"/>
          <w:szCs w:val="22"/>
        </w:rPr>
        <w:t xml:space="preserve">A third theory that is becoming increasingly important in digital markets is the effect of a merger on innovation and competition. A merger could stifle innovation and reduce competition if it leads to a reduction in the number of firms working on new products, features, and services. This can happen when a dominant firm acquires a smaller competitor with innovative capabilities, absorbing its innovations and reducing the availability of innovative alternatives in the market.</w:t>
      </w:r>
    </w:p>
    <w:p>
      <w:pPr>
        <w:pStyle w:val="Heading1"/>
        <w:spacing w:after="140" w:before="280"/>
      </w:pPr>
      <w:r>
        <w:rPr>
          <w:rFonts w:ascii="Calibri" w:cs="Calibri" w:eastAsia="Calibri" w:hAnsi="Calibri"/>
          <w:b/>
          <w:bCs/>
          <w:color w:val="1F4E5F"/>
          <w:sz w:val="26"/>
          <w:szCs w:val="26"/>
        </w:rPr>
        <w:t xml:space="preserve">Cited Sources</w:t>
      </w:r>
    </w:p>
    <w:p>
      <w:pPr>
        <w:spacing w:after="140"/>
      </w:pPr>
      <w:r>
        <w:rPr>
          <w:rFonts w:ascii="Calibri" w:cs="Calibri" w:eastAsia="Calibri" w:hAnsi="Calibri"/>
          <w:i/>
          <w:iCs/>
          <w:sz w:val="22"/>
          <w:szCs w:val="22"/>
        </w:rPr>
        <w:t xml:space="preserve">No source links were included in the original response.</w:t>
      </w:r>
    </w:p>
    <w:sectPr>
      <w:headerReference w:type="default" r:id="rId7"/>
      <w:footerReference w:type="default" r:id="rId8"/>
      <w:pgSz w:w="12240" w:h="15840" w:orient="portrait"/>
      <w:pgMar w:top="1080" w:right="1350" w:bottom="108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99999"/>
        <w:sz w:val="16"/>
        <w:szCs w:val="16"/>
      </w:rPr>
      <w:t xml:space="preserve">Competition-Law Assistant Evaluation — Blinded Transcript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2026-09-02T10:46:34.924Z</dcterms:created>
  <dcterms:modified xsi:type="dcterms:W3CDTF">2026-09-02T10:46:34.924Z</dcterms:modified>
</cp:coreProperties>
</file>

<file path=docProps/custom.xml><?xml version="1.0" encoding="utf-8"?>
<Properties xmlns="http://schemas.openxmlformats.org/officeDocument/2006/custom-properties" xmlns:vt="http://schemas.openxmlformats.org/officeDocument/2006/docPropsVTypes"/>
</file>