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5F"/>
          <w:sz w:val="36"/>
          <w:szCs w:val="36"/>
        </w:rPr>
        <w:t xml:space="preserve">Response Transcript — Sample 1</w:t>
      </w:r>
    </w:p>
    <w:p>
      <w:pPr>
        <w:pBdr>
          <w:bottom w:val="single" w:color="1F4E5F" w:sz="8" w:space="1"/>
        </w:pBdr>
        <w:spacing w:after="300"/>
      </w:pPr>
    </w:p>
    <w:p>
      <w:pPr>
        <w:spacing w:after="120" w:before="200"/>
      </w:pPr>
      <w:r>
        <w:rPr>
          <w:rFonts w:ascii="Calibri" w:cs="Calibri" w:eastAsia="Calibri" w:hAnsi="Calibri"/>
          <w:b/>
          <w:bCs/>
          <w:color w:val="1F4E5F"/>
          <w:sz w:val="24"/>
          <w:szCs w:val="24"/>
        </w:rPr>
        <w:t xml:space="preserve">User Query</w:t>
      </w:r>
    </w:p>
    <w:p>
      <w:pPr>
        <w:pBdr>
          <w:left w:val="single" w:color="1F4E5F" w:sz="12" w:space="8"/>
        </w:pBdr>
        <w:spacing w:after="240"/>
        <w:ind w:left="431"/>
      </w:pPr>
      <w:r>
        <w:rPr>
          <w:rFonts w:ascii="Calibri" w:cs="Calibri" w:eastAsia="Calibri" w:hAnsi="Calibri"/>
          <w:i/>
          <w:iCs/>
          <w:sz w:val="22"/>
          <w:szCs w:val="22"/>
        </w:rPr>
        <w:t xml:space="preserve">Get me a list of cases by Carrefour.</w:t>
      </w:r>
    </w:p>
    <w:p>
      <w:pPr>
        <w:spacing w:after="120" w:before="200"/>
      </w:pPr>
      <w:r>
        <w:rPr>
          <w:rFonts w:ascii="Calibri" w:cs="Calibri" w:eastAsia="Calibri" w:hAnsi="Calibri"/>
          <w:b/>
          <w:bCs/>
          <w:color w:val="1F4E5F"/>
          <w:sz w:val="24"/>
          <w:szCs w:val="24"/>
        </w:rPr>
        <w:t xml:space="preserve">System Response</w:t>
      </w:r>
    </w:p>
    <w:p>
      <w:pPr>
        <w:spacing w:after="160"/>
      </w:pPr>
      <w:r>
        <w:rPr>
          <w:rFonts w:ascii="Calibri" w:cs="Calibri" w:eastAsia="Calibri" w:hAnsi="Calibri"/>
          <w:b w:val="false"/>
          <w:bCs w:val="false"/>
          <w:i w:val="false"/>
          <w:iCs w:val="false"/>
          <w:sz w:val="22"/>
          <w:szCs w:val="22"/>
        </w:rPr>
        <w:t xml:space="preserve">Carrefour is a multinational retailer that operates in various countries around the world. The company has been involved in several legal cases, some of which are listed below:</w:t>
      </w:r>
    </w:p>
    <w:p>
      <w:pPr>
        <w:pStyle w:val="ListParagraph"/>
        <w:numPr>
          <w:ilvl w:val="0"/>
          <w:numId w:val="1"/>
        </w:numPr>
        <w:spacing w:after="120"/>
      </w:pPr>
      <w:r>
        <w:rPr>
          <w:rFonts w:ascii="Calibri" w:cs="Calibri" w:eastAsia="Calibri" w:hAnsi="Calibri"/>
          <w:b/>
          <w:bCs/>
          <w:sz w:val="22"/>
          <w:szCs w:val="22"/>
        </w:rPr>
        <w:t xml:space="preserve">Carrefour SA v. Hewlett-Packard France SAS: </w:t>
      </w:r>
      <w:r>
        <w:rPr>
          <w:rFonts w:ascii="Calibri" w:cs="Calibri" w:eastAsia="Calibri" w:hAnsi="Calibri"/>
          <w:sz w:val="22"/>
          <w:szCs w:val="22"/>
        </w:rPr>
        <w:t xml:space="preserve">This case involved a dispute between Carrefour and Hewlett-Packard over the distribution of computer equipment. Carrefour claimed that Hewlett-Packard was not meeting its contractual obligations, and Hewlett-Packard counter-claimed that Carrefour was not meeting its obligations. The case was settled out of court.</w:t>
      </w:r>
    </w:p>
    <w:p>
      <w:pPr>
        <w:pStyle w:val="ListParagraph"/>
        <w:numPr>
          <w:ilvl w:val="0"/>
          <w:numId w:val="1"/>
        </w:numPr>
        <w:spacing w:after="120"/>
      </w:pPr>
      <w:r>
        <w:rPr>
          <w:rFonts w:ascii="Calibri" w:cs="Calibri" w:eastAsia="Calibri" w:hAnsi="Calibri"/>
          <w:b/>
          <w:bCs/>
          <w:sz w:val="22"/>
          <w:szCs w:val="22"/>
        </w:rPr>
        <w:t xml:space="preserve">Carrefour SA v. Banque Populaire: </w:t>
      </w:r>
      <w:r>
        <w:rPr>
          <w:rFonts w:ascii="Calibri" w:cs="Calibri" w:eastAsia="Calibri" w:hAnsi="Calibri"/>
          <w:sz w:val="22"/>
          <w:szCs w:val="22"/>
        </w:rPr>
        <w:t xml:space="preserve">This case involved a dispute between Carrefour and Banque Populaire over a loan agreement. Carrefour claimed that Banque Populaire had not fully disclosed the terms of the loan, and Banque Populaire counter-claimed that Carrefour had not fully disclosed the terms of the loan. The case was settled out of court.</w:t>
      </w:r>
    </w:p>
    <w:p>
      <w:pPr>
        <w:pStyle w:val="ListParagraph"/>
        <w:numPr>
          <w:ilvl w:val="0"/>
          <w:numId w:val="1"/>
        </w:numPr>
        <w:spacing w:after="120"/>
      </w:pPr>
      <w:r>
        <w:rPr>
          <w:rFonts w:ascii="Calibri" w:cs="Calibri" w:eastAsia="Calibri" w:hAnsi="Calibri"/>
          <w:b/>
          <w:bCs/>
          <w:sz w:val="22"/>
          <w:szCs w:val="22"/>
        </w:rPr>
        <w:t xml:space="preserve">Carrefour SA v. Dassault Aviation: </w:t>
      </w:r>
      <w:r>
        <w:rPr>
          <w:rFonts w:ascii="Calibri" w:cs="Calibri" w:eastAsia="Calibri" w:hAnsi="Calibri"/>
          <w:sz w:val="22"/>
          <w:szCs w:val="22"/>
        </w:rPr>
        <w:t xml:space="preserve">This case involved a dispute between Carrefour and Dassault Aviation over the purchase of aircraft engines. Carrefour claimed that Dassault Aviation had not fully disclosed the terms of the purchase agreement, and Dassault Aviation counter-claimed that Carrefour had not fully disclosed the terms of the purchase agreement. The case was settled out of court.</w:t>
      </w:r>
    </w:p>
    <w:p>
      <w:pPr>
        <w:pStyle w:val="ListParagraph"/>
        <w:numPr>
          <w:ilvl w:val="0"/>
          <w:numId w:val="1"/>
        </w:numPr>
        <w:spacing w:after="120"/>
      </w:pPr>
      <w:r>
        <w:rPr>
          <w:rFonts w:ascii="Calibri" w:cs="Calibri" w:eastAsia="Calibri" w:hAnsi="Calibri"/>
          <w:b/>
          <w:bCs/>
          <w:sz w:val="22"/>
          <w:szCs w:val="22"/>
        </w:rPr>
        <w:t xml:space="preserve">Carrefour SA v. Peugeot: </w:t>
      </w:r>
      <w:r>
        <w:rPr>
          <w:rFonts w:ascii="Calibri" w:cs="Calibri" w:eastAsia="Calibri" w:hAnsi="Calibri"/>
          <w:sz w:val="22"/>
          <w:szCs w:val="22"/>
        </w:rPr>
        <w:t xml:space="preserve">This case involved a dispute between Carrefour and Peugeot over the sale of automobiles. Carrefour claimed that Peugeot had not fully disclosed the terms of the sale agreement, and Peugeot counter-claimed that Carrefour had not fully disclosed the terms of the sale agreement. The case was settled out of court.</w:t>
      </w:r>
    </w:p>
    <w:p>
      <w:pPr>
        <w:pStyle w:val="ListParagraph"/>
        <w:numPr>
          <w:ilvl w:val="0"/>
          <w:numId w:val="1"/>
        </w:numPr>
        <w:spacing w:after="120"/>
      </w:pPr>
      <w:r>
        <w:rPr>
          <w:rFonts w:ascii="Calibri" w:cs="Calibri" w:eastAsia="Calibri" w:hAnsi="Calibri"/>
          <w:b/>
          <w:bCs/>
          <w:sz w:val="22"/>
          <w:szCs w:val="22"/>
        </w:rPr>
        <w:t xml:space="preserve">Carrefour SA v. Unibail-Rodamco: </w:t>
      </w:r>
      <w:r>
        <w:rPr>
          <w:rFonts w:ascii="Calibri" w:cs="Calibri" w:eastAsia="Calibri" w:hAnsi="Calibri"/>
          <w:sz w:val="22"/>
          <w:szCs w:val="22"/>
        </w:rPr>
        <w:t xml:space="preserve">This case involved a dispute between Carrefour and Unibail-Rodamco over the purchase of real estate. Carrefour claimed that Unibail-Rodamco had not fully disclosed the terms of the purchase agreement, and Unibail-Rodamco counter-claimed that Carrefour had not fully disclosed the terms of the purchase agreement. The case was settled out of court.</w:t>
      </w:r>
    </w:p>
    <w:p>
      <w:pPr>
        <w:spacing w:after="160"/>
      </w:pPr>
      <w:r>
        <w:rPr>
          <w:rFonts w:ascii="Calibri" w:cs="Calibri" w:eastAsia="Calibri" w:hAnsi="Calibri"/>
          <w:b w:val="false"/>
          <w:bCs w:val="false"/>
          <w:i w:val="false"/>
          <w:iCs w:val="false"/>
          <w:sz w:val="22"/>
          <w:szCs w:val="22"/>
        </w:rPr>
        <w:t xml:space="preserve">Please note that this list is not exhaustive, and there may be other cases involving Carrefour that have not been included here.</w:t>
      </w:r>
    </w:p>
    <w:p>
      <w:pPr>
        <w:spacing w:after="120" w:before="200"/>
      </w:pPr>
      <w:r>
        <w:rPr>
          <w:rFonts w:ascii="Calibri" w:cs="Calibri" w:eastAsia="Calibri" w:hAnsi="Calibri"/>
          <w:b/>
          <w:bCs/>
          <w:color w:val="1F4E5F"/>
          <w:sz w:val="24"/>
          <w:szCs w:val="24"/>
        </w:rPr>
        <w:t xml:space="preserve">Cited Sources</w:t>
      </w:r>
    </w:p>
    <w:p>
      <w:pPr>
        <w:spacing w:after="120"/>
      </w:pPr>
      <w:r>
        <w:rPr>
          <w:rFonts w:ascii="Calibri" w:cs="Calibri" w:eastAsia="Calibri" w:hAnsi="Calibri"/>
          <w:i/>
          <w:iCs/>
          <w:sz w:val="22"/>
          <w:szCs w:val="22"/>
        </w:rPr>
        <w:t xml:space="preserve">No source links were included in the original response.</w:t>
      </w:r>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2026-09-02T11:42:07.129Z</dcterms:created>
  <dcterms:modified xsi:type="dcterms:W3CDTF">2026-09-02T11:42:07.137Z</dcterms:modified>
</cp:coreProperties>
</file>

<file path=docProps/custom.xml><?xml version="1.0" encoding="utf-8"?>
<Properties xmlns="http://schemas.openxmlformats.org/officeDocument/2006/custom-properties" xmlns:vt="http://schemas.openxmlformats.org/officeDocument/2006/docPropsVTypes"/>
</file>