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Calibri" w:cs="Calibri" w:eastAsia="Calibri" w:hAnsi="Calibri"/>
          <w:b/>
          <w:bCs/>
          <w:color w:val="1F4E5F"/>
          <w:sz w:val="36"/>
          <w:szCs w:val="36"/>
        </w:rPr>
        <w:t xml:space="preserve">Response Transcript — Sample 2</w:t>
      </w:r>
    </w:p>
    <w:p>
      <w:pPr>
        <w:pBdr>
          <w:bottom w:val="single" w:color="BFBFBF" w:sz="6" w:space="1"/>
        </w:pBdr>
        <w:spacing w:after="240"/>
      </w:pPr>
    </w:p>
    <w:p>
      <w:pPr>
        <w:pStyle w:val="Heading1"/>
        <w:pBdr>
          <w:bottom w:val="single" w:color="1F4E5F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User Query</w:t>
      </w:r>
    </w:p>
    <w:p>
      <w:pPr>
        <w:pBdr>
          <w:left w:val="single" w:color="1F4E5F" w:sz="12" w:space="8"/>
        </w:pBdr>
        <w:spacing w:after="280"/>
        <w:ind w:left="431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Get me a list of cases by Carrefour</w:t>
      </w:r>
    </w:p>
    <w:p>
      <w:pPr>
        <w:pStyle w:val="Heading1"/>
        <w:pBdr>
          <w:bottom w:val="single" w:color="1F4E5F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System Response</w:t>
      </w:r>
    </w:p>
    <w:p>
      <w:pPr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Case 25-DCC-280 — relative à la prise de contrôle conjoint de la société VPM Distribution par le groupe Carrefour et les consorts Vacher et Vidal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i/>
          <w:iCs/>
          <w:color w:val="1F4E5F"/>
          <w:sz w:val="22"/>
          <w:szCs w:val="22"/>
        </w:rPr>
        <w:t xml:space="preserve">Case Background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case involves the joint control acquisition of VPM Distribution by the Carrefour group and the Vacher and Vidal consortium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hyperlink w:history="1" r:id="rIdzafcdnjflznmdnfdwkftf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[1]</w:t>
        </w:r>
      </w:hyperlink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VPM Distribution operates a supermarket under the Carrefour Market brand in Boussac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hyperlink w:history="1" r:id="rId5ookkfisbn7eddnxwcvwi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[1]</w:t>
        </w:r>
      </w:hyperlink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operation is considered a concentration under Article L. 430-1 of the Commercial Code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hyperlink w:history="1" r:id="rId19bn28bdypxmw_bvzunl7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[1]</w:t>
        </w:r>
      </w:hyperlink>
    </w:p>
    <w:p>
      <w:pPr>
        <w:spacing w:after="100" w:before="200"/>
      </w:pPr>
      <w:r>
        <w:rPr>
          <w:rFonts w:ascii="Calibri" w:cs="Calibri" w:eastAsia="Calibri" w:hAnsi="Calibri"/>
          <w:b/>
          <w:bCs/>
          <w:i/>
          <w:iCs/>
          <w:color w:val="1F4E5F"/>
          <w:sz w:val="22"/>
          <w:szCs w:val="22"/>
        </w:rPr>
        <w:t xml:space="preserve">Case Progression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notification file was sent to the mergers department on October 24, 2025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hyperlink w:history="1" r:id="rId4gywilcc8zgu5rwrdo8b1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[1]</w:t>
        </w:r>
      </w:hyperlink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operation was formalized by an act dated October 20, 2025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hyperlink w:history="1" r:id="rIdlipdu66so2iim1iqvffud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[1]</w:t>
        </w:r>
      </w:hyperlink>
    </w:p>
    <w:p>
      <w:pPr>
        <w:spacing w:after="100" w:before="200"/>
      </w:pPr>
      <w:r>
        <w:rPr>
          <w:rFonts w:ascii="Calibri" w:cs="Calibri" w:eastAsia="Calibri" w:hAnsi="Calibri"/>
          <w:b/>
          <w:bCs/>
          <w:i/>
          <w:iCs/>
          <w:color w:val="1F4E5F"/>
          <w:sz w:val="22"/>
          <w:szCs w:val="22"/>
        </w:rPr>
        <w:t xml:space="preserve">Market Definition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operation involves a supermarket-type business with a sales area of 1,770 m²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hyperlink w:history="1" r:id="rIdiwdldhqck2wxdizuv65vy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[1]</w:t>
        </w:r>
      </w:hyperlink>
    </w:p>
    <w:p>
      <w:pPr>
        <w:spacing w:after="100" w:before="200"/>
      </w:pPr>
      <w:r>
        <w:rPr>
          <w:rFonts w:ascii="Calibri" w:cs="Calibri" w:eastAsia="Calibri" w:hAnsi="Calibri"/>
          <w:b/>
          <w:bCs/>
          <w:i/>
          <w:iCs/>
          <w:color w:val="1F4E5F"/>
          <w:sz w:val="22"/>
          <w:szCs w:val="22"/>
        </w:rPr>
        <w:t xml:space="preserve">Legal &amp; Economic Tests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operation does not fall under the jurisdiction of the European Union but exceeds the control thresholds of Article L. 430-2 of the Commercial Code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hyperlink w:history="1" r:id="rIdvazt1u6osh1tu751exide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[1]</w:t>
        </w:r>
      </w:hyperlink>
    </w:p>
    <w:p>
      <w:pPr>
        <w:spacing w:after="100" w:before="200"/>
      </w:pPr>
      <w:r>
        <w:rPr>
          <w:rFonts w:ascii="Calibri" w:cs="Calibri" w:eastAsia="Calibri" w:hAnsi="Calibri"/>
          <w:b/>
          <w:bCs/>
          <w:i/>
          <w:iCs/>
          <w:color w:val="1F4E5F"/>
          <w:sz w:val="22"/>
          <w:szCs w:val="22"/>
        </w:rPr>
        <w:t xml:space="preserve">Conclusion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operation is authorized as it is not likely to harm competition in the relevant markets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hyperlink w:history="1" r:id="rIdy7onfqndk3fpclpqmnurz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[1]</w:t>
        </w:r>
      </w:hyperlink>
    </w:p>
    <w:p>
      <w:pPr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Case 25-DCC-300 — relative à la prise de contrôle exclusif de la société La Crau Dis par le groupe Carrefour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i/>
          <w:iCs/>
          <w:color w:val="1F4E5F"/>
          <w:sz w:val="22"/>
          <w:szCs w:val="22"/>
        </w:rPr>
        <w:t xml:space="preserve">Case Background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case involves the exclusive control acquisition of La Crau Dis by the Carrefour group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hyperlink w:history="1" r:id="rIdlpi0gbyumvyex1udctehq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[2]</w:t>
        </w:r>
      </w:hyperlink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La Crau Dis operates a supermarket under the Carrefour Market brand in La Crau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hyperlink w:history="1" r:id="rIdxmrfphni483c7r-z2yshf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[2]</w:t>
        </w:r>
      </w:hyperlink>
    </w:p>
    <w:p>
      <w:pPr>
        <w:spacing w:after="100" w:before="200"/>
      </w:pPr>
      <w:r>
        <w:rPr>
          <w:rFonts w:ascii="Calibri" w:cs="Calibri" w:eastAsia="Calibri" w:hAnsi="Calibri"/>
          <w:b/>
          <w:bCs/>
          <w:i/>
          <w:iCs/>
          <w:color w:val="1F4E5F"/>
          <w:sz w:val="22"/>
          <w:szCs w:val="22"/>
        </w:rPr>
        <w:t xml:space="preserve">Case Progression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notification file was sent to the mergers department on November 4, 2025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hyperlink w:history="1" r:id="rIdyfw8nwkisbpqkzor_msee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[2]</w:t>
        </w:r>
      </w:hyperlink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operation was formalized by a framework agreement dated November 4, 2025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hyperlink w:history="1" r:id="rIdthm2e7tizrgg7_j2gideo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[2]</w:t>
        </w:r>
      </w:hyperlink>
    </w:p>
    <w:p>
      <w:pPr>
        <w:spacing w:after="100" w:before="200"/>
      </w:pPr>
      <w:r>
        <w:rPr>
          <w:rFonts w:ascii="Calibri" w:cs="Calibri" w:eastAsia="Calibri" w:hAnsi="Calibri"/>
          <w:b/>
          <w:bCs/>
          <w:i/>
          <w:iCs/>
          <w:color w:val="1F4E5F"/>
          <w:sz w:val="22"/>
          <w:szCs w:val="22"/>
        </w:rPr>
        <w:t xml:space="preserve">Market Definition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operation involves a supermarket-type business with a sales area of 1,800 m²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hyperlink w:history="1" r:id="rIdfg_afnurltpu96y9o9lee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[2]</w:t>
        </w:r>
      </w:hyperlink>
    </w:p>
    <w:p>
      <w:pPr>
        <w:spacing w:after="100" w:before="200"/>
      </w:pPr>
      <w:r>
        <w:rPr>
          <w:rFonts w:ascii="Calibri" w:cs="Calibri" w:eastAsia="Calibri" w:hAnsi="Calibri"/>
          <w:b/>
          <w:bCs/>
          <w:i/>
          <w:iCs/>
          <w:color w:val="1F4E5F"/>
          <w:sz w:val="22"/>
          <w:szCs w:val="22"/>
        </w:rPr>
        <w:t xml:space="preserve">Legal &amp; Economic Tests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operation does not fall under the jurisdiction of the European Union but exceeds the control thresholds of Article L. 430-2 of the Commercial Code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hyperlink w:history="1" r:id="rIdkbcbschlmruk5nkln2qmy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[2]</w:t>
        </w:r>
      </w:hyperlink>
    </w:p>
    <w:p>
      <w:pPr>
        <w:spacing w:after="100" w:before="200"/>
      </w:pPr>
      <w:r>
        <w:rPr>
          <w:rFonts w:ascii="Calibri" w:cs="Calibri" w:eastAsia="Calibri" w:hAnsi="Calibri"/>
          <w:b/>
          <w:bCs/>
          <w:i/>
          <w:iCs/>
          <w:color w:val="1F4E5F"/>
          <w:sz w:val="22"/>
          <w:szCs w:val="22"/>
        </w:rPr>
        <w:t xml:space="preserve">Conclusion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operation is authorized as it is not likely to harm competition in the relevant markets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hyperlink w:history="1" r:id="rIdsryblkz0mkyo0k3k5djwa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[2]</w:t>
        </w:r>
      </w:hyperlink>
    </w:p>
    <w:p>
      <w:pPr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Case 26-DCC-20 — relative à la prise de contrôle exclusif de cinq fonds de commerce du groupe Auchan par le groupe Carrefour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i/>
          <w:iCs/>
          <w:color w:val="1F4E5F"/>
          <w:sz w:val="22"/>
          <w:szCs w:val="22"/>
        </w:rPr>
        <w:t xml:space="preserve">Case Background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case involves the exclusive control acquisition of five business assets of the Auchan group by the Carrefour group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hyperlink w:history="1" r:id="rIdsypajjg1mvsi7yz9mqafc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[3]</w:t>
        </w:r>
      </w:hyperlink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assets include four business assets in Paris and one supermarket in Aubagne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hyperlink w:history="1" r:id="rIdbw8ntvemm4hncwfqebljg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[3]</w:t>
        </w:r>
      </w:hyperlink>
    </w:p>
    <w:p>
      <w:pPr>
        <w:spacing w:after="100" w:before="200"/>
      </w:pPr>
      <w:r>
        <w:rPr>
          <w:rFonts w:ascii="Calibri" w:cs="Calibri" w:eastAsia="Calibri" w:hAnsi="Calibri"/>
          <w:b/>
          <w:bCs/>
          <w:i/>
          <w:iCs/>
          <w:color w:val="1F4E5F"/>
          <w:sz w:val="22"/>
          <w:szCs w:val="22"/>
        </w:rPr>
        <w:t xml:space="preserve">Case Progression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notification file was submitted on December 23, 2025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hyperlink w:history="1" r:id="rIdrlvxgcbzvpl4a8ivhf3lf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[3]</w:t>
        </w:r>
      </w:hyperlink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operation was formalized by asset transfer agreements dated May 30, 2025, and a promise of business asset transfer dated December 19, 2025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hyperlink w:history="1" r:id="rId_undluvmm_2tzod-uihj_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[3]</w:t>
        </w:r>
      </w:hyperlink>
    </w:p>
    <w:p>
      <w:pPr>
        <w:spacing w:after="100" w:before="200"/>
      </w:pPr>
      <w:r>
        <w:rPr>
          <w:rFonts w:ascii="Calibri" w:cs="Calibri" w:eastAsia="Calibri" w:hAnsi="Calibri"/>
          <w:b/>
          <w:bCs/>
          <w:i/>
          <w:iCs/>
          <w:color w:val="1F4E5F"/>
          <w:sz w:val="22"/>
          <w:szCs w:val="22"/>
        </w:rPr>
        <w:t xml:space="preserve">Market Definition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operation involves food retail business assets operated under the Auchan group brands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hyperlink w:history="1" r:id="rIdtolwfmqdm61hjjsd7jari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[3]</w:t>
        </w:r>
      </w:hyperlink>
    </w:p>
    <w:p>
      <w:pPr>
        <w:spacing w:after="100" w:before="200"/>
      </w:pPr>
      <w:r>
        <w:rPr>
          <w:rFonts w:ascii="Calibri" w:cs="Calibri" w:eastAsia="Calibri" w:hAnsi="Calibri"/>
          <w:b/>
          <w:bCs/>
          <w:i/>
          <w:iCs/>
          <w:color w:val="1F4E5F"/>
          <w:sz w:val="22"/>
          <w:szCs w:val="22"/>
        </w:rPr>
        <w:t xml:space="preserve">Legal &amp; Economic Tests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operation does not fall under the jurisdiction of the European Union but exceeds the control thresholds of Article L. 430-2 of the Commercial Code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hyperlink w:history="1" r:id="rId7bjagpi6eugi8rv9hvnfj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[3]</w:t>
        </w:r>
      </w:hyperlink>
    </w:p>
    <w:p>
      <w:pPr>
        <w:spacing w:after="100" w:before="200"/>
      </w:pPr>
      <w:r>
        <w:rPr>
          <w:rFonts w:ascii="Calibri" w:cs="Calibri" w:eastAsia="Calibri" w:hAnsi="Calibri"/>
          <w:b/>
          <w:bCs/>
          <w:i/>
          <w:iCs/>
          <w:color w:val="1F4E5F"/>
          <w:sz w:val="22"/>
          <w:szCs w:val="22"/>
        </w:rPr>
        <w:t xml:space="preserve">Conclusion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operation is authorized as it is not likely to harm competition in the relevant markets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hyperlink w:history="1" r:id="rId8lhbqjs0pjos4cgdwbrj6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[3]</w:t>
        </w:r>
      </w:hyperlink>
    </w:p>
    <w:p>
      <w:pPr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Case 24-DCC-158 — relative à la prise de contrôle exclusif de trois fonds de commerce sous enseigne Intermarché par le groupe Carrefour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i/>
          <w:iCs/>
          <w:color w:val="1F4E5F"/>
          <w:sz w:val="22"/>
          <w:szCs w:val="22"/>
        </w:rPr>
        <w:t xml:space="preserve">Case Background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case involves the exclusive control acquisition of three business assets under the Intermarché brand by the Carrefour group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hyperlink w:history="1" r:id="rIddsifhinofhgm5g-ho7fj5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[4]</w:t>
        </w:r>
      </w:hyperlink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assets are located in Lons-le-Saunier, Plouaret, and Vals-près-le-Puy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hyperlink w:history="1" r:id="rIdefvhafwuv2nvtzikssndk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[4]</w:t>
        </w:r>
      </w:hyperlink>
    </w:p>
    <w:p>
      <w:pPr>
        <w:spacing w:after="100" w:before="200"/>
      </w:pPr>
      <w:r>
        <w:rPr>
          <w:rFonts w:ascii="Calibri" w:cs="Calibri" w:eastAsia="Calibri" w:hAnsi="Calibri"/>
          <w:b/>
          <w:bCs/>
          <w:i/>
          <w:iCs/>
          <w:color w:val="1F4E5F"/>
          <w:sz w:val="22"/>
          <w:szCs w:val="22"/>
        </w:rPr>
        <w:t xml:space="preserve">Case Progression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notification file was sent to the mergers department on July 3, 2024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hyperlink w:history="1" r:id="rIdus88nxqi6sbqz2m33red0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[4]</w:t>
        </w:r>
      </w:hyperlink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operation was formalized by a letter of agreement dated February 8, 2024, amended on March 29, 2024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hyperlink w:history="1" r:id="rIdjzh1wzypv3isdtw9modvh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[4]</w:t>
        </w:r>
      </w:hyperlink>
    </w:p>
    <w:p>
      <w:pPr>
        <w:spacing w:after="100" w:before="200"/>
      </w:pPr>
      <w:r>
        <w:rPr>
          <w:rFonts w:ascii="Calibri" w:cs="Calibri" w:eastAsia="Calibri" w:hAnsi="Calibri"/>
          <w:b/>
          <w:bCs/>
          <w:i/>
          <w:iCs/>
          <w:color w:val="1F4E5F"/>
          <w:sz w:val="22"/>
          <w:szCs w:val="22"/>
        </w:rPr>
        <w:t xml:space="preserve">Market Definition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operation involves food retail business assets under the Intermarché brand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hyperlink w:history="1" r:id="rIdwlqa0fwjt7_ena4tyevvn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[4]</w:t>
        </w:r>
      </w:hyperlink>
    </w:p>
    <w:p>
      <w:pPr>
        <w:spacing w:after="100" w:before="200"/>
      </w:pPr>
      <w:r>
        <w:rPr>
          <w:rFonts w:ascii="Calibri" w:cs="Calibri" w:eastAsia="Calibri" w:hAnsi="Calibri"/>
          <w:b/>
          <w:bCs/>
          <w:i/>
          <w:iCs/>
          <w:color w:val="1F4E5F"/>
          <w:sz w:val="22"/>
          <w:szCs w:val="22"/>
        </w:rPr>
        <w:t xml:space="preserve">Legal &amp; Economic Tests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operation does not fall under the jurisdiction of the European Union but exceeds the control thresholds of Article L. 430-2 of the Commercial Code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hyperlink w:history="1" r:id="rIdmrtmp68394iseautiy-9p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[4]</w:t>
        </w:r>
      </w:hyperlink>
    </w:p>
    <w:p>
      <w:pPr>
        <w:spacing w:after="100" w:before="200"/>
      </w:pPr>
      <w:r>
        <w:rPr>
          <w:rFonts w:ascii="Calibri" w:cs="Calibri" w:eastAsia="Calibri" w:hAnsi="Calibri"/>
          <w:b/>
          <w:bCs/>
          <w:i/>
          <w:iCs/>
          <w:color w:val="1F4E5F"/>
          <w:sz w:val="22"/>
          <w:szCs w:val="22"/>
        </w:rPr>
        <w:t xml:space="preserve">Conclusion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operation is authorized as it is not likely to harm competition in the relevant markets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hyperlink w:history="1" r:id="rIdo5h33kkhcl3nnzkce-jem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[4]</w:t>
        </w:r>
      </w:hyperlink>
    </w:p>
    <w:p>
      <w:pPr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Case 24-DCC-169 — relative à la prise de contrôle exclusif de la société Vezere Distribution par le groupe Carrefour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i/>
          <w:iCs/>
          <w:color w:val="1F4E5F"/>
          <w:sz w:val="22"/>
          <w:szCs w:val="22"/>
        </w:rPr>
        <w:t xml:space="preserve">Case Background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case involves the exclusive control acquisition of Vezere Distribution by the Carrefour group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hyperlink w:history="1" r:id="rIde2hgocnm3vu8-krl-xwhi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[5]</w:t>
        </w:r>
      </w:hyperlink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Vezere Distribution operates a hypermarket under the Carrefour brand in Brive-la-Gaillarde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hyperlink w:history="1" r:id="rId7cmkifmxhdbgckkzdgewo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[5]</w:t>
        </w:r>
      </w:hyperlink>
    </w:p>
    <w:p>
      <w:pPr>
        <w:spacing w:after="100" w:before="200"/>
      </w:pPr>
      <w:r>
        <w:rPr>
          <w:rFonts w:ascii="Calibri" w:cs="Calibri" w:eastAsia="Calibri" w:hAnsi="Calibri"/>
          <w:b/>
          <w:bCs/>
          <w:i/>
          <w:iCs/>
          <w:color w:val="1F4E5F"/>
          <w:sz w:val="22"/>
          <w:szCs w:val="22"/>
        </w:rPr>
        <w:t xml:space="preserve">Case Progression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notification file was sent to the mergers department on July 1, 2024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hyperlink w:history="1" r:id="rIdqmekfsordqydd4p-o1doj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[5]</w:t>
        </w:r>
      </w:hyperlink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operation was formalized by a share transfer agreement dated April 24, 2024, and a letter of intent signed on June 26, 2024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hyperlink w:history="1" r:id="rIdp78kxa8bsuhecwc5lfzfr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[5]</w:t>
        </w:r>
      </w:hyperlink>
    </w:p>
    <w:p>
      <w:pPr>
        <w:spacing w:after="100" w:before="200"/>
      </w:pPr>
      <w:r>
        <w:rPr>
          <w:rFonts w:ascii="Calibri" w:cs="Calibri" w:eastAsia="Calibri" w:hAnsi="Calibri"/>
          <w:b/>
          <w:bCs/>
          <w:i/>
          <w:iCs/>
          <w:color w:val="1F4E5F"/>
          <w:sz w:val="22"/>
          <w:szCs w:val="22"/>
        </w:rPr>
        <w:t xml:space="preserve">Market Definition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operation involves a hypermarket-type business with a sales area of 8,783 m²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hyperlink w:history="1" r:id="rIdz1g5p3cjuoobf8jmey6hz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[5]</w:t>
        </w:r>
      </w:hyperlink>
    </w:p>
    <w:p>
      <w:pPr>
        <w:spacing w:after="100" w:before="200"/>
      </w:pPr>
      <w:r>
        <w:rPr>
          <w:rFonts w:ascii="Calibri" w:cs="Calibri" w:eastAsia="Calibri" w:hAnsi="Calibri"/>
          <w:b/>
          <w:bCs/>
          <w:i/>
          <w:iCs/>
          <w:color w:val="1F4E5F"/>
          <w:sz w:val="22"/>
          <w:szCs w:val="22"/>
        </w:rPr>
        <w:t xml:space="preserve">Legal &amp; Economic Tests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operation does not fall under the jurisdiction of the European Union but exceeds the control thresholds of Article L. 430-2 of the Commercial Code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hyperlink w:history="1" r:id="rIddw_-xnsnbypfv-hfuho2o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[5]</w:t>
        </w:r>
      </w:hyperlink>
    </w:p>
    <w:p>
      <w:pPr>
        <w:spacing w:after="100" w:before="200"/>
      </w:pPr>
      <w:r>
        <w:rPr>
          <w:rFonts w:ascii="Calibri" w:cs="Calibri" w:eastAsia="Calibri" w:hAnsi="Calibri"/>
          <w:b/>
          <w:bCs/>
          <w:i/>
          <w:iCs/>
          <w:color w:val="1F4E5F"/>
          <w:sz w:val="22"/>
          <w:szCs w:val="22"/>
        </w:rPr>
        <w:t xml:space="preserve">Conclusion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operation is authorized as it is not likely to harm competition in the relevant markets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hyperlink w:history="1" r:id="rIdn0vmyyv90grxov241ml2v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[5]</w:t>
        </w:r>
      </w:hyperlink>
    </w:p>
    <w:p>
      <w:pPr>
        <w:pStyle w:val="Heading1"/>
        <w:pBdr>
          <w:bottom w:val="single" w:color="1F4E5F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Cited Sources</w:t>
      </w:r>
    </w:p>
    <w:p>
      <w:pPr>
        <w:pStyle w:val="ListParagraph"/>
        <w:numPr>
          <w:ilvl w:val="0"/>
          <w:numId w:val="2"/>
        </w:numPr>
        <w:spacing w:after="100"/>
      </w:pPr>
      <w:hyperlink w:history="1" r:id="rIdg9tkj_rgjnvp6kaqkrija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Autorité de la concurrence — Decision 25-DCC-280</w:t>
        </w:r>
      </w:hyperlink>
    </w:p>
    <w:p>
      <w:pPr>
        <w:pStyle w:val="ListParagraph"/>
        <w:numPr>
          <w:ilvl w:val="0"/>
          <w:numId w:val="2"/>
        </w:numPr>
        <w:spacing w:after="100"/>
      </w:pPr>
      <w:hyperlink w:history="1" r:id="rIdn5dlztqqfodymdfxvkee9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Autorité de la concurrence — Decision 25-DCC-300</w:t>
        </w:r>
      </w:hyperlink>
    </w:p>
    <w:p>
      <w:pPr>
        <w:pStyle w:val="ListParagraph"/>
        <w:numPr>
          <w:ilvl w:val="0"/>
          <w:numId w:val="2"/>
        </w:numPr>
        <w:spacing w:after="100"/>
      </w:pPr>
      <w:hyperlink w:history="1" r:id="rIdafg8kupdccuxz1aoys1od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Autorité de la concurrence — Decision 26-DCC-20</w:t>
        </w:r>
      </w:hyperlink>
    </w:p>
    <w:p>
      <w:pPr>
        <w:pStyle w:val="ListParagraph"/>
        <w:numPr>
          <w:ilvl w:val="0"/>
          <w:numId w:val="2"/>
        </w:numPr>
        <w:spacing w:after="100"/>
      </w:pPr>
      <w:hyperlink w:history="1" r:id="rId640e8cccgigcwjvtz5qg5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Autorité de la concurrence — Decision 24-DCC-158</w:t>
        </w:r>
      </w:hyperlink>
    </w:p>
    <w:p>
      <w:pPr>
        <w:pStyle w:val="ListParagraph"/>
        <w:numPr>
          <w:ilvl w:val="0"/>
          <w:numId w:val="2"/>
        </w:numPr>
        <w:spacing w:after="100"/>
      </w:pPr>
      <w:hyperlink w:history="1" r:id="rIdcjtr29z4otzngqcjiatbn">
        <w:r>
          <w:rPr>
            <w:rFonts w:ascii="Calibri" w:cs="Calibri" w:eastAsia="Calibri" w:hAnsi="Calibri"/>
            <w:color w:val="0563C1"/>
            <w:sz w:val="22"/>
            <w:szCs w:val="22"/>
            <w:u w:val="single"/>
          </w:rPr>
          <w:t xml:space="preserve">Autorité de la concurrence — Decision 24-DCC-169</w:t>
        </w:r>
      </w:hyperlink>
    </w:p>
    <w:sectPr>
      <w:headerReference w:type="default" r:id="rId7"/>
      <w:footerReference w:type="default" r:id="rId8"/>
      <w:pgSz w:w="12240" w:h="15840" w:orient="portrait"/>
      <w:pgMar w:top="1080" w:right="1350" w:bottom="108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8"/>
        <w:szCs w:val="18"/>
      </w:rPr>
      <w:t xml:space="preserve">Page </w:t>
    </w:r>
    <w:r>
      <w:rPr>
        <w:rFonts w:ascii="Calibri" w:cs="Calibri" w:eastAsia="Calibr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Competition-Law Assistant Evaluation — Blinded Transcript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[%1]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afcdnjflznmdnfdwkftf" Type="http://schemas.openxmlformats.org/officeDocument/2006/relationships/hyperlink" Target="https://www.autoritedelaconcurrence.fr/fr/decision-de-controle-des-concentrations/relative-la-prise-de-controle-conjoint-de-la-societe-vpm" TargetMode="External"/><Relationship Id="rId5ookkfisbn7eddnxwcvwi" Type="http://schemas.openxmlformats.org/officeDocument/2006/relationships/hyperlink" Target="https://www.autoritedelaconcurrence.fr/fr/decision-de-controle-des-concentrations/relative-la-prise-de-controle-conjoint-de-la-societe-vpm" TargetMode="External"/><Relationship Id="rId19bn28bdypxmw_bvzunl7" Type="http://schemas.openxmlformats.org/officeDocument/2006/relationships/hyperlink" Target="https://www.autoritedelaconcurrence.fr/fr/decision-de-controle-des-concentrations/relative-la-prise-de-controle-conjoint-de-la-societe-vpm" TargetMode="External"/><Relationship Id="rId4gywilcc8zgu5rwrdo8b1" Type="http://schemas.openxmlformats.org/officeDocument/2006/relationships/hyperlink" Target="https://www.autoritedelaconcurrence.fr/fr/decision-de-controle-des-concentrations/relative-la-prise-de-controle-conjoint-de-la-societe-vpm" TargetMode="External"/><Relationship Id="rIdlipdu66so2iim1iqvffud" Type="http://schemas.openxmlformats.org/officeDocument/2006/relationships/hyperlink" Target="https://www.autoritedelaconcurrence.fr/fr/decision-de-controle-des-concentrations/relative-la-prise-de-controle-conjoint-de-la-societe-vpm" TargetMode="External"/><Relationship Id="rIdiwdldhqck2wxdizuv65vy" Type="http://schemas.openxmlformats.org/officeDocument/2006/relationships/hyperlink" Target="https://www.autoritedelaconcurrence.fr/fr/decision-de-controle-des-concentrations/relative-la-prise-de-controle-conjoint-de-la-societe-vpm" TargetMode="External"/><Relationship Id="rIdvazt1u6osh1tu751exide" Type="http://schemas.openxmlformats.org/officeDocument/2006/relationships/hyperlink" Target="https://www.autoritedelaconcurrence.fr/fr/decision-de-controle-des-concentrations/relative-la-prise-de-controle-conjoint-de-la-societe-vpm" TargetMode="External"/><Relationship Id="rIdy7onfqndk3fpclpqmnurz" Type="http://schemas.openxmlformats.org/officeDocument/2006/relationships/hyperlink" Target="https://www.autoritedelaconcurrence.fr/fr/decision-de-controle-des-concentrations/relative-la-prise-de-controle-conjoint-de-la-societe-vpm" TargetMode="External"/><Relationship Id="rIdlpi0gbyumvyex1udctehq" Type="http://schemas.openxmlformats.org/officeDocument/2006/relationships/hyperlink" Target="https://www.autoritedelaconcurrence.fr/fr/decision-de-controle-des-concentrations/relative-la-prise-de-controle-exclusif-de-la-societe-la-4" TargetMode="External"/><Relationship Id="rIdxmrfphni483c7r-z2yshf" Type="http://schemas.openxmlformats.org/officeDocument/2006/relationships/hyperlink" Target="https://www.autoritedelaconcurrence.fr/fr/decision-de-controle-des-concentrations/relative-la-prise-de-controle-exclusif-de-la-societe-la-4" TargetMode="External"/><Relationship Id="rIdyfw8nwkisbpqkzor_msee" Type="http://schemas.openxmlformats.org/officeDocument/2006/relationships/hyperlink" Target="https://www.autoritedelaconcurrence.fr/fr/decision-de-controle-des-concentrations/relative-la-prise-de-controle-exclusif-de-la-societe-la-4" TargetMode="External"/><Relationship Id="rIdthm2e7tizrgg7_j2gideo" Type="http://schemas.openxmlformats.org/officeDocument/2006/relationships/hyperlink" Target="https://www.autoritedelaconcurrence.fr/fr/decision-de-controle-des-concentrations/relative-la-prise-de-controle-exclusif-de-la-societe-la-4" TargetMode="External"/><Relationship Id="rIdfg_afnurltpu96y9o9lee" Type="http://schemas.openxmlformats.org/officeDocument/2006/relationships/hyperlink" Target="https://www.autoritedelaconcurrence.fr/fr/decision-de-controle-des-concentrations/relative-la-prise-de-controle-exclusif-de-la-societe-la-4" TargetMode="External"/><Relationship Id="rIdkbcbschlmruk5nkln2qmy" Type="http://schemas.openxmlformats.org/officeDocument/2006/relationships/hyperlink" Target="https://www.autoritedelaconcurrence.fr/fr/decision-de-controle-des-concentrations/relative-la-prise-de-controle-exclusif-de-la-societe-la-4" TargetMode="External"/><Relationship Id="rIdsryblkz0mkyo0k3k5djwa" Type="http://schemas.openxmlformats.org/officeDocument/2006/relationships/hyperlink" Target="https://www.autoritedelaconcurrence.fr/fr/decision-de-controle-des-concentrations/relative-la-prise-de-controle-exclusif-de-la-societe-la-4" TargetMode="External"/><Relationship Id="rIdsypajjg1mvsi7yz9mqafc" Type="http://schemas.openxmlformats.org/officeDocument/2006/relationships/hyperlink" Target="https://www.autoritedelaconcurrence.fr/fr/decision-de-controle-des-concentrations/relative-la-prise-de-controle-exclusif-de-cinq-fonds-de-4" TargetMode="External"/><Relationship Id="rIdbw8ntvemm4hncwfqebljg" Type="http://schemas.openxmlformats.org/officeDocument/2006/relationships/hyperlink" Target="https://www.autoritedelaconcurrence.fr/fr/decision-de-controle-des-concentrations/relative-la-prise-de-controle-exclusif-de-cinq-fonds-de-4" TargetMode="External"/><Relationship Id="rIdrlvxgcbzvpl4a8ivhf3lf" Type="http://schemas.openxmlformats.org/officeDocument/2006/relationships/hyperlink" Target="https://www.autoritedelaconcurrence.fr/fr/decision-de-controle-des-concentrations/relative-la-prise-de-controle-exclusif-de-cinq-fonds-de-4" TargetMode="External"/><Relationship Id="rId_undluvmm_2tzod-uihj_" Type="http://schemas.openxmlformats.org/officeDocument/2006/relationships/hyperlink" Target="https://www.autoritedelaconcurrence.fr/fr/decision-de-controle-des-concentrations/relative-la-prise-de-controle-exclusif-de-cinq-fonds-de-4" TargetMode="External"/><Relationship Id="rIdtolwfmqdm61hjjsd7jari" Type="http://schemas.openxmlformats.org/officeDocument/2006/relationships/hyperlink" Target="https://www.autoritedelaconcurrence.fr/fr/decision-de-controle-des-concentrations/relative-la-prise-de-controle-exclusif-de-cinq-fonds-de-4" TargetMode="External"/><Relationship Id="rId7bjagpi6eugi8rv9hvnfj" Type="http://schemas.openxmlformats.org/officeDocument/2006/relationships/hyperlink" Target="https://www.autoritedelaconcurrence.fr/fr/decision-de-controle-des-concentrations/relative-la-prise-de-controle-exclusif-de-cinq-fonds-de-4" TargetMode="External"/><Relationship Id="rId8lhbqjs0pjos4cgdwbrj6" Type="http://schemas.openxmlformats.org/officeDocument/2006/relationships/hyperlink" Target="https://www.autoritedelaconcurrence.fr/fr/decision-de-controle-des-concentrations/relative-la-prise-de-controle-exclusif-de-cinq-fonds-de-4" TargetMode="External"/><Relationship Id="rIddsifhinofhgm5g-ho7fj5" Type="http://schemas.openxmlformats.org/officeDocument/2006/relationships/hyperlink" Target="https://www.autoritedelaconcurrence.fr/fr/decision-de-controle-des-concentrations/relative-la-prise-de-controle-exclusif-de-trois-fonds-de-8" TargetMode="External"/><Relationship Id="rIdefvhafwuv2nvtzikssndk" Type="http://schemas.openxmlformats.org/officeDocument/2006/relationships/hyperlink" Target="https://www.autoritedelaconcurrence.fr/fr/decision-de-controle-des-concentrations/relative-la-prise-de-controle-exclusif-de-trois-fonds-de-8" TargetMode="External"/><Relationship Id="rIdus88nxqi6sbqz2m33red0" Type="http://schemas.openxmlformats.org/officeDocument/2006/relationships/hyperlink" Target="https://www.autoritedelaconcurrence.fr/fr/decision-de-controle-des-concentrations/relative-la-prise-de-controle-exclusif-de-trois-fonds-de-8" TargetMode="External"/><Relationship Id="rIdjzh1wzypv3isdtw9modvh" Type="http://schemas.openxmlformats.org/officeDocument/2006/relationships/hyperlink" Target="https://www.autoritedelaconcurrence.fr/fr/decision-de-controle-des-concentrations/relative-la-prise-de-controle-exclusif-de-trois-fonds-de-8" TargetMode="External"/><Relationship Id="rIdwlqa0fwjt7_ena4tyevvn" Type="http://schemas.openxmlformats.org/officeDocument/2006/relationships/hyperlink" Target="https://www.autoritedelaconcurrence.fr/fr/decision-de-controle-des-concentrations/relative-la-prise-de-controle-exclusif-de-trois-fonds-de-8" TargetMode="External"/><Relationship Id="rIdmrtmp68394iseautiy-9p" Type="http://schemas.openxmlformats.org/officeDocument/2006/relationships/hyperlink" Target="https://www.autoritedelaconcurrence.fr/fr/decision-de-controle-des-concentrations/relative-la-prise-de-controle-exclusif-de-trois-fonds-de-8" TargetMode="External"/><Relationship Id="rIdo5h33kkhcl3nnzkce-jem" Type="http://schemas.openxmlformats.org/officeDocument/2006/relationships/hyperlink" Target="https://www.autoritedelaconcurrence.fr/fr/decision-de-controle-des-concentrations/relative-la-prise-de-controle-exclusif-de-trois-fonds-de-8" TargetMode="External"/><Relationship Id="rIde2hgocnm3vu8-krl-xwhi" Type="http://schemas.openxmlformats.org/officeDocument/2006/relationships/hyperlink" Target="https://www.autoritedelaconcurrence.fr/fr/decision-de-controle-des-concentrations/relative-la-prise-de-controle-exclusif-de-la-societe-vezere" TargetMode="External"/><Relationship Id="rId7cmkifmxhdbgckkzdgewo" Type="http://schemas.openxmlformats.org/officeDocument/2006/relationships/hyperlink" Target="https://www.autoritedelaconcurrence.fr/fr/decision-de-controle-des-concentrations/relative-la-prise-de-controle-exclusif-de-la-societe-vezere" TargetMode="External"/><Relationship Id="rIdqmekfsordqydd4p-o1doj" Type="http://schemas.openxmlformats.org/officeDocument/2006/relationships/hyperlink" Target="https://www.autoritedelaconcurrence.fr/fr/decision-de-controle-des-concentrations/relative-la-prise-de-controle-exclusif-de-la-societe-vezere" TargetMode="External"/><Relationship Id="rIdp78kxa8bsuhecwc5lfzfr" Type="http://schemas.openxmlformats.org/officeDocument/2006/relationships/hyperlink" Target="https://www.autoritedelaconcurrence.fr/fr/decision-de-controle-des-concentrations/relative-la-prise-de-controle-exclusif-de-la-societe-vezere" TargetMode="External"/><Relationship Id="rIdz1g5p3cjuoobf8jmey6hz" Type="http://schemas.openxmlformats.org/officeDocument/2006/relationships/hyperlink" Target="https://www.autoritedelaconcurrence.fr/fr/decision-de-controle-des-concentrations/relative-la-prise-de-controle-exclusif-de-la-societe-vezere" TargetMode="External"/><Relationship Id="rIddw_-xnsnbypfv-hfuho2o" Type="http://schemas.openxmlformats.org/officeDocument/2006/relationships/hyperlink" Target="https://www.autoritedelaconcurrence.fr/fr/decision-de-controle-des-concentrations/relative-la-prise-de-controle-exclusif-de-la-societe-vezere" TargetMode="External"/><Relationship Id="rIdn0vmyyv90grxov241ml2v" Type="http://schemas.openxmlformats.org/officeDocument/2006/relationships/hyperlink" Target="https://www.autoritedelaconcurrence.fr/fr/decision-de-controle-des-concentrations/relative-la-prise-de-controle-exclusif-de-la-societe-vezere" TargetMode="External"/><Relationship Id="rIdg9tkj_rgjnvp6kaqkrija" Type="http://schemas.openxmlformats.org/officeDocument/2006/relationships/hyperlink" Target="https://www.autoritedelaconcurrence.fr/fr/decision-de-controle-des-concentrations/relative-la-prise-de-controle-conjoint-de-la-societe-vpm" TargetMode="External"/><Relationship Id="rIdn5dlztqqfodymdfxvkee9" Type="http://schemas.openxmlformats.org/officeDocument/2006/relationships/hyperlink" Target="https://www.autoritedelaconcurrence.fr/fr/decision-de-controle-des-concentrations/relative-la-prise-de-controle-exclusif-de-la-societe-la-4" TargetMode="External"/><Relationship Id="rIdafg8kupdccuxz1aoys1od" Type="http://schemas.openxmlformats.org/officeDocument/2006/relationships/hyperlink" Target="https://www.autoritedelaconcurrence.fr/fr/decision-de-controle-des-concentrations/relative-la-prise-de-controle-exclusif-de-cinq-fonds-de-4" TargetMode="External"/><Relationship Id="rId640e8cccgigcwjvtz5qg5" Type="http://schemas.openxmlformats.org/officeDocument/2006/relationships/hyperlink" Target="https://www.autoritedelaconcurrence.fr/fr/decision-de-controle-des-concentrations/relative-la-prise-de-controle-exclusif-de-trois-fonds-de-8" TargetMode="External"/><Relationship Id="rIdcjtr29z4otzngqcjiatbn" Type="http://schemas.openxmlformats.org/officeDocument/2006/relationships/hyperlink" Target="https://www.autoritedelaconcurrence.fr/fr/decision-de-controle-des-concentrations/relative-la-prise-de-controle-exclusif-de-la-societe-vezere" TargetMode="External"/><Relationship Id="rId5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2026-09-02T10:54:52.574Z</dcterms:created>
  <dcterms:modified xsi:type="dcterms:W3CDTF">2026-09-02T10:54:52.584Z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